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both"/>
        <w:rPr>
          <w:rFonts w:eastAsia="方正小标宋简体"/>
          <w:bCs/>
          <w:sz w:val="42"/>
          <w:szCs w:val="42"/>
        </w:rPr>
      </w:pPr>
    </w:p>
    <w:p>
      <w:pPr>
        <w:spacing w:line="348" w:lineRule="auto"/>
        <w:jc w:val="center"/>
        <w:rPr>
          <w:rFonts w:eastAsia="方正小标宋简体"/>
          <w:bCs/>
          <w:sz w:val="42"/>
          <w:szCs w:val="42"/>
        </w:rPr>
      </w:pPr>
    </w:p>
    <w:p>
      <w:pPr>
        <w:spacing w:line="348" w:lineRule="auto"/>
        <w:jc w:val="center"/>
        <w:rPr>
          <w:rFonts w:eastAsia="方正小标宋简体"/>
          <w:bCs/>
          <w:sz w:val="42"/>
          <w:szCs w:val="42"/>
        </w:rPr>
      </w:pPr>
    </w:p>
    <w:p>
      <w:pPr>
        <w:spacing w:line="348" w:lineRule="auto"/>
        <w:jc w:val="center"/>
        <w:rPr>
          <w:rFonts w:eastAsia="方正小标宋简体"/>
          <w:bCs/>
          <w:sz w:val="42"/>
          <w:szCs w:val="42"/>
        </w:rPr>
      </w:pPr>
      <w:bookmarkStart w:id="0" w:name="_GoBack"/>
      <w:bookmarkEnd w:id="0"/>
    </w:p>
    <w:p>
      <w:pPr>
        <w:spacing w:line="800" w:lineRule="exact"/>
        <w:jc w:val="center"/>
        <w:rPr>
          <w:rFonts w:eastAsia="方正小标宋简体"/>
          <w:bCs/>
          <w:sz w:val="46"/>
          <w:szCs w:val="46"/>
        </w:rPr>
      </w:pPr>
      <w:r>
        <w:rPr>
          <w:rFonts w:hint="eastAsia" w:eastAsia="方正小标宋简体"/>
          <w:bCs/>
          <w:sz w:val="46"/>
          <w:szCs w:val="46"/>
          <w:lang w:eastAsia="zh-CN"/>
        </w:rPr>
        <w:t>君山</w:t>
      </w:r>
      <w:r>
        <w:rPr>
          <w:rFonts w:hint="eastAsia" w:eastAsia="方正小标宋简体"/>
          <w:bCs/>
          <w:sz w:val="46"/>
          <w:szCs w:val="46"/>
        </w:rPr>
        <w:t>区20</w:t>
      </w:r>
      <w:r>
        <w:rPr>
          <w:rFonts w:hint="eastAsia" w:eastAsia="方正小标宋简体"/>
          <w:bCs/>
          <w:sz w:val="46"/>
          <w:szCs w:val="46"/>
          <w:lang w:val="en-US" w:eastAsia="zh-CN"/>
        </w:rPr>
        <w:t>20</w:t>
      </w:r>
      <w:r>
        <w:rPr>
          <w:rFonts w:hint="eastAsia" w:eastAsia="方正小标宋简体"/>
          <w:bCs/>
          <w:sz w:val="46"/>
          <w:szCs w:val="46"/>
        </w:rPr>
        <w:t>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spacing w:before="301"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岳阳市君山区司法局</w:t>
      </w:r>
      <w:r>
        <w:rPr>
          <w:rFonts w:hint="eastAsia" w:eastAsia="仿宋_GB2312"/>
          <w:sz w:val="32"/>
          <w:szCs w:val="32"/>
          <w:u w:val="none"/>
        </w:rPr>
        <w:t xml:space="preserve">                    </w:t>
      </w:r>
      <w:r>
        <w:rPr>
          <w:rFonts w:hint="eastAsia" w:eastAsia="仿宋_GB2312"/>
          <w:sz w:val="32"/>
          <w:szCs w:val="32"/>
          <w:u w:val="single"/>
        </w:rPr>
        <w:t xml:space="preserve">    </w:t>
      </w:r>
    </w:p>
    <w:p>
      <w:pPr>
        <w:spacing w:before="301"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lang w:val="en-US" w:eastAsia="zh-CN"/>
        </w:rPr>
        <w:t>125</w:t>
      </w:r>
      <w:r>
        <w:rPr>
          <w:rFonts w:hint="eastAsia" w:eastAsia="仿宋_GB2312"/>
          <w:spacing w:val="20"/>
          <w:sz w:val="32"/>
          <w:szCs w:val="32"/>
          <w:u w:val="none"/>
        </w:rPr>
        <w:t xml:space="preserve">                         </w:t>
      </w:r>
    </w:p>
    <w:p>
      <w:pPr>
        <w:spacing w:before="301"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w:t>
      </w:r>
      <w:r>
        <w:rPr>
          <w:rFonts w:hint="eastAsia" w:eastAsia="仿宋_GB2312"/>
          <w:sz w:val="32"/>
          <w:lang w:val="en-US" w:eastAsia="zh-CN"/>
        </w:rPr>
        <w:t>1</w:t>
      </w:r>
      <w:r>
        <w:rPr>
          <w:rFonts w:hint="eastAsia" w:eastAsia="仿宋_GB2312"/>
          <w:sz w:val="32"/>
        </w:rPr>
        <w:t>年7月</w:t>
      </w:r>
      <w:r>
        <w:rPr>
          <w:rFonts w:hint="eastAsia" w:eastAsia="仿宋_GB2312"/>
          <w:sz w:val="32"/>
          <w:lang w:val="en-US" w:eastAsia="zh-CN"/>
        </w:rPr>
        <w:t>15</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岳阳区财政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陈秀来</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18711216792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（一）贯彻执行中央和省、市制定的有关司法行政工作的方针、政策、法律、法规和规章，编制全区司法行政工作中长期规划、年度计划并组织实施。</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（二）承担全面依法治区重大问题的政策研究；协调有关方面提出全面依法治区中长期规划建议；负责有关重大决策部署督查工作。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承担区政府法律顾问工作；对区政府重大行政决策进行合法性审查或论证说明；负责对政府合同订立工作进行监督和指导；负责政府重大合同订立之前的合法性审查；指导和监督全区行政复议、行政赔偿和行政应诉工作；承办区政府为行政复议机关和政府为被申请人的行政复议案件，承担区政府行政复议办公室日常工作；代理区政府的行政应诉事项，办理区政府为赔偿义务机关的行政赔偿案件；负责区政府法制信息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（四）指导全区规范性文件管理有关工作； 承担区政府规范性文件送审稿的合法性审查工作；承办区政府及其部门规范性文件的统一登记、统一编号、统一公布工作；报送备案区政府规范性文件；组织开展区政府规范性文件清理工作；受理有关规范性文件审查申请。</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五）承担统筹推进法治政府建设工作；指导、监督区政府各部门依法行政工作；负责综合协调行政执法，推进行政执法体制改革有关工作，严格规范公正文明执法；承办全区行政执法人员执法资格考试，负责行政执法证件监管工作；负责对全区行政机关依法行政知识培训进行业务指导；负责全区政府法制工作人员的业务培训。</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六）承担统筹规划全区法治社会建设工作；负责拟订法治宣传教育规划，组织实施普法宣传工作；推动人民参与和促进法治建设；指导依法治理和法治创建工作；参与社会治安综合治理工作；指导人民调解工作和人民陪审员、人民监督员选任和管理工作；推进基层司法所建设。</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（七）指导、管理社区矫正工作；指导刑满释放人员安置帮教工作；指导、支持和协助全区社区戒毒社区康复工作。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（八）拟订公共法律服务体系建设规划并指导实施，统筹和布局城乡、区域公共法律服务资源；指导、监督律师、法律援助、司法鉴定、仲裁和基层法律服务管理工作。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（九）负责全区司法行政系统财务计划以及服装、警车管理工作；指导和监督本系统财务、装备、设施、场所等保障工作；负责全区司法行政系统信息化建设工作。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（十）规划、协调、指导法治人才队伍建设相关工作；指导、监督本系统党的建设和队伍建设。</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（十一）完成区委、区政府交办的其他任务。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依法治区</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社区矫正监管安全得到有效保障，确保实现“四个不发生”。安置帮教工作有效加强，不发生影响社会和谐稳定的重大事件。</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影响本地区、本部门、本单位群众反映强烈的突出问题和热点矛盾纠纷得到有效排查化解，纠纷调解率和调解成功率进一步提高，力争乡镇(街道)、村(社区)无因矛盾纠纷调解不及时或调解不当而引发“民转刑”、非正常死亡，群体性械半和群体性上访事件发生。</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:切实扩大法律援助覆盖面，降低法律援助门槛， 提高法律援助质量，让法律援助更加有效维护困难群众和弱势群体的合法权益。</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:根据司法部相关文件要求，推动全省各级司法机关信息化建设。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制定了《2020年全面依法治区工作要点》。区五届人大常委会第22次会议专题听取了2019年度法治政府建设年度报告。制定区政府合同管理办法、法律顾问管理办法等文件。审结行政复议件3件，办理行政诉讼案35件，审查政府部门合同35份。召开了全区行政应诉工作推进会。完成12件规范性文件审查、登记备案及公布工作。公开选聘1名法学教授、5名专职律师作为区政府兼职法律顾问，参与各类协调会议50多次。组织</w:t>
            </w:r>
            <w:r>
              <w:rPr>
                <w:rFonts w:hint="eastAsia" w:ascii="仿宋_GB2312" w:hAnsi="仿宋_GB2312" w:eastAsia="仿宋_GB2312" w:cs="仿宋_GB2312"/>
                <w:color w:val="000000"/>
                <w:sz w:val="24"/>
              </w:rPr>
              <w:t>对76个村（</w:t>
            </w:r>
            <w:r>
              <w:rPr>
                <w:rFonts w:hint="eastAsia" w:ascii="仿宋_GB2312" w:hAnsi="仿宋_GB2312" w:eastAsia="仿宋_GB2312" w:cs="仿宋_GB2312"/>
                <w:color w:val="000000"/>
                <w:sz w:val="24"/>
                <w:lang w:eastAsia="zh-CN"/>
              </w:rPr>
              <w:t>社区</w:t>
            </w:r>
            <w:r>
              <w:rPr>
                <w:rFonts w:hint="eastAsia" w:ascii="仿宋_GB2312" w:hAnsi="仿宋_GB2312" w:eastAsia="仿宋_GB2312" w:cs="仿宋_GB2312"/>
                <w:color w:val="000000"/>
                <w:sz w:val="24"/>
              </w:rPr>
              <w:t>）的《村规民约》进行了法制审核</w:t>
            </w:r>
            <w:r>
              <w:rPr>
                <w:rFonts w:hint="eastAsia" w:ascii="仿宋_GB2312" w:hAnsi="仿宋_GB2312" w:eastAsia="仿宋_GB2312" w:cs="仿宋_GB2312"/>
                <w:color w:val="000000"/>
                <w:sz w:val="24"/>
                <w:lang w:eastAsia="zh-CN"/>
              </w:rPr>
              <w:t>。钱粮湖镇百花社区被省司法厅、省民政厅评为全省民主法治示范社区。</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2.在矫社区服刑人员66人，共</w:t>
            </w:r>
            <w:r>
              <w:rPr>
                <w:rFonts w:hint="eastAsia" w:ascii="仿宋_GB2312" w:hAnsi="仿宋_GB2312" w:eastAsia="仿宋_GB2312" w:cs="仿宋_GB2312"/>
                <w:color w:val="000000"/>
                <w:sz w:val="24"/>
              </w:rPr>
              <w:t>开展调查评估</w:t>
            </w:r>
            <w:r>
              <w:rPr>
                <w:rFonts w:hint="eastAsia" w:ascii="仿宋_GB2312" w:hAnsi="仿宋_GB2312" w:eastAsia="仿宋_GB2312" w:cs="仿宋_GB2312"/>
                <w:color w:val="000000"/>
                <w:sz w:val="24"/>
                <w:lang w:val="en-US" w:eastAsia="zh-CN"/>
              </w:rPr>
              <w:t>60</w:t>
            </w:r>
            <w:r>
              <w:rPr>
                <w:rFonts w:hint="eastAsia" w:ascii="仿宋_GB2312" w:hAnsi="仿宋_GB2312" w:eastAsia="仿宋_GB2312" w:cs="仿宋_GB2312"/>
                <w:color w:val="000000"/>
                <w:sz w:val="24"/>
              </w:rPr>
              <w:t>人，</w:t>
            </w:r>
            <w:r>
              <w:rPr>
                <w:rFonts w:hint="eastAsia" w:ascii="仿宋_GB2312" w:hAnsi="仿宋_GB2312" w:eastAsia="仿宋_GB2312" w:cs="仿宋_GB2312"/>
                <w:color w:val="000000"/>
                <w:sz w:val="24"/>
                <w:lang w:eastAsia="zh-CN"/>
              </w:rPr>
              <w:t>建议收监执行</w:t>
            </w:r>
            <w:r>
              <w:rPr>
                <w:rFonts w:hint="eastAsia" w:ascii="仿宋_GB2312" w:hAnsi="仿宋_GB2312" w:eastAsia="仿宋_GB2312" w:cs="仿宋_GB2312"/>
                <w:color w:val="000000"/>
                <w:sz w:val="24"/>
                <w:lang w:val="en-US" w:eastAsia="zh-CN"/>
              </w:rPr>
              <w:t>2人</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采取</w:t>
            </w:r>
            <w:r>
              <w:rPr>
                <w:rFonts w:hint="eastAsia" w:ascii="仿宋_GB2312" w:hAnsi="仿宋_GB2312" w:eastAsia="仿宋_GB2312" w:cs="仿宋_GB2312"/>
                <w:color w:val="000000"/>
                <w:sz w:val="24"/>
              </w:rPr>
              <w:t>电子签到，运用面部＋指纹考勤系统，实</w:t>
            </w:r>
            <w:r>
              <w:rPr>
                <w:rFonts w:hint="eastAsia" w:ascii="仿宋_GB2312" w:hAnsi="仿宋_GB2312" w:eastAsia="仿宋_GB2312" w:cs="仿宋_GB2312"/>
                <w:color w:val="000000"/>
                <w:sz w:val="24"/>
                <w:lang w:eastAsia="zh-CN"/>
              </w:rPr>
              <w:t>行</w:t>
            </w:r>
            <w:r>
              <w:rPr>
                <w:rFonts w:hint="eastAsia" w:ascii="仿宋_GB2312" w:hAnsi="仿宋_GB2312" w:eastAsia="仿宋_GB2312" w:cs="仿宋_GB2312"/>
                <w:color w:val="000000"/>
                <w:sz w:val="24"/>
              </w:rPr>
              <w:t>手机APP定位</w:t>
            </w:r>
            <w:r>
              <w:rPr>
                <w:rFonts w:hint="eastAsia" w:ascii="仿宋_GB2312" w:hAnsi="仿宋_GB2312" w:eastAsia="仿宋_GB2312" w:cs="仿宋_GB2312"/>
                <w:color w:val="000000"/>
                <w:sz w:val="24"/>
                <w:lang w:eastAsia="zh-CN"/>
              </w:rPr>
              <w:t>和</w:t>
            </w:r>
            <w:r>
              <w:rPr>
                <w:rFonts w:hint="eastAsia" w:ascii="仿宋_GB2312" w:hAnsi="仿宋_GB2312" w:eastAsia="仿宋_GB2312" w:cs="仿宋_GB2312"/>
                <w:color w:val="000000"/>
                <w:sz w:val="24"/>
              </w:rPr>
              <w:t>电子腕带定位</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实现日常监管全覆盖。</w:t>
            </w:r>
            <w:r>
              <w:rPr>
                <w:rFonts w:hint="eastAsia" w:ascii="仿宋_GB2312" w:hAnsi="仿宋_GB2312" w:eastAsia="仿宋_GB2312" w:cs="仿宋_GB2312"/>
                <w:color w:val="000000"/>
                <w:sz w:val="24"/>
                <w:lang w:eastAsia="zh-CN"/>
              </w:rPr>
              <w:t>组织</w:t>
            </w:r>
            <w:r>
              <w:rPr>
                <w:rFonts w:hint="eastAsia" w:ascii="仿宋_GB2312" w:hAnsi="仿宋_GB2312" w:eastAsia="仿宋_GB2312" w:cs="仿宋_GB2312"/>
                <w:color w:val="000000"/>
                <w:sz w:val="24"/>
              </w:rPr>
              <w:t>对近5年来的刑释人员建立“一档一卡”，</w:t>
            </w:r>
            <w:r>
              <w:rPr>
                <w:rFonts w:hint="eastAsia" w:ascii="仿宋_GB2312" w:hAnsi="仿宋_GB2312" w:eastAsia="仿宋_GB2312" w:cs="仿宋_GB2312"/>
                <w:color w:val="000000"/>
                <w:sz w:val="24"/>
                <w:lang w:eastAsia="zh-CN"/>
              </w:rPr>
              <w:t>开展</w:t>
            </w:r>
            <w:r>
              <w:rPr>
                <w:rFonts w:hint="eastAsia" w:ascii="仿宋_GB2312" w:hAnsi="仿宋_GB2312" w:eastAsia="仿宋_GB2312" w:cs="仿宋_GB2312"/>
                <w:color w:val="000000"/>
                <w:sz w:val="24"/>
              </w:rPr>
              <w:t>核查、核实率达100%，安置</w:t>
            </w:r>
            <w:r>
              <w:rPr>
                <w:rFonts w:hint="eastAsia" w:ascii="仿宋_GB2312" w:hAnsi="仿宋_GB2312" w:eastAsia="仿宋_GB2312" w:cs="仿宋_GB2312"/>
                <w:color w:val="000000"/>
                <w:sz w:val="24"/>
                <w:lang w:eastAsia="zh-CN"/>
              </w:rPr>
              <w:t>帮教</w:t>
            </w:r>
            <w:r>
              <w:rPr>
                <w:rFonts w:hint="eastAsia" w:ascii="仿宋_GB2312" w:hAnsi="仿宋_GB2312" w:eastAsia="仿宋_GB2312" w:cs="仿宋_GB2312"/>
                <w:color w:val="000000"/>
                <w:sz w:val="24"/>
              </w:rPr>
              <w:t>率达9</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实现了社区服刑和</w:t>
            </w:r>
            <w:r>
              <w:rPr>
                <w:rFonts w:hint="eastAsia" w:ascii="仿宋_GB2312" w:hAnsi="仿宋_GB2312" w:eastAsia="仿宋_GB2312" w:cs="仿宋_GB2312"/>
                <w:color w:val="000000"/>
                <w:sz w:val="24"/>
              </w:rPr>
              <w:t>刑释人员</w:t>
            </w:r>
            <w:r>
              <w:rPr>
                <w:rFonts w:hint="eastAsia" w:ascii="仿宋_GB2312" w:hAnsi="仿宋_GB2312" w:eastAsia="仿宋_GB2312" w:cs="仿宋_GB2312"/>
                <w:color w:val="000000"/>
                <w:sz w:val="24"/>
                <w:lang w:eastAsia="zh-CN"/>
              </w:rPr>
              <w:t>无脱管、漏管和重新违法犯罪。</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lang w:eastAsia="zh-CN"/>
              </w:rPr>
              <w:t>在全区实现公共法律服务站点建设的全覆盖。依托农户、商户，建成法律服务志愿点</w:t>
            </w:r>
            <w:r>
              <w:rPr>
                <w:rFonts w:hint="eastAsia" w:ascii="仿宋_GB2312" w:hAnsi="仿宋_GB2312" w:eastAsia="仿宋_GB2312" w:cs="仿宋_GB2312"/>
                <w:color w:val="000000"/>
                <w:sz w:val="24"/>
                <w:lang w:val="en-US" w:eastAsia="zh-CN"/>
              </w:rPr>
              <w:t>75</w:t>
            </w:r>
            <w:r>
              <w:rPr>
                <w:rFonts w:hint="eastAsia" w:ascii="仿宋_GB2312" w:hAnsi="仿宋_GB2312" w:eastAsia="仿宋_GB2312" w:cs="仿宋_GB2312"/>
                <w:color w:val="000000"/>
                <w:sz w:val="24"/>
                <w:lang w:eastAsia="zh-CN"/>
              </w:rPr>
              <w:t>0个。</w:t>
            </w:r>
            <w:r>
              <w:rPr>
                <w:rFonts w:hint="eastAsia" w:ascii="仿宋_GB2312" w:hAnsi="仿宋_GB2312" w:eastAsia="仿宋_GB2312" w:cs="仿宋_GB2312"/>
                <w:color w:val="000000"/>
                <w:sz w:val="24"/>
                <w:lang w:val="en-US" w:eastAsia="zh-CN"/>
              </w:rPr>
              <w:t>2020年，</w:t>
            </w:r>
            <w:r>
              <w:rPr>
                <w:rFonts w:hint="eastAsia" w:ascii="仿宋_GB2312" w:hAnsi="仿宋_GB2312" w:eastAsia="仿宋_GB2312" w:cs="仿宋_GB2312"/>
                <w:color w:val="000000"/>
                <w:sz w:val="24"/>
                <w:lang w:eastAsia="zh-CN"/>
              </w:rPr>
              <w:t>共办理法律援助案件</w:t>
            </w:r>
            <w:r>
              <w:rPr>
                <w:rFonts w:hint="eastAsia" w:ascii="仿宋_GB2312" w:hAnsi="仿宋_GB2312" w:eastAsia="仿宋_GB2312" w:cs="仿宋_GB2312"/>
                <w:color w:val="000000"/>
                <w:sz w:val="24"/>
                <w:lang w:val="en-US" w:eastAsia="zh-CN"/>
              </w:rPr>
              <w:t>24</w:t>
            </w:r>
            <w:r>
              <w:rPr>
                <w:rFonts w:hint="eastAsia" w:ascii="仿宋_GB2312" w:hAnsi="仿宋_GB2312" w:eastAsia="仿宋_GB2312" w:cs="仿宋_GB2312"/>
                <w:color w:val="000000"/>
                <w:sz w:val="24"/>
                <w:lang w:eastAsia="zh-CN"/>
              </w:rPr>
              <w:t>件，其中：民事案件</w:t>
            </w:r>
            <w:r>
              <w:rPr>
                <w:rFonts w:hint="eastAsia" w:ascii="仿宋_GB2312" w:hAnsi="仿宋_GB2312" w:eastAsia="仿宋_GB2312" w:cs="仿宋_GB2312"/>
                <w:color w:val="000000"/>
                <w:sz w:val="24"/>
                <w:lang w:val="en-US" w:eastAsia="zh-CN"/>
              </w:rPr>
              <w:t>7件、刑事案件17件，</w:t>
            </w:r>
            <w:r>
              <w:rPr>
                <w:rFonts w:hint="eastAsia" w:ascii="仿宋_GB2312" w:hAnsi="仿宋_GB2312" w:eastAsia="仿宋_GB2312" w:cs="仿宋_GB2312"/>
                <w:color w:val="000000"/>
                <w:sz w:val="24"/>
                <w:lang w:eastAsia="zh-CN"/>
              </w:rPr>
              <w:t>接待法律咨询</w:t>
            </w:r>
            <w:r>
              <w:rPr>
                <w:rFonts w:hint="eastAsia" w:ascii="仿宋_GB2312" w:hAnsi="仿宋_GB2312" w:eastAsia="仿宋_GB2312" w:cs="仿宋_GB2312"/>
                <w:color w:val="000000"/>
                <w:sz w:val="24"/>
                <w:lang w:val="en-US" w:eastAsia="zh-CN"/>
              </w:rPr>
              <w:t>180多</w:t>
            </w:r>
            <w:r>
              <w:rPr>
                <w:rFonts w:hint="eastAsia" w:ascii="仿宋_GB2312" w:hAnsi="仿宋_GB2312" w:eastAsia="仿宋_GB2312" w:cs="仿宋_GB2312"/>
                <w:color w:val="000000"/>
                <w:sz w:val="24"/>
                <w:lang w:eastAsia="zh-CN"/>
              </w:rPr>
              <w:t>人次，来电来访和咨询</w:t>
            </w:r>
            <w:r>
              <w:rPr>
                <w:rFonts w:hint="eastAsia" w:ascii="仿宋_GB2312" w:hAnsi="仿宋_GB2312" w:eastAsia="仿宋_GB2312" w:cs="仿宋_GB2312"/>
                <w:color w:val="000000"/>
                <w:sz w:val="24"/>
                <w:lang w:val="en-US" w:eastAsia="zh-CN"/>
              </w:rPr>
              <w:t>90</w:t>
            </w:r>
            <w:r>
              <w:rPr>
                <w:rFonts w:hint="eastAsia" w:ascii="仿宋_GB2312" w:hAnsi="仿宋_GB2312" w:eastAsia="仿宋_GB2312" w:cs="仿宋_GB2312"/>
                <w:color w:val="000000"/>
                <w:sz w:val="24"/>
                <w:lang w:eastAsia="zh-CN"/>
              </w:rPr>
              <w:t>人多次。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积极与相关部门对接，争取资金，积极筹建君山区社区矫正指挥中心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416.32</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416.32</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416.32</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416.32</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416.07</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358.07</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256.23</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101.84</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58.00</w:t>
            </w:r>
          </w:p>
        </w:tc>
        <w:tc>
          <w:tcPr>
            <w:tcW w:w="72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0.25</w:t>
            </w:r>
          </w:p>
        </w:tc>
        <w:tc>
          <w:tcPr>
            <w:tcW w:w="625"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416.07</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358.07</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256.23</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101.84</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58.00</w:t>
            </w:r>
          </w:p>
        </w:tc>
        <w:tc>
          <w:tcPr>
            <w:tcW w:w="72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0.25</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9.46</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3.74</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5.72</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9.46</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3.74</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5.72</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9"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235.10</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235.10</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235.10</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235.10</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目标1:社区矫正监管安全得到有效保障，确保实现“四个不发生”。安置帮教工作有效加强，不发生影响社会和谐稳定的重大事件。</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影响本地区、本部门、本单位群众反映强烈的突出问题和热点矛盾纠纷得到有效排查化解，纠纷调解率和调解成功率进一步提高，力争乡镇(街道)、村(社区)无因矛盾纠纷调解不及时或调解不当而引发“民转刑”、非正常死亡，群体性械半和群体性上访事件发生。</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目标3:切实扩大法律援助覆盖面，降低法律援助门槛， 提高法律援助质量，让法律援助更加有效维护困难群众和弱势群体的合法权益。</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目标4:根据司法部相关文件要求，推动全省各级司法机关信息化建设</w:t>
            </w:r>
          </w:p>
        </w:tc>
        <w:tc>
          <w:tcPr>
            <w:tcW w:w="4585" w:type="dxa"/>
            <w:gridSpan w:val="9"/>
            <w:vAlign w:val="center"/>
          </w:tcPr>
          <w:p>
            <w:pPr>
              <w:autoSpaceDN w:val="0"/>
              <w:spacing w:line="320" w:lineRule="exact"/>
              <w:jc w:val="center"/>
              <w:textAlignment w:val="center"/>
              <w:rPr>
                <w:rFonts w:hint="eastAsia" w:ascii="仿宋_GB2312" w:eastAsia="仿宋_GB2312"/>
                <w:color w:val="auto"/>
                <w:spacing w:val="0"/>
                <w:sz w:val="32"/>
                <w:szCs w:val="32"/>
                <w:lang w:eastAsia="zh-CN"/>
              </w:rPr>
            </w:pPr>
            <w:r>
              <w:rPr>
                <w:rFonts w:hint="eastAsia" w:ascii="仿宋_GB2312" w:hAnsi="仿宋_GB2312" w:eastAsia="仿宋_GB2312" w:cs="仿宋_GB2312"/>
                <w:color w:val="000000"/>
                <w:sz w:val="24"/>
              </w:rPr>
              <w:t>社区矫正监管安全得到有效保障，确保实现“四个不发生”。安置帮教工作有效加强，不发生影响社会和谐稳定的重大事件。影响本地区、本部门、本单位群众反映强烈的突出问题和热点矛盾纠纷得到有效排查化解，纠纷调解率和调解成功率进一步提高，力争乡镇(街道)、村(社区)无因矛盾纠纷调解不及时或调解不当而引发“民转刑”、非正常死亡，群体性械半和群体性上访事件发生。切实扩大法律援助覆盖面，降低法律援助门槛，提高法律援助质量，让法律援助更加有效维护困难群众和弱势群体的合法权益。根据司法部相关文件要求，推动全省各级司法机关信息化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69"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指标1：强化“书记抓、抓书记”的党建责任</w:t>
            </w:r>
            <w:r>
              <w:rPr>
                <w:rFonts w:hint="eastAsia" w:ascii="仿宋_GB2312" w:hAnsi="仿宋_GB2312" w:eastAsia="仿宋_GB2312" w:cs="仿宋_GB2312"/>
                <w:color w:val="000000"/>
                <w:sz w:val="24"/>
                <w:lang w:eastAsia="zh-CN"/>
              </w:rPr>
              <w:t>，规范和严肃党内政治生活。</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通过开展主题党日活动，</w:t>
            </w:r>
            <w:r>
              <w:rPr>
                <w:rFonts w:hint="eastAsia" w:ascii="仿宋_GB2312" w:hAnsi="仿宋_GB2312" w:eastAsia="仿宋_GB2312" w:cs="仿宋_GB2312"/>
                <w:color w:val="000000"/>
                <w:sz w:val="24"/>
                <w:lang w:eastAsia="zh-CN"/>
              </w:rPr>
              <w:t>巩固</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不忘初心、牢记使命</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主题教育成果、开展“三亮三为”</w:t>
            </w:r>
            <w:r>
              <w:rPr>
                <w:rFonts w:hint="eastAsia" w:ascii="仿宋_GB2312" w:hAnsi="仿宋_GB2312" w:eastAsia="仿宋_GB2312" w:cs="仿宋_GB2312"/>
                <w:color w:val="000000"/>
                <w:sz w:val="24"/>
                <w:lang w:val="en-US" w:eastAsia="zh-CN"/>
              </w:rPr>
              <w:t>和创建“三表率一模范机关”活动</w:t>
            </w:r>
            <w:r>
              <w:rPr>
                <w:rFonts w:hint="eastAsia" w:ascii="仿宋_GB2312" w:hAnsi="仿宋_GB2312" w:eastAsia="仿宋_GB2312" w:cs="仿宋_GB2312"/>
                <w:color w:val="000000"/>
                <w:sz w:val="24"/>
                <w:lang w:eastAsia="zh-CN"/>
              </w:rPr>
              <w:t>高质量的开好班子民主生活会、党员组织生活会。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指标2：掌控网络意识形态</w:t>
            </w:r>
            <w:r>
              <w:rPr>
                <w:rFonts w:hint="eastAsia" w:ascii="仿宋_GB2312" w:hAnsi="仿宋_GB2312" w:eastAsia="仿宋_GB2312" w:cs="仿宋_GB2312"/>
                <w:color w:val="000000"/>
                <w:sz w:val="24"/>
                <w:lang w:eastAsia="zh-CN"/>
              </w:rPr>
              <w:t>的</w:t>
            </w:r>
            <w:r>
              <w:rPr>
                <w:rFonts w:hint="eastAsia" w:ascii="仿宋_GB2312" w:hAnsi="仿宋_GB2312" w:eastAsia="仿宋_GB2312" w:cs="仿宋_GB2312"/>
                <w:color w:val="000000"/>
                <w:sz w:val="24"/>
              </w:rPr>
              <w:t>主导权</w:t>
            </w:r>
          </w:p>
        </w:tc>
        <w:tc>
          <w:tcPr>
            <w:tcW w:w="2684" w:type="dxa"/>
            <w:gridSpan w:val="6"/>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做到“一把手”亲自抓网络意识形态安全</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推进依法治区，</w:t>
            </w:r>
            <w:r>
              <w:rPr>
                <w:rFonts w:hint="eastAsia" w:ascii="仿宋_GB2312" w:hAnsi="仿宋_GB2312" w:eastAsia="仿宋_GB2312" w:cs="仿宋_GB2312"/>
                <w:color w:val="000000"/>
                <w:sz w:val="24"/>
                <w:lang w:val="en-US" w:eastAsia="zh-CN"/>
              </w:rPr>
              <w:t>召开全区行政应诉工作推进会</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审结行政复议件3件，办理行政诉讼案35件，审查政府部门合同35份。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开展各类法制宣传活动，营造法治氛围。</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通过</w:t>
            </w:r>
            <w:r>
              <w:rPr>
                <w:rFonts w:hint="default" w:ascii="仿宋_GB2312" w:hAnsi="仿宋_GB2312" w:eastAsia="仿宋_GB2312" w:cs="仿宋_GB2312"/>
                <w:color w:val="000000"/>
                <w:sz w:val="24"/>
                <w:lang w:val="en-US"/>
              </w:rPr>
              <w:t>“</w:t>
            </w:r>
            <w:r>
              <w:rPr>
                <w:rFonts w:hint="eastAsia" w:ascii="仿宋_GB2312" w:hAnsi="仿宋_GB2312" w:eastAsia="仿宋_GB2312" w:cs="仿宋_GB2312"/>
                <w:color w:val="000000"/>
                <w:sz w:val="24"/>
              </w:rPr>
              <w:t>法治君山</w:t>
            </w:r>
            <w:r>
              <w:rPr>
                <w:rFonts w:hint="default" w:ascii="仿宋_GB2312" w:hAnsi="仿宋_GB2312" w:eastAsia="仿宋_GB2312" w:cs="仿宋_GB2312"/>
                <w:color w:val="000000"/>
                <w:sz w:val="24"/>
                <w:lang w:val="en-US"/>
              </w:rPr>
              <w:t>”</w:t>
            </w:r>
            <w:r>
              <w:rPr>
                <w:rFonts w:hint="eastAsia" w:ascii="仿宋_GB2312" w:hAnsi="仿宋_GB2312" w:eastAsia="仿宋_GB2312" w:cs="仿宋_GB2312"/>
                <w:color w:val="000000"/>
                <w:sz w:val="24"/>
              </w:rPr>
              <w:t>公众号发布防控知识15</w:t>
            </w:r>
            <w:r>
              <w:rPr>
                <w:rFonts w:hint="default" w:ascii="仿宋_GB2312" w:hAnsi="仿宋_GB2312" w:eastAsia="仿宋_GB2312" w:cs="仿宋_GB2312"/>
                <w:color w:val="000000"/>
                <w:sz w:val="24"/>
                <w:lang w:val="en-US"/>
              </w:rPr>
              <w:t>期</w:t>
            </w:r>
            <w:r>
              <w:rPr>
                <w:rFonts w:hint="eastAsia" w:ascii="仿宋_GB2312" w:hAnsi="仿宋_GB2312" w:eastAsia="仿宋_GB2312" w:cs="仿宋_GB2312"/>
                <w:color w:val="000000"/>
                <w:sz w:val="24"/>
              </w:rPr>
              <w:t>，印制新冠肺炎防治</w:t>
            </w:r>
            <w:r>
              <w:rPr>
                <w:rFonts w:hint="default" w:ascii="仿宋_GB2312" w:hAnsi="仿宋_GB2312" w:eastAsia="仿宋_GB2312" w:cs="仿宋_GB2312"/>
                <w:color w:val="000000"/>
                <w:sz w:val="24"/>
                <w:lang w:val="en-US"/>
              </w:rPr>
              <w:t>相关</w:t>
            </w:r>
            <w:r>
              <w:rPr>
                <w:rFonts w:hint="eastAsia" w:ascii="仿宋_GB2312" w:hAnsi="仿宋_GB2312" w:eastAsia="仿宋_GB2312" w:cs="仿宋_GB2312"/>
                <w:color w:val="000000"/>
                <w:sz w:val="24"/>
              </w:rPr>
              <w:t>法律知识</w:t>
            </w:r>
            <w:r>
              <w:rPr>
                <w:rFonts w:hint="eastAsia" w:ascii="仿宋_GB2312" w:hAnsi="仿宋_GB2312" w:eastAsia="仿宋_GB2312" w:cs="仿宋_GB2312"/>
                <w:color w:val="000000"/>
                <w:sz w:val="24"/>
                <w:lang w:val="en-US" w:eastAsia="zh-CN"/>
              </w:rPr>
              <w:t>、</w:t>
            </w:r>
            <w:r>
              <w:rPr>
                <w:rFonts w:hint="default" w:ascii="仿宋_GB2312" w:hAnsi="仿宋_GB2312" w:eastAsia="仿宋_GB2312" w:cs="仿宋_GB2312"/>
                <w:color w:val="000000"/>
                <w:sz w:val="24"/>
                <w:lang w:val="en-US"/>
              </w:rPr>
              <w:t>简明读书及</w:t>
            </w:r>
            <w:r>
              <w:rPr>
                <w:rFonts w:hint="eastAsia" w:ascii="仿宋_GB2312" w:hAnsi="仿宋_GB2312" w:eastAsia="仿宋_GB2312" w:cs="仿宋_GB2312"/>
                <w:color w:val="000000"/>
                <w:sz w:val="24"/>
              </w:rPr>
              <w:t>宣传</w:t>
            </w:r>
            <w:r>
              <w:rPr>
                <w:rFonts w:hint="default" w:ascii="仿宋_GB2312" w:hAnsi="仿宋_GB2312" w:eastAsia="仿宋_GB2312" w:cs="仿宋_GB2312"/>
                <w:color w:val="000000"/>
                <w:sz w:val="24"/>
                <w:lang w:val="en-US"/>
              </w:rPr>
              <w:t>挂图2</w:t>
            </w:r>
            <w:r>
              <w:rPr>
                <w:rFonts w:hint="eastAsia" w:ascii="仿宋_GB2312" w:hAnsi="仿宋_GB2312" w:eastAsia="仿宋_GB2312" w:cs="仿宋_GB2312"/>
                <w:color w:val="000000"/>
                <w:sz w:val="24"/>
              </w:rPr>
              <w:t>万余份</w:t>
            </w:r>
            <w:r>
              <w:rPr>
                <w:rFonts w:hint="eastAsia" w:ascii="仿宋_GB2312" w:hAnsi="仿宋_GB2312" w:eastAsia="仿宋_GB2312" w:cs="仿宋_GB2312"/>
                <w:color w:val="000000"/>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指标1：按工作计划实施</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9"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指标1：缩减公用经费</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一般性支出下降8%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指标2：成本费用控制</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控制在预算内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化解各类纠纷，促社会和谐稳定</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深入</w:t>
            </w:r>
            <w:r>
              <w:rPr>
                <w:rFonts w:hint="eastAsia" w:ascii="仿宋_GB2312" w:hAnsi="仿宋_GB2312" w:eastAsia="仿宋_GB2312" w:cs="仿宋_GB2312"/>
                <w:color w:val="000000"/>
                <w:sz w:val="24"/>
              </w:rPr>
              <w:t>开展“四查四防化纠纷、千乡万村创四无”专项</w:t>
            </w:r>
            <w:r>
              <w:rPr>
                <w:rFonts w:hint="eastAsia" w:ascii="仿宋_GB2312" w:hAnsi="仿宋_GB2312" w:eastAsia="仿宋_GB2312" w:cs="仿宋_GB2312"/>
                <w:color w:val="000000"/>
                <w:sz w:val="24"/>
                <w:lang w:eastAsia="zh-CN"/>
              </w:rPr>
              <w:t>人民</w:t>
            </w:r>
            <w:r>
              <w:rPr>
                <w:rFonts w:hint="eastAsia" w:ascii="仿宋_GB2312" w:hAnsi="仿宋_GB2312" w:eastAsia="仿宋_GB2312" w:cs="仿宋_GB2312"/>
                <w:color w:val="000000"/>
                <w:sz w:val="24"/>
              </w:rPr>
              <w:t>调解</w:t>
            </w:r>
            <w:r>
              <w:rPr>
                <w:rFonts w:hint="eastAsia" w:ascii="仿宋_GB2312" w:hAnsi="仿宋_GB2312" w:eastAsia="仿宋_GB2312" w:cs="仿宋_GB2312"/>
                <w:color w:val="000000"/>
                <w:sz w:val="24"/>
                <w:lang w:eastAsia="zh-CN"/>
              </w:rPr>
              <w:t>活动，</w:t>
            </w:r>
            <w:r>
              <w:rPr>
                <w:rFonts w:hint="eastAsia" w:ascii="仿宋_GB2312" w:hAnsi="仿宋_GB2312" w:eastAsia="仿宋_GB2312" w:cs="仿宋_GB2312"/>
                <w:color w:val="000000"/>
                <w:sz w:val="24"/>
              </w:rPr>
              <w:t>共开展纠纷</w:t>
            </w:r>
            <w:r>
              <w:rPr>
                <w:rFonts w:hint="eastAsia" w:ascii="仿宋_GB2312" w:hAnsi="仿宋_GB2312" w:eastAsia="仿宋_GB2312" w:cs="仿宋_GB2312"/>
                <w:color w:val="000000"/>
                <w:sz w:val="24"/>
                <w:lang w:eastAsia="zh-CN"/>
              </w:rPr>
              <w:t>集中</w:t>
            </w:r>
            <w:r>
              <w:rPr>
                <w:rFonts w:hint="eastAsia" w:ascii="仿宋_GB2312" w:hAnsi="仿宋_GB2312" w:eastAsia="仿宋_GB2312" w:cs="仿宋_GB2312"/>
                <w:color w:val="000000"/>
                <w:sz w:val="24"/>
              </w:rPr>
              <w:t>排查</w:t>
            </w:r>
            <w:r>
              <w:rPr>
                <w:rFonts w:hint="eastAsia" w:ascii="仿宋_GB2312" w:hAnsi="仿宋_GB2312" w:eastAsia="仿宋_GB2312" w:cs="仿宋_GB2312"/>
                <w:color w:val="000000"/>
                <w:sz w:val="24"/>
                <w:lang w:val="en-US" w:eastAsia="zh-CN"/>
              </w:rPr>
              <w:t>60</w:t>
            </w:r>
            <w:r>
              <w:rPr>
                <w:rFonts w:hint="eastAsia" w:ascii="仿宋_GB2312" w:hAnsi="仿宋_GB2312" w:eastAsia="仿宋_GB2312" w:cs="仿宋_GB2312"/>
                <w:color w:val="000000"/>
                <w:sz w:val="24"/>
              </w:rPr>
              <w:t>次，调解矛盾纠纷650余起，调解成功率99.4%</w:t>
            </w:r>
            <w:r>
              <w:rPr>
                <w:rFonts w:hint="eastAsia" w:ascii="仿宋_GB2312" w:hAnsi="仿宋_GB2312" w:eastAsia="仿宋_GB2312" w:cs="仿宋_GB2312"/>
                <w:color w:val="000000"/>
                <w:sz w:val="24"/>
                <w:lang w:eastAsia="zh-CN"/>
              </w:rPr>
              <w:t>，全区无一起民转刑案件发生。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抓</w:t>
            </w:r>
            <w:r>
              <w:rPr>
                <w:rFonts w:hint="eastAsia" w:ascii="仿宋_GB2312" w:hAnsi="仿宋_GB2312" w:eastAsia="仿宋_GB2312" w:cs="仿宋_GB2312"/>
                <w:color w:val="000000"/>
                <w:sz w:val="24"/>
              </w:rPr>
              <w:t>实脱贫攻坚工作</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服务全区经济社会发展</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为联点村解决帮扶资金</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万元</w:t>
            </w:r>
            <w:r>
              <w:rPr>
                <w:rFonts w:hint="eastAsia" w:ascii="仿宋_GB2312" w:hAnsi="仿宋_GB2312" w:eastAsia="仿宋_GB2312" w:cs="仿宋_GB2312"/>
                <w:color w:val="000000"/>
                <w:sz w:val="24"/>
                <w:lang w:eastAsia="zh-CN"/>
              </w:rPr>
              <w:t>、防汛经费</w:t>
            </w:r>
            <w:r>
              <w:rPr>
                <w:rFonts w:hint="eastAsia" w:ascii="仿宋_GB2312" w:hAnsi="仿宋_GB2312" w:eastAsia="仿宋_GB2312" w:cs="仿宋_GB2312"/>
                <w:color w:val="000000"/>
                <w:sz w:val="24"/>
                <w:lang w:val="en-US" w:eastAsia="zh-CN"/>
              </w:rPr>
              <w:t>3万元</w:t>
            </w:r>
            <w:r>
              <w:rPr>
                <w:rFonts w:hint="eastAsia" w:ascii="仿宋_GB2312" w:hAnsi="仿宋_GB2312" w:eastAsia="仿宋_GB2312" w:cs="仿宋_GB2312"/>
                <w:color w:val="000000"/>
                <w:sz w:val="24"/>
              </w:rPr>
              <w:t>，送慰问金</w:t>
            </w:r>
            <w:r>
              <w:rPr>
                <w:rFonts w:hint="eastAsia" w:ascii="仿宋_GB2312" w:hAnsi="仿宋_GB2312" w:eastAsia="仿宋_GB2312" w:cs="仿宋_GB2312"/>
                <w:color w:val="000000"/>
                <w:sz w:val="24"/>
                <w:lang w:val="en-US" w:eastAsia="zh-CN"/>
              </w:rPr>
              <w:t>58</w:t>
            </w:r>
            <w:r>
              <w:rPr>
                <w:rFonts w:hint="eastAsia" w:ascii="仿宋_GB2312" w:hAnsi="仿宋_GB2312" w:eastAsia="仿宋_GB2312" w:cs="仿宋_GB2312"/>
                <w:color w:val="000000"/>
                <w:sz w:val="24"/>
              </w:rPr>
              <w:t>00元，送食用油、米等生活必需品</w:t>
            </w:r>
            <w:r>
              <w:rPr>
                <w:rFonts w:hint="eastAsia" w:ascii="仿宋_GB2312" w:hAnsi="仿宋_GB2312" w:eastAsia="仿宋_GB2312" w:cs="仿宋_GB2312"/>
                <w:color w:val="000000"/>
                <w:sz w:val="24"/>
                <w:lang w:val="en-US" w:eastAsia="zh-CN"/>
              </w:rPr>
              <w:t>55</w:t>
            </w:r>
            <w:r>
              <w:rPr>
                <w:rFonts w:hint="eastAsia" w:ascii="仿宋_GB2312" w:hAnsi="仿宋_GB2312" w:eastAsia="仿宋_GB2312" w:cs="仿宋_GB2312"/>
                <w:color w:val="000000"/>
                <w:sz w:val="24"/>
              </w:rPr>
              <w:t>00多元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无明显生态环境效益</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无明显生态环境效益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7"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指标：人民群众对机关履职</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业务工作</w:t>
            </w:r>
            <w:r>
              <w:rPr>
                <w:rFonts w:hint="eastAsia" w:ascii="仿宋_GB2312" w:hAnsi="仿宋_GB2312" w:eastAsia="仿宋_GB2312" w:cs="仿宋_GB2312"/>
                <w:color w:val="000000"/>
                <w:sz w:val="24"/>
                <w:lang w:val="en-US" w:eastAsia="zh-CN"/>
              </w:rPr>
              <w:t>的</w:t>
            </w:r>
            <w:r>
              <w:rPr>
                <w:rFonts w:hint="eastAsia" w:ascii="仿宋_GB2312" w:hAnsi="仿宋_GB2312" w:eastAsia="仿宋_GB2312" w:cs="仿宋_GB2312"/>
                <w:color w:val="000000"/>
                <w:sz w:val="24"/>
              </w:rPr>
              <w:t>满意度</w:t>
            </w:r>
            <w:r>
              <w:rPr>
                <w:rFonts w:hint="eastAsia" w:ascii="仿宋_GB2312" w:hAnsi="仿宋_GB2312" w:eastAsia="仿宋_GB2312" w:cs="仿宋_GB2312"/>
                <w:color w:val="000000"/>
                <w:sz w:val="24"/>
                <w:lang w:val="en-US" w:eastAsia="zh-CN"/>
              </w:rPr>
              <w:t>评价</w:t>
            </w:r>
            <w:r>
              <w:rPr>
                <w:rFonts w:hint="eastAsia" w:ascii="仿宋_GB2312" w:hAnsi="仿宋_GB2312" w:eastAsia="仿宋_GB2312" w:cs="仿宋_GB2312"/>
                <w:color w:val="000000"/>
                <w:sz w:val="24"/>
              </w:rPr>
              <w:t xml:space="preserve"> </w:t>
            </w:r>
          </w:p>
        </w:tc>
        <w:tc>
          <w:tcPr>
            <w:tcW w:w="2684" w:type="dxa"/>
            <w:gridSpan w:val="6"/>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4"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1"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洪  卫</w:t>
            </w:r>
          </w:p>
        </w:tc>
        <w:tc>
          <w:tcPr>
            <w:tcW w:w="3561" w:type="dxa"/>
            <w:gridSpan w:val="6"/>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党组成员、财务负责人</w:t>
            </w:r>
          </w:p>
        </w:tc>
        <w:tc>
          <w:tcPr>
            <w:tcW w:w="1479" w:type="dxa"/>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区司法局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39" w:hRule="atLeast"/>
          <w:jc w:val="center"/>
        </w:trPr>
        <w:tc>
          <w:tcPr>
            <w:tcW w:w="1654" w:type="dxa"/>
            <w:gridSpan w:val="2"/>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龙</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喜</w:t>
            </w:r>
          </w:p>
        </w:tc>
        <w:tc>
          <w:tcPr>
            <w:tcW w:w="3561" w:type="dxa"/>
            <w:gridSpan w:val="6"/>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社矫股</w:t>
            </w:r>
          </w:p>
        </w:tc>
        <w:tc>
          <w:tcPr>
            <w:tcW w:w="1479" w:type="dxa"/>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区司法局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赵  双</w:t>
            </w:r>
          </w:p>
        </w:tc>
        <w:tc>
          <w:tcPr>
            <w:tcW w:w="3561" w:type="dxa"/>
            <w:gridSpan w:val="6"/>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行政复议和应诉股股长</w:t>
            </w:r>
          </w:p>
        </w:tc>
        <w:tc>
          <w:tcPr>
            <w:tcW w:w="1479" w:type="dxa"/>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区司法局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陈秀来</w:t>
            </w:r>
          </w:p>
        </w:tc>
        <w:tc>
          <w:tcPr>
            <w:tcW w:w="3561" w:type="dxa"/>
            <w:gridSpan w:val="6"/>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办公室</w:t>
            </w:r>
          </w:p>
        </w:tc>
        <w:tc>
          <w:tcPr>
            <w:tcW w:w="1479" w:type="dxa"/>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区司法局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spacing w:line="320" w:lineRule="exact"/>
        <w:rPr>
          <w:rFonts w:hint="eastAsia" w:eastAsia="仿宋_GB2312"/>
          <w:sz w:val="24"/>
        </w:rPr>
      </w:pPr>
    </w:p>
    <w:p>
      <w:pPr>
        <w:spacing w:line="320" w:lineRule="exact"/>
        <w:rPr>
          <w:rFonts w:hint="default" w:eastAsia="仿宋_GB2312"/>
          <w:sz w:val="24"/>
          <w:lang w:val="en-US" w:eastAsia="zh-CN"/>
        </w:rPr>
      </w:pPr>
      <w:r>
        <w:rPr>
          <w:rFonts w:hint="eastAsia" w:eastAsia="仿宋_GB2312"/>
          <w:sz w:val="24"/>
        </w:rPr>
        <w:t>填报人（签名）：</w:t>
      </w:r>
      <w:r>
        <w:rPr>
          <w:rFonts w:hint="eastAsia" w:eastAsia="仿宋_GB2312"/>
          <w:sz w:val="24"/>
          <w:lang w:eastAsia="zh-CN"/>
        </w:rPr>
        <w:t>陈秀来</w:t>
      </w:r>
      <w:r>
        <w:rPr>
          <w:rFonts w:hint="eastAsia" w:eastAsia="仿宋_GB2312"/>
          <w:sz w:val="24"/>
        </w:rPr>
        <w:t xml:space="preserve">                 联系电话：</w:t>
      </w:r>
      <w:r>
        <w:rPr>
          <w:rFonts w:hint="eastAsia" w:eastAsia="仿宋_GB2312"/>
          <w:sz w:val="24"/>
          <w:lang w:val="en-US" w:eastAsia="zh-CN"/>
        </w:rPr>
        <w:t>18711216792</w:t>
      </w:r>
    </w:p>
    <w:p>
      <w:pPr>
        <w:spacing w:line="320" w:lineRule="exact"/>
        <w:rPr>
          <w:rFonts w:hint="eastAsia" w:eastAsia="仿宋_GB2312"/>
          <w:sz w:val="24"/>
        </w:rPr>
      </w:pPr>
    </w:p>
    <w:p/>
    <w:p/>
    <w:p/>
    <w:p/>
    <w:p/>
    <w:p/>
    <w:p/>
    <w:p/>
    <w:p/>
    <w:p/>
    <w:p/>
    <w:p>
      <w:pPr>
        <w:spacing w:line="440" w:lineRule="exact"/>
        <w:ind w:firstLine="640" w:firstLineChars="200"/>
        <w:rPr>
          <w:rFonts w:eastAsia="仿宋_GB2312"/>
          <w:sz w:val="32"/>
          <w:szCs w:val="32"/>
        </w:rPr>
      </w:pPr>
    </w:p>
    <w:p>
      <w:pPr>
        <w:spacing w:line="440" w:lineRule="exact"/>
        <w:ind w:firstLine="640" w:firstLineChars="200"/>
        <w:rPr>
          <w:rFonts w:eastAsia="仿宋_GB2312"/>
          <w:sz w:val="32"/>
          <w:szCs w:val="32"/>
        </w:rPr>
      </w:pPr>
    </w:p>
    <w:p>
      <w:pPr>
        <w:spacing w:line="700" w:lineRule="exact"/>
        <w:jc w:val="center"/>
        <w:rPr>
          <w:rFonts w:ascii="方正小标宋_GBK" w:hAnsi="宋体" w:eastAsia="方正小标宋_GBK" w:cs="方正小标"/>
          <w:bCs/>
          <w:sz w:val="44"/>
          <w:szCs w:val="44"/>
        </w:rPr>
      </w:pPr>
      <w:r>
        <w:rPr>
          <w:rFonts w:hint="eastAsia" w:ascii="方正小标宋_GBK" w:hAnsi="宋体" w:eastAsia="方正小标宋_GBK" w:cs="方正小标"/>
          <w:bCs/>
          <w:sz w:val="44"/>
          <w:szCs w:val="44"/>
        </w:rPr>
        <w:t>岳阳市君山区司法局</w:t>
      </w:r>
    </w:p>
    <w:p>
      <w:pPr>
        <w:spacing w:line="700" w:lineRule="exact"/>
        <w:jc w:val="center"/>
        <w:rPr>
          <w:rFonts w:ascii="方正小标宋_GBK" w:hAnsi="宋体" w:eastAsia="方正小标宋_GBK" w:cs="方正小标"/>
          <w:bCs/>
          <w:sz w:val="44"/>
          <w:szCs w:val="44"/>
        </w:rPr>
      </w:pPr>
      <w:r>
        <w:rPr>
          <w:rFonts w:hint="eastAsia" w:ascii="方正小标宋_GBK" w:hAnsi="宋体" w:eastAsia="方正小标宋_GBK" w:cs="方正小标"/>
          <w:bCs/>
          <w:sz w:val="44"/>
          <w:szCs w:val="44"/>
        </w:rPr>
        <w:t>20</w:t>
      </w:r>
      <w:r>
        <w:rPr>
          <w:rFonts w:hint="eastAsia" w:ascii="方正小标宋_GBK" w:hAnsi="宋体" w:eastAsia="方正小标宋_GBK" w:cs="方正小标"/>
          <w:bCs/>
          <w:sz w:val="44"/>
          <w:szCs w:val="44"/>
          <w:lang w:val="en-US" w:eastAsia="zh-CN"/>
        </w:rPr>
        <w:t>20</w:t>
      </w:r>
      <w:r>
        <w:rPr>
          <w:rFonts w:hint="eastAsia" w:ascii="方正小标宋_GBK" w:hAnsi="宋体" w:eastAsia="方正小标宋_GBK" w:cs="方正小标"/>
          <w:bCs/>
          <w:sz w:val="44"/>
          <w:szCs w:val="44"/>
        </w:rPr>
        <w:t>年部门整体支出绩效评价报告</w:t>
      </w:r>
    </w:p>
    <w:p>
      <w:pPr>
        <w:spacing w:line="600" w:lineRule="exact"/>
        <w:ind w:firstLine="3450" w:firstLineChars="750"/>
        <w:rPr>
          <w:rFonts w:ascii="仿宋_GB2312" w:hAnsi="方正小标" w:eastAsia="仿宋_GB2312" w:cs="方正小标"/>
          <w:bCs/>
          <w:spacing w:val="10"/>
          <w:sz w:val="44"/>
          <w:szCs w:val="44"/>
        </w:rPr>
      </w:pPr>
    </w:p>
    <w:p>
      <w:pPr>
        <w:spacing w:line="600" w:lineRule="exact"/>
        <w:ind w:firstLine="600" w:firstLineChars="200"/>
        <w:jc w:val="left"/>
        <w:rPr>
          <w:rFonts w:hint="eastAsia" w:ascii="仿宋" w:hAnsi="仿宋" w:eastAsia="仿宋" w:cs="仿宋_GB2312"/>
          <w:spacing w:val="10"/>
          <w:sz w:val="28"/>
          <w:szCs w:val="28"/>
        </w:rPr>
      </w:pPr>
      <w:r>
        <w:rPr>
          <w:rFonts w:hint="eastAsia" w:ascii="仿宋" w:hAnsi="仿宋" w:eastAsia="仿宋" w:cs="仿宋_GB2312"/>
          <w:spacing w:val="10"/>
          <w:sz w:val="28"/>
          <w:szCs w:val="28"/>
        </w:rPr>
        <w:t>根据《</w:t>
      </w:r>
      <w:r>
        <w:rPr>
          <w:rFonts w:hint="eastAsia" w:ascii="仿宋" w:hAnsi="仿宋" w:eastAsia="仿宋" w:cs="仿宋_GB2312"/>
          <w:spacing w:val="10"/>
          <w:sz w:val="28"/>
          <w:szCs w:val="28"/>
          <w:lang w:eastAsia="zh-CN"/>
        </w:rPr>
        <w:t>君山区</w:t>
      </w:r>
      <w:r>
        <w:rPr>
          <w:rFonts w:hint="eastAsia" w:ascii="仿宋" w:hAnsi="仿宋" w:eastAsia="仿宋" w:cs="仿宋_GB2312"/>
          <w:spacing w:val="10"/>
          <w:sz w:val="28"/>
          <w:szCs w:val="28"/>
        </w:rPr>
        <w:t>财政局关于开展20</w:t>
      </w:r>
      <w:r>
        <w:rPr>
          <w:rFonts w:hint="eastAsia" w:ascii="仿宋" w:hAnsi="仿宋" w:eastAsia="仿宋" w:cs="仿宋_GB2312"/>
          <w:spacing w:val="10"/>
          <w:sz w:val="28"/>
          <w:szCs w:val="28"/>
          <w:lang w:val="en-US" w:eastAsia="zh-CN"/>
        </w:rPr>
        <w:t>21</w:t>
      </w:r>
      <w:r>
        <w:rPr>
          <w:rFonts w:hint="eastAsia" w:ascii="仿宋" w:hAnsi="仿宋" w:eastAsia="仿宋" w:cs="仿宋_GB2312"/>
          <w:spacing w:val="10"/>
          <w:sz w:val="28"/>
          <w:szCs w:val="28"/>
        </w:rPr>
        <w:t>年度财政支出绩效自评工作的通知》（</w:t>
      </w:r>
      <w:r>
        <w:rPr>
          <w:rFonts w:hint="eastAsia" w:ascii="仿宋" w:hAnsi="仿宋" w:eastAsia="仿宋" w:cs="仿宋_GB2312"/>
          <w:spacing w:val="10"/>
          <w:sz w:val="28"/>
          <w:szCs w:val="28"/>
          <w:lang w:eastAsia="zh-CN"/>
        </w:rPr>
        <w:t>岳君财发</w:t>
      </w:r>
      <w:r>
        <w:rPr>
          <w:rFonts w:hint="eastAsia" w:ascii="仿宋" w:hAnsi="仿宋" w:eastAsia="仿宋" w:cs="仿宋_GB2312"/>
          <w:spacing w:val="10"/>
          <w:sz w:val="28"/>
          <w:szCs w:val="28"/>
        </w:rPr>
        <w:t>〔20</w:t>
      </w:r>
      <w:r>
        <w:rPr>
          <w:rFonts w:hint="eastAsia" w:ascii="仿宋" w:hAnsi="仿宋" w:eastAsia="仿宋" w:cs="仿宋_GB2312"/>
          <w:spacing w:val="10"/>
          <w:sz w:val="28"/>
          <w:szCs w:val="28"/>
          <w:lang w:val="en-US" w:eastAsia="zh-CN"/>
        </w:rPr>
        <w:t>21</w:t>
      </w:r>
      <w:r>
        <w:rPr>
          <w:rFonts w:hint="eastAsia" w:ascii="仿宋" w:hAnsi="仿宋" w:eastAsia="仿宋" w:cs="仿宋_GB2312"/>
          <w:spacing w:val="10"/>
          <w:sz w:val="28"/>
          <w:szCs w:val="28"/>
        </w:rPr>
        <w:t>〕</w:t>
      </w:r>
      <w:r>
        <w:rPr>
          <w:rFonts w:hint="eastAsia" w:ascii="仿宋" w:hAnsi="仿宋" w:eastAsia="仿宋" w:cs="仿宋_GB2312"/>
          <w:spacing w:val="10"/>
          <w:sz w:val="28"/>
          <w:szCs w:val="28"/>
          <w:lang w:val="en-US" w:eastAsia="zh-CN"/>
        </w:rPr>
        <w:t>10</w:t>
      </w:r>
      <w:r>
        <w:rPr>
          <w:rFonts w:hint="eastAsia" w:ascii="仿宋" w:hAnsi="仿宋" w:eastAsia="仿宋" w:cs="仿宋_GB2312"/>
          <w:spacing w:val="10"/>
          <w:sz w:val="28"/>
          <w:szCs w:val="28"/>
        </w:rPr>
        <w:t>号）文件精神，为全面推进部门整体绩效目标的实现，提升财政资金的使用效率，强化预算支出的责任和效率，我</w:t>
      </w:r>
      <w:r>
        <w:rPr>
          <w:rFonts w:hint="eastAsia" w:ascii="仿宋" w:hAnsi="仿宋" w:eastAsia="仿宋" w:cs="仿宋_GB2312"/>
          <w:spacing w:val="10"/>
          <w:sz w:val="28"/>
          <w:szCs w:val="28"/>
          <w:lang w:val="en-US" w:eastAsia="zh-CN"/>
        </w:rPr>
        <w:t>单位</w:t>
      </w:r>
      <w:r>
        <w:rPr>
          <w:rFonts w:hint="eastAsia" w:ascii="仿宋" w:hAnsi="仿宋" w:eastAsia="仿宋" w:cs="仿宋_GB2312"/>
          <w:spacing w:val="10"/>
          <w:sz w:val="28"/>
          <w:szCs w:val="28"/>
        </w:rPr>
        <w:t>对20</w:t>
      </w:r>
      <w:r>
        <w:rPr>
          <w:rFonts w:hint="eastAsia" w:ascii="仿宋" w:hAnsi="仿宋" w:eastAsia="仿宋" w:cs="仿宋_GB2312"/>
          <w:spacing w:val="10"/>
          <w:sz w:val="28"/>
          <w:szCs w:val="28"/>
          <w:lang w:val="en-US" w:eastAsia="zh-CN"/>
        </w:rPr>
        <w:t>20</w:t>
      </w:r>
      <w:r>
        <w:rPr>
          <w:rFonts w:hint="eastAsia" w:ascii="仿宋" w:hAnsi="仿宋" w:eastAsia="仿宋" w:cs="仿宋_GB2312"/>
          <w:spacing w:val="10"/>
          <w:sz w:val="28"/>
          <w:szCs w:val="28"/>
        </w:rPr>
        <w:t>年部门整体支出开展了绩效自评。现将具体情况报告如下：</w:t>
      </w:r>
    </w:p>
    <w:p>
      <w:pPr>
        <w:spacing w:line="600" w:lineRule="exact"/>
        <w:ind w:firstLine="602" w:firstLineChars="200"/>
        <w:jc w:val="left"/>
        <w:rPr>
          <w:rFonts w:ascii="仿宋" w:hAnsi="仿宋" w:eastAsia="仿宋" w:cs="仿宋_GB2312"/>
          <w:b/>
          <w:bCs/>
          <w:spacing w:val="10"/>
          <w:sz w:val="28"/>
          <w:szCs w:val="28"/>
        </w:rPr>
      </w:pPr>
      <w:r>
        <w:rPr>
          <w:rFonts w:hint="eastAsia" w:ascii="仿宋" w:hAnsi="仿宋" w:eastAsia="仿宋" w:cs="仿宋_GB2312"/>
          <w:b/>
          <w:bCs/>
          <w:spacing w:val="10"/>
          <w:sz w:val="28"/>
          <w:szCs w:val="28"/>
        </w:rPr>
        <w:t>一、部门（单位）概况</w:t>
      </w:r>
    </w:p>
    <w:p>
      <w:pPr>
        <w:spacing w:line="600" w:lineRule="exact"/>
        <w:ind w:firstLine="600" w:firstLineChars="200"/>
        <w:jc w:val="left"/>
        <w:rPr>
          <w:rFonts w:ascii="仿宋" w:hAnsi="仿宋" w:eastAsia="仿宋" w:cs="仿宋_GB2312"/>
          <w:spacing w:val="10"/>
          <w:sz w:val="28"/>
          <w:szCs w:val="28"/>
        </w:rPr>
      </w:pPr>
      <w:r>
        <w:rPr>
          <w:rFonts w:hint="eastAsia" w:ascii="仿宋" w:hAnsi="仿宋" w:eastAsia="仿宋" w:cs="仿宋_GB2312"/>
          <w:spacing w:val="10"/>
          <w:sz w:val="28"/>
          <w:szCs w:val="28"/>
        </w:rPr>
        <w:t>1、职能职责</w:t>
      </w:r>
    </w:p>
    <w:p>
      <w:pPr>
        <w:spacing w:line="600" w:lineRule="exact"/>
        <w:ind w:firstLine="600" w:firstLineChars="200"/>
        <w:jc w:val="left"/>
        <w:rPr>
          <w:rFonts w:ascii="仿宋" w:hAnsi="仿宋" w:eastAsia="仿宋" w:cs="仿宋_GB2312"/>
          <w:spacing w:val="10"/>
          <w:sz w:val="28"/>
          <w:szCs w:val="28"/>
        </w:rPr>
      </w:pPr>
      <w:r>
        <w:rPr>
          <w:rFonts w:hint="eastAsia" w:ascii="仿宋" w:hAnsi="仿宋" w:eastAsia="仿宋" w:cs="仿宋_GB2312"/>
          <w:spacing w:val="10"/>
          <w:sz w:val="28"/>
          <w:szCs w:val="28"/>
        </w:rPr>
        <w:t>（</w:t>
      </w:r>
      <w:r>
        <w:rPr>
          <w:rFonts w:hint="eastAsia" w:ascii="仿宋" w:hAnsi="仿宋" w:eastAsia="仿宋" w:cs="仿宋_GB2312"/>
          <w:spacing w:val="10"/>
          <w:sz w:val="28"/>
          <w:szCs w:val="28"/>
          <w:lang w:val="en-US" w:eastAsia="zh-CN"/>
        </w:rPr>
        <w:t>1</w:t>
      </w:r>
      <w:r>
        <w:rPr>
          <w:rFonts w:hint="eastAsia" w:ascii="仿宋" w:hAnsi="仿宋" w:eastAsia="仿宋" w:cs="仿宋_GB2312"/>
          <w:spacing w:val="10"/>
          <w:sz w:val="28"/>
          <w:szCs w:val="28"/>
        </w:rPr>
        <w:t>）贯彻执行中央和省、市制定的有关司法行政工作的方针、政策、法律、法规和规章，编制全区司法行政工作中长期规划、年度计划并组织实施。</w:t>
      </w:r>
    </w:p>
    <w:p>
      <w:pPr>
        <w:spacing w:line="600" w:lineRule="exact"/>
        <w:ind w:firstLine="600" w:firstLineChars="200"/>
        <w:jc w:val="left"/>
        <w:rPr>
          <w:rFonts w:ascii="仿宋" w:hAnsi="仿宋" w:eastAsia="仿宋" w:cs="仿宋_GB2312"/>
          <w:spacing w:val="10"/>
          <w:sz w:val="28"/>
          <w:szCs w:val="28"/>
        </w:rPr>
      </w:pPr>
      <w:r>
        <w:rPr>
          <w:rFonts w:hint="eastAsia" w:ascii="仿宋" w:hAnsi="仿宋" w:eastAsia="仿宋" w:cs="仿宋_GB2312"/>
          <w:spacing w:val="10"/>
          <w:sz w:val="28"/>
          <w:szCs w:val="28"/>
        </w:rPr>
        <w:t>（</w:t>
      </w:r>
      <w:r>
        <w:rPr>
          <w:rFonts w:hint="eastAsia" w:ascii="仿宋" w:hAnsi="仿宋" w:eastAsia="仿宋" w:cs="仿宋_GB2312"/>
          <w:spacing w:val="10"/>
          <w:sz w:val="28"/>
          <w:szCs w:val="28"/>
          <w:lang w:val="en-US" w:eastAsia="zh-CN"/>
        </w:rPr>
        <w:t>2</w:t>
      </w:r>
      <w:r>
        <w:rPr>
          <w:rFonts w:hint="eastAsia" w:ascii="仿宋" w:hAnsi="仿宋" w:eastAsia="仿宋" w:cs="仿宋_GB2312"/>
          <w:spacing w:val="10"/>
          <w:sz w:val="28"/>
          <w:szCs w:val="28"/>
        </w:rPr>
        <w:t>）承担全面依法治区重大问题的政策研究；协调有关方面提出全面依法治区中长期规划建议；负责有关重大决策部署督查工作。</w:t>
      </w:r>
    </w:p>
    <w:p>
      <w:pPr>
        <w:spacing w:line="600" w:lineRule="exact"/>
        <w:ind w:firstLine="600" w:firstLineChars="200"/>
        <w:jc w:val="left"/>
        <w:rPr>
          <w:rFonts w:ascii="仿宋" w:hAnsi="仿宋" w:eastAsia="仿宋" w:cs="仿宋_GB2312"/>
          <w:spacing w:val="10"/>
          <w:sz w:val="28"/>
          <w:szCs w:val="28"/>
        </w:rPr>
      </w:pPr>
      <w:r>
        <w:rPr>
          <w:rFonts w:hint="eastAsia" w:ascii="仿宋" w:hAnsi="仿宋" w:eastAsia="仿宋" w:cs="仿宋_GB2312"/>
          <w:spacing w:val="10"/>
          <w:sz w:val="28"/>
          <w:szCs w:val="28"/>
        </w:rPr>
        <w:t>（</w:t>
      </w:r>
      <w:r>
        <w:rPr>
          <w:rFonts w:hint="eastAsia" w:ascii="仿宋" w:hAnsi="仿宋" w:eastAsia="仿宋" w:cs="仿宋_GB2312"/>
          <w:spacing w:val="10"/>
          <w:sz w:val="28"/>
          <w:szCs w:val="28"/>
          <w:lang w:val="en-US" w:eastAsia="zh-CN"/>
        </w:rPr>
        <w:t>3</w:t>
      </w:r>
      <w:r>
        <w:rPr>
          <w:rFonts w:hint="eastAsia" w:ascii="仿宋" w:hAnsi="仿宋" w:eastAsia="仿宋" w:cs="仿宋_GB2312"/>
          <w:spacing w:val="10"/>
          <w:sz w:val="28"/>
          <w:szCs w:val="28"/>
        </w:rPr>
        <w:t>）承担区政府法律顾问工作；对区政府重大行政决策进行合法性审查或论证说明；负责对政府合同订立工作进行监督和指导；负责政府重大合同订立之前的合法性审查；指导和监督全区行政复议、行政赔偿和行政应诉工作；承办区政府为行政复议机关和政府为被申请人的行政复议案件，承担区政府行政复议办公室日常工作；代理区政府的行政应诉事项，办理区政府为赔偿义务机关的行政赔偿案件；负责区政府法制信息工作。</w:t>
      </w:r>
    </w:p>
    <w:p>
      <w:pPr>
        <w:spacing w:line="600" w:lineRule="exact"/>
        <w:ind w:firstLine="600" w:firstLineChars="200"/>
        <w:jc w:val="left"/>
        <w:rPr>
          <w:rFonts w:ascii="仿宋" w:hAnsi="仿宋" w:eastAsia="仿宋" w:cs="仿宋_GB2312"/>
          <w:spacing w:val="10"/>
          <w:sz w:val="28"/>
          <w:szCs w:val="28"/>
        </w:rPr>
      </w:pPr>
      <w:r>
        <w:rPr>
          <w:rFonts w:hint="eastAsia" w:ascii="仿宋" w:hAnsi="仿宋" w:eastAsia="仿宋" w:cs="仿宋_GB2312"/>
          <w:spacing w:val="10"/>
          <w:sz w:val="28"/>
          <w:szCs w:val="28"/>
        </w:rPr>
        <w:t>（</w:t>
      </w:r>
      <w:r>
        <w:rPr>
          <w:rFonts w:hint="eastAsia" w:ascii="仿宋" w:hAnsi="仿宋" w:eastAsia="仿宋" w:cs="仿宋_GB2312"/>
          <w:spacing w:val="10"/>
          <w:sz w:val="28"/>
          <w:szCs w:val="28"/>
          <w:lang w:val="en-US" w:eastAsia="zh-CN"/>
        </w:rPr>
        <w:t>4</w:t>
      </w:r>
      <w:r>
        <w:rPr>
          <w:rFonts w:hint="eastAsia" w:ascii="仿宋" w:hAnsi="仿宋" w:eastAsia="仿宋" w:cs="仿宋_GB2312"/>
          <w:spacing w:val="10"/>
          <w:sz w:val="28"/>
          <w:szCs w:val="28"/>
        </w:rPr>
        <w:t>）指导全区规范性文件管理有关工作； 承担区政府规范性文件送审稿的合法性审查工作；承办区政府及其部门规范性文件的统一登记、统一编号、统一公布工作；报送备案区政府规范性文件；组织开展区政府规范性文件清理工作；受理有关规范性文件审查申请。</w:t>
      </w:r>
    </w:p>
    <w:p>
      <w:pPr>
        <w:spacing w:line="600" w:lineRule="exact"/>
        <w:ind w:firstLine="600" w:firstLineChars="200"/>
        <w:jc w:val="left"/>
        <w:rPr>
          <w:rFonts w:ascii="仿宋" w:hAnsi="仿宋" w:eastAsia="仿宋" w:cs="仿宋_GB2312"/>
          <w:spacing w:val="10"/>
          <w:sz w:val="28"/>
          <w:szCs w:val="28"/>
        </w:rPr>
      </w:pPr>
      <w:r>
        <w:rPr>
          <w:rFonts w:hint="eastAsia" w:ascii="仿宋" w:hAnsi="仿宋" w:eastAsia="仿宋" w:cs="仿宋_GB2312"/>
          <w:spacing w:val="10"/>
          <w:sz w:val="28"/>
          <w:szCs w:val="28"/>
        </w:rPr>
        <w:t>（</w:t>
      </w:r>
      <w:r>
        <w:rPr>
          <w:rFonts w:hint="eastAsia" w:ascii="仿宋" w:hAnsi="仿宋" w:eastAsia="仿宋" w:cs="仿宋_GB2312"/>
          <w:spacing w:val="10"/>
          <w:sz w:val="28"/>
          <w:szCs w:val="28"/>
          <w:lang w:val="en-US" w:eastAsia="zh-CN"/>
        </w:rPr>
        <w:t>5</w:t>
      </w:r>
      <w:r>
        <w:rPr>
          <w:rFonts w:hint="eastAsia" w:ascii="仿宋" w:hAnsi="仿宋" w:eastAsia="仿宋" w:cs="仿宋_GB2312"/>
          <w:spacing w:val="10"/>
          <w:sz w:val="28"/>
          <w:szCs w:val="28"/>
        </w:rPr>
        <w:t>）承担统筹推进法治政府建设工作；指导、监督区政府各部门依法行政工作；负责综合协调行政执法，推进行政执法体制改革有关工作，严格规范公正文明执法；承办全区行政执法人员执法资格考试，负责行政执法证件监管工作；负责对全区行政机关依法行政知识培训进行业务指导；负责全区政府法制工作人员的业务培训。</w:t>
      </w:r>
    </w:p>
    <w:p>
      <w:pPr>
        <w:spacing w:line="600" w:lineRule="exact"/>
        <w:ind w:firstLine="600" w:firstLineChars="200"/>
        <w:jc w:val="left"/>
        <w:rPr>
          <w:rFonts w:ascii="仿宋" w:hAnsi="仿宋" w:eastAsia="仿宋" w:cs="仿宋_GB2312"/>
          <w:spacing w:val="10"/>
          <w:sz w:val="28"/>
          <w:szCs w:val="28"/>
        </w:rPr>
      </w:pPr>
      <w:r>
        <w:rPr>
          <w:rFonts w:hint="eastAsia" w:ascii="仿宋" w:hAnsi="仿宋" w:eastAsia="仿宋" w:cs="仿宋_GB2312"/>
          <w:spacing w:val="10"/>
          <w:sz w:val="28"/>
          <w:szCs w:val="28"/>
        </w:rPr>
        <w:t>（</w:t>
      </w:r>
      <w:r>
        <w:rPr>
          <w:rFonts w:hint="eastAsia" w:ascii="仿宋" w:hAnsi="仿宋" w:eastAsia="仿宋" w:cs="仿宋_GB2312"/>
          <w:spacing w:val="10"/>
          <w:sz w:val="28"/>
          <w:szCs w:val="28"/>
          <w:lang w:val="en-US" w:eastAsia="zh-CN"/>
        </w:rPr>
        <w:t>6</w:t>
      </w:r>
      <w:r>
        <w:rPr>
          <w:rFonts w:hint="eastAsia" w:ascii="仿宋" w:hAnsi="仿宋" w:eastAsia="仿宋" w:cs="仿宋_GB2312"/>
          <w:spacing w:val="10"/>
          <w:sz w:val="28"/>
          <w:szCs w:val="28"/>
        </w:rPr>
        <w:t>）承担统筹规划全区法治社会建设工作；负责拟订法治宣传教育规划，组织实施普法宣传工作；推动人民参与和促进法治建设；指导依法治理和法治创建工作；参与社会治安综合治理工作；指导人民调解工作和人民陪审员、人民监督员选任和管理工作；推进基层司法所建设。</w:t>
      </w:r>
    </w:p>
    <w:p>
      <w:pPr>
        <w:spacing w:line="600" w:lineRule="exact"/>
        <w:ind w:firstLine="600" w:firstLineChars="200"/>
        <w:jc w:val="left"/>
        <w:rPr>
          <w:rFonts w:ascii="仿宋" w:hAnsi="仿宋" w:eastAsia="仿宋" w:cs="仿宋_GB2312"/>
          <w:spacing w:val="10"/>
          <w:sz w:val="28"/>
          <w:szCs w:val="28"/>
        </w:rPr>
      </w:pPr>
      <w:r>
        <w:rPr>
          <w:rFonts w:hint="eastAsia" w:ascii="仿宋" w:hAnsi="仿宋" w:eastAsia="仿宋" w:cs="仿宋_GB2312"/>
          <w:spacing w:val="10"/>
          <w:sz w:val="28"/>
          <w:szCs w:val="28"/>
        </w:rPr>
        <w:t>（</w:t>
      </w:r>
      <w:r>
        <w:rPr>
          <w:rFonts w:hint="eastAsia" w:ascii="仿宋" w:hAnsi="仿宋" w:eastAsia="仿宋" w:cs="仿宋_GB2312"/>
          <w:spacing w:val="10"/>
          <w:sz w:val="28"/>
          <w:szCs w:val="28"/>
          <w:lang w:val="en-US" w:eastAsia="zh-CN"/>
        </w:rPr>
        <w:t>7</w:t>
      </w:r>
      <w:r>
        <w:rPr>
          <w:rFonts w:hint="eastAsia" w:ascii="仿宋" w:hAnsi="仿宋" w:eastAsia="仿宋" w:cs="仿宋_GB2312"/>
          <w:spacing w:val="10"/>
          <w:sz w:val="28"/>
          <w:szCs w:val="28"/>
        </w:rPr>
        <w:t>）指导、管理社区矫正工作；指导刑满释放人员安置帮教工作；指导、支持和协助全区社区戒毒社区康复工作。</w:t>
      </w:r>
    </w:p>
    <w:p>
      <w:pPr>
        <w:spacing w:line="600" w:lineRule="exact"/>
        <w:ind w:firstLine="600" w:firstLineChars="200"/>
        <w:jc w:val="left"/>
        <w:rPr>
          <w:rFonts w:ascii="仿宋" w:hAnsi="仿宋" w:eastAsia="仿宋" w:cs="仿宋_GB2312"/>
          <w:spacing w:val="10"/>
          <w:sz w:val="28"/>
          <w:szCs w:val="28"/>
        </w:rPr>
      </w:pPr>
      <w:r>
        <w:rPr>
          <w:rFonts w:hint="eastAsia" w:ascii="仿宋" w:hAnsi="仿宋" w:eastAsia="仿宋" w:cs="仿宋_GB2312"/>
          <w:spacing w:val="10"/>
          <w:sz w:val="28"/>
          <w:szCs w:val="28"/>
        </w:rPr>
        <w:t>（</w:t>
      </w:r>
      <w:r>
        <w:rPr>
          <w:rFonts w:hint="eastAsia" w:ascii="仿宋" w:hAnsi="仿宋" w:eastAsia="仿宋" w:cs="仿宋_GB2312"/>
          <w:spacing w:val="10"/>
          <w:sz w:val="28"/>
          <w:szCs w:val="28"/>
          <w:lang w:val="en-US" w:eastAsia="zh-CN"/>
        </w:rPr>
        <w:t>8</w:t>
      </w:r>
      <w:r>
        <w:rPr>
          <w:rFonts w:hint="eastAsia" w:ascii="仿宋" w:hAnsi="仿宋" w:eastAsia="仿宋" w:cs="仿宋_GB2312"/>
          <w:spacing w:val="10"/>
          <w:sz w:val="28"/>
          <w:szCs w:val="28"/>
        </w:rPr>
        <w:t>）拟订公共法律服务体系建设规划并指导实施，统筹和布局城乡、区域公共法律服务资源；指导、监督律师、法律援助、司法鉴定、仲裁和基层法律服务管理工作。</w:t>
      </w:r>
    </w:p>
    <w:p>
      <w:pPr>
        <w:spacing w:line="600" w:lineRule="exact"/>
        <w:ind w:firstLine="600" w:firstLineChars="200"/>
        <w:jc w:val="left"/>
        <w:rPr>
          <w:rFonts w:ascii="仿宋" w:hAnsi="仿宋" w:eastAsia="仿宋" w:cs="仿宋_GB2312"/>
          <w:spacing w:val="10"/>
          <w:sz w:val="28"/>
          <w:szCs w:val="28"/>
        </w:rPr>
      </w:pPr>
      <w:r>
        <w:rPr>
          <w:rFonts w:hint="eastAsia" w:ascii="仿宋" w:hAnsi="仿宋" w:eastAsia="仿宋" w:cs="仿宋_GB2312"/>
          <w:spacing w:val="10"/>
          <w:sz w:val="28"/>
          <w:szCs w:val="28"/>
        </w:rPr>
        <w:t>（</w:t>
      </w:r>
      <w:r>
        <w:rPr>
          <w:rFonts w:hint="eastAsia" w:ascii="仿宋" w:hAnsi="仿宋" w:eastAsia="仿宋" w:cs="仿宋_GB2312"/>
          <w:spacing w:val="10"/>
          <w:sz w:val="28"/>
          <w:szCs w:val="28"/>
          <w:lang w:val="en-US" w:eastAsia="zh-CN"/>
        </w:rPr>
        <w:t>9</w:t>
      </w:r>
      <w:r>
        <w:rPr>
          <w:rFonts w:hint="eastAsia" w:ascii="仿宋" w:hAnsi="仿宋" w:eastAsia="仿宋" w:cs="仿宋_GB2312"/>
          <w:spacing w:val="10"/>
          <w:sz w:val="28"/>
          <w:szCs w:val="28"/>
        </w:rPr>
        <w:t>）负责全区司法行政系统财务计划以及服装、警车管理工作；指导和监督本系统财务、装备、设施、场所等保障工作；负责全区司法行政系统信息化建设工作。</w:t>
      </w:r>
    </w:p>
    <w:p>
      <w:pPr>
        <w:spacing w:line="600" w:lineRule="exact"/>
        <w:ind w:firstLine="600" w:firstLineChars="200"/>
        <w:jc w:val="left"/>
        <w:rPr>
          <w:rFonts w:ascii="仿宋" w:hAnsi="仿宋" w:eastAsia="仿宋" w:cs="仿宋_GB2312"/>
          <w:spacing w:val="10"/>
          <w:sz w:val="28"/>
          <w:szCs w:val="28"/>
        </w:rPr>
      </w:pPr>
      <w:r>
        <w:rPr>
          <w:rFonts w:hint="eastAsia" w:ascii="仿宋" w:hAnsi="仿宋" w:eastAsia="仿宋" w:cs="仿宋_GB2312"/>
          <w:spacing w:val="10"/>
          <w:sz w:val="28"/>
          <w:szCs w:val="28"/>
        </w:rPr>
        <w:t>（</w:t>
      </w:r>
      <w:r>
        <w:rPr>
          <w:rFonts w:hint="eastAsia" w:ascii="仿宋" w:hAnsi="仿宋" w:eastAsia="仿宋" w:cs="仿宋_GB2312"/>
          <w:spacing w:val="10"/>
          <w:sz w:val="28"/>
          <w:szCs w:val="28"/>
          <w:lang w:val="en-US" w:eastAsia="zh-CN"/>
        </w:rPr>
        <w:t>10</w:t>
      </w:r>
      <w:r>
        <w:rPr>
          <w:rFonts w:hint="eastAsia" w:ascii="仿宋" w:hAnsi="仿宋" w:eastAsia="仿宋" w:cs="仿宋_GB2312"/>
          <w:spacing w:val="10"/>
          <w:sz w:val="28"/>
          <w:szCs w:val="28"/>
        </w:rPr>
        <w:t>）规划、协调、指导法治人才队伍建设相关工作；指导、监督本系统党的建设和队伍建设。</w:t>
      </w:r>
    </w:p>
    <w:p>
      <w:pPr>
        <w:spacing w:line="600" w:lineRule="exact"/>
        <w:ind w:firstLine="600" w:firstLineChars="200"/>
        <w:jc w:val="left"/>
        <w:rPr>
          <w:rFonts w:ascii="仿宋" w:hAnsi="仿宋" w:eastAsia="仿宋" w:cs="仿宋_GB2312"/>
          <w:spacing w:val="10"/>
          <w:sz w:val="28"/>
          <w:szCs w:val="28"/>
        </w:rPr>
      </w:pPr>
      <w:r>
        <w:rPr>
          <w:rFonts w:hint="eastAsia" w:ascii="仿宋" w:hAnsi="仿宋" w:eastAsia="仿宋" w:cs="仿宋_GB2312"/>
          <w:spacing w:val="10"/>
          <w:sz w:val="28"/>
          <w:szCs w:val="28"/>
        </w:rPr>
        <w:t>（</w:t>
      </w:r>
      <w:r>
        <w:rPr>
          <w:rFonts w:hint="eastAsia" w:ascii="仿宋" w:hAnsi="仿宋" w:eastAsia="仿宋" w:cs="仿宋_GB2312"/>
          <w:spacing w:val="10"/>
          <w:sz w:val="28"/>
          <w:szCs w:val="28"/>
          <w:lang w:val="en-US" w:eastAsia="zh-CN"/>
        </w:rPr>
        <w:t>11</w:t>
      </w:r>
      <w:r>
        <w:rPr>
          <w:rFonts w:hint="eastAsia" w:ascii="仿宋" w:hAnsi="仿宋" w:eastAsia="仿宋" w:cs="仿宋_GB2312"/>
          <w:spacing w:val="10"/>
          <w:sz w:val="28"/>
          <w:szCs w:val="28"/>
        </w:rPr>
        <w:t>）完成区委、区政府交办的其他任务。</w:t>
      </w:r>
    </w:p>
    <w:p>
      <w:pPr>
        <w:spacing w:line="600" w:lineRule="exact"/>
        <w:ind w:firstLine="600" w:firstLineChars="200"/>
        <w:jc w:val="left"/>
        <w:rPr>
          <w:rFonts w:ascii="仿宋" w:hAnsi="仿宋" w:eastAsia="仿宋" w:cs="仿宋_GB2312"/>
          <w:spacing w:val="10"/>
          <w:sz w:val="28"/>
          <w:szCs w:val="28"/>
        </w:rPr>
      </w:pPr>
      <w:r>
        <w:rPr>
          <w:rFonts w:hint="eastAsia" w:ascii="仿宋" w:hAnsi="仿宋" w:eastAsia="仿宋" w:cs="仿宋_GB2312"/>
          <w:spacing w:val="10"/>
          <w:sz w:val="28"/>
          <w:szCs w:val="28"/>
        </w:rPr>
        <w:t>2、机构设置</w:t>
      </w:r>
    </w:p>
    <w:p>
      <w:pPr>
        <w:spacing w:line="600" w:lineRule="exact"/>
        <w:ind w:firstLine="600" w:firstLineChars="200"/>
        <w:jc w:val="left"/>
        <w:rPr>
          <w:rFonts w:ascii="仿宋" w:hAnsi="仿宋" w:eastAsia="仿宋" w:cs="仿宋_GB2312"/>
          <w:spacing w:val="10"/>
          <w:sz w:val="28"/>
          <w:szCs w:val="28"/>
        </w:rPr>
      </w:pPr>
      <w:r>
        <w:rPr>
          <w:rFonts w:hint="eastAsia" w:ascii="仿宋" w:hAnsi="仿宋" w:eastAsia="仿宋" w:cs="仿宋_GB2312"/>
          <w:spacing w:val="10"/>
          <w:sz w:val="28"/>
          <w:szCs w:val="28"/>
        </w:rPr>
        <w:t>我局设5个内设机构：办公室、文件管理与监督股、行政复议和应诉股、社区矫正股、普法和促进法治股和1个所属事业：君山区公共法律服务中心，下辖五个司法所。</w:t>
      </w:r>
    </w:p>
    <w:p>
      <w:pPr>
        <w:spacing w:line="600" w:lineRule="exact"/>
        <w:ind w:firstLine="600" w:firstLineChars="200"/>
        <w:jc w:val="left"/>
        <w:rPr>
          <w:rFonts w:ascii="仿宋" w:hAnsi="仿宋" w:eastAsia="仿宋" w:cs="仿宋_GB2312"/>
          <w:spacing w:val="10"/>
          <w:sz w:val="28"/>
          <w:szCs w:val="28"/>
        </w:rPr>
      </w:pPr>
      <w:r>
        <w:rPr>
          <w:rFonts w:hint="eastAsia" w:ascii="仿宋" w:hAnsi="仿宋" w:eastAsia="仿宋" w:cs="仿宋_GB2312"/>
          <w:spacing w:val="10"/>
          <w:sz w:val="28"/>
          <w:szCs w:val="28"/>
        </w:rPr>
        <w:t>我局共有编制21个，其中行政编制17个，事业编制4个。2020年现有在编在岗人员21人，其中行政编制人员17人，事业人员4人。另有临聘人员2人，离退休2人。</w:t>
      </w:r>
    </w:p>
    <w:p>
      <w:pPr>
        <w:numPr>
          <w:ilvl w:val="0"/>
          <w:numId w:val="1"/>
        </w:numPr>
        <w:spacing w:line="600" w:lineRule="exact"/>
        <w:ind w:firstLine="602" w:firstLineChars="200"/>
        <w:jc w:val="left"/>
        <w:rPr>
          <w:rFonts w:hint="eastAsia" w:ascii="仿宋" w:hAnsi="仿宋" w:eastAsia="仿宋" w:cs="仿宋_GB2312"/>
          <w:b/>
          <w:bCs/>
          <w:spacing w:val="10"/>
          <w:sz w:val="28"/>
          <w:szCs w:val="28"/>
        </w:rPr>
      </w:pPr>
      <w:r>
        <w:rPr>
          <w:rFonts w:hint="eastAsia" w:ascii="仿宋" w:hAnsi="仿宋" w:eastAsia="仿宋" w:cs="仿宋_GB2312"/>
          <w:b/>
          <w:bCs/>
          <w:spacing w:val="10"/>
          <w:sz w:val="28"/>
          <w:szCs w:val="28"/>
        </w:rPr>
        <w:t>部门（单位）整体支出规模、使用方向和主要内容、涉及范围等</w:t>
      </w:r>
    </w:p>
    <w:p>
      <w:pPr>
        <w:numPr>
          <w:ilvl w:val="0"/>
          <w:numId w:val="0"/>
        </w:numPr>
        <w:spacing w:line="600" w:lineRule="exact"/>
        <w:ind w:firstLine="560" w:firstLineChars="200"/>
        <w:jc w:val="left"/>
        <w:rPr>
          <w:rFonts w:ascii="仿宋" w:hAnsi="仿宋" w:eastAsia="仿宋" w:cs="仿宋_GB2312"/>
          <w:spacing w:val="10"/>
          <w:sz w:val="28"/>
          <w:szCs w:val="28"/>
        </w:rPr>
      </w:pPr>
      <w:r>
        <w:rPr>
          <w:rFonts w:hint="eastAsia" w:ascii="仿宋_GB2312" w:hAnsi="仿宋_GB2312" w:eastAsia="仿宋_GB2312" w:cs="仿宋_GB2312"/>
          <w:bCs/>
          <w:sz w:val="28"/>
          <w:szCs w:val="28"/>
          <w:lang w:val="en-US" w:eastAsia="zh-CN"/>
        </w:rPr>
        <w:t>2020年本单位整体支出416.07万元，其中基本支出358.07万元，占总支出的86.06%，基本支出中人员支出为256.23万元，公用支出101.84万元；项目支出58万元，占总支出的13.94%。</w:t>
      </w:r>
    </w:p>
    <w:p>
      <w:pPr>
        <w:spacing w:line="600" w:lineRule="exact"/>
        <w:ind w:firstLine="602" w:firstLineChars="200"/>
        <w:jc w:val="left"/>
        <w:rPr>
          <w:rFonts w:ascii="仿宋" w:hAnsi="仿宋" w:eastAsia="仿宋" w:cs="仿宋_GB2312"/>
          <w:b/>
          <w:bCs/>
          <w:spacing w:val="10"/>
          <w:sz w:val="28"/>
          <w:szCs w:val="28"/>
        </w:rPr>
      </w:pPr>
      <w:r>
        <w:rPr>
          <w:rFonts w:hint="eastAsia" w:ascii="仿宋" w:hAnsi="仿宋" w:eastAsia="仿宋" w:cs="仿宋_GB2312"/>
          <w:b/>
          <w:bCs/>
          <w:spacing w:val="10"/>
          <w:sz w:val="28"/>
          <w:szCs w:val="28"/>
        </w:rPr>
        <w:t>二、部门（单位）整体支出管理及使用情况</w:t>
      </w:r>
    </w:p>
    <w:p>
      <w:pPr>
        <w:spacing w:line="600" w:lineRule="exact"/>
        <w:ind w:firstLine="600" w:firstLineChars="200"/>
        <w:jc w:val="left"/>
        <w:rPr>
          <w:rFonts w:hint="eastAsia" w:ascii="仿宋" w:hAnsi="仿宋" w:eastAsia="仿宋" w:cs="仿宋_GB2312"/>
          <w:spacing w:val="10"/>
          <w:sz w:val="28"/>
          <w:szCs w:val="28"/>
        </w:rPr>
      </w:pPr>
      <w:r>
        <w:rPr>
          <w:rFonts w:hint="eastAsia" w:ascii="仿宋" w:hAnsi="仿宋" w:eastAsia="仿宋" w:cs="仿宋_GB2312"/>
          <w:spacing w:val="10"/>
          <w:sz w:val="28"/>
          <w:szCs w:val="28"/>
        </w:rPr>
        <w:t>（一）基本支出</w:t>
      </w:r>
    </w:p>
    <w:p>
      <w:pPr>
        <w:spacing w:line="600" w:lineRule="exact"/>
        <w:ind w:firstLine="560" w:firstLineChars="20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基本支出用于为保障机构正常运转、完成日常工作任务而发生的支出，包括人员经费和公用经费。2020年基本支出358.07万元，其中：工资福利支出243.35万元，占基本支出的67.96%；商品和服务支出92.31万元，占基本支出的25.78%；对个人和家庭的补助支出12.88万元，占基本支出的3.60%；资本性支出9.53万元，占基本支出的2.66%。</w:t>
      </w:r>
    </w:p>
    <w:p>
      <w:pPr>
        <w:spacing w:line="600" w:lineRule="exact"/>
        <w:ind w:firstLine="560" w:firstLineChars="20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2020年三公经费支出9.46万元，财政下达控制数为13.98万元，完成财政下达控制数的67.67%，其中因公出国（境）费0万元，公务车购置及运行维护费5.72万元，公务接待费3.74万元，使用当年财政拨款支出9.46万元。</w:t>
      </w:r>
    </w:p>
    <w:p>
      <w:pPr>
        <w:spacing w:line="600" w:lineRule="exact"/>
        <w:ind w:firstLine="600" w:firstLineChars="200"/>
        <w:jc w:val="left"/>
        <w:rPr>
          <w:rFonts w:ascii="仿宋" w:hAnsi="仿宋" w:eastAsia="仿宋" w:cs="仿宋_GB2312"/>
          <w:spacing w:val="10"/>
          <w:sz w:val="28"/>
          <w:szCs w:val="28"/>
        </w:rPr>
      </w:pPr>
      <w:r>
        <w:rPr>
          <w:rFonts w:hint="eastAsia" w:ascii="仿宋" w:hAnsi="仿宋" w:eastAsia="仿宋" w:cs="仿宋_GB2312"/>
          <w:spacing w:val="10"/>
          <w:sz w:val="28"/>
          <w:szCs w:val="28"/>
        </w:rPr>
        <w:t>（二）专项支出</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项目支出是在基本支出之外为完成其特定工作任务而发生的支出，主要用于司法运转工作经费专项支出。</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1、专项资金安排落实、总投入等情况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2020年我局专项资金年初结余0万元，本年财政拨款58.00万元，全部为本级财政安排，项目支出共发生支出58.00万元，结余0万元。</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2、专项资金实际使用情况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本级财政安排专项资金58.00万元（含年初结余），用于日常运行工作58万元。</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3、专项资金管理情况</w:t>
      </w:r>
    </w:p>
    <w:p>
      <w:pPr>
        <w:spacing w:line="560" w:lineRule="exact"/>
        <w:ind w:firstLine="560" w:firstLineChars="200"/>
        <w:rPr>
          <w:rFonts w:ascii="仿宋" w:hAnsi="仿宋" w:eastAsia="仿宋" w:cs="仿宋_GB2312"/>
          <w:spacing w:val="10"/>
          <w:sz w:val="28"/>
          <w:szCs w:val="28"/>
        </w:rPr>
      </w:pPr>
      <w:r>
        <w:rPr>
          <w:rFonts w:hint="eastAsia" w:ascii="仿宋_GB2312" w:hAnsi="仿宋_GB2312" w:eastAsia="仿宋_GB2312" w:cs="仿宋_GB2312"/>
          <w:bCs/>
          <w:sz w:val="28"/>
          <w:szCs w:val="28"/>
          <w:lang w:val="en-US" w:eastAsia="zh-CN"/>
        </w:rPr>
        <w:t>我局项目资金全部按财政国库集中支付制度要求使用和拨付，通过财政直接支付方式拨给项目实施单位。在拨付过程中严把监督审核关，建立健全内部审批制度，财务做好项目专帐，严格实行专款专用，保证资金及时足额用到项目中。</w:t>
      </w:r>
    </w:p>
    <w:p>
      <w:pPr>
        <w:spacing w:line="600" w:lineRule="exact"/>
        <w:ind w:firstLine="602" w:firstLineChars="200"/>
        <w:jc w:val="left"/>
        <w:rPr>
          <w:rFonts w:ascii="仿宋" w:hAnsi="仿宋" w:eastAsia="仿宋" w:cs="仿宋_GB2312"/>
          <w:b/>
          <w:bCs/>
          <w:spacing w:val="10"/>
          <w:sz w:val="28"/>
          <w:szCs w:val="28"/>
        </w:rPr>
      </w:pPr>
      <w:r>
        <w:rPr>
          <w:rFonts w:hint="eastAsia" w:ascii="仿宋" w:hAnsi="仿宋" w:eastAsia="仿宋" w:cs="仿宋_GB2312"/>
          <w:b/>
          <w:bCs/>
          <w:spacing w:val="10"/>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（一）专项组织情况分析</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我单位2020年项目采取以项目实施单位为主体，单位办公室监管的管理体制，项目建设严格按照区财政局的要求，对于没有达到财评的项目采取议价的方式进行实施，达到财评标准的建设项目严格按财评的要求，进行财评和公开招标程序办理，其他项目由于投资较小，未达到招投标金额标准的，由项目实施单位自行组织实施。项目按照申报方案实施，有变更的按照项目管理制度经审批后再作调整实施。年终组织专业技术人员对项目进行了验收，项目任务全部完成，质量全部达标。</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（二）专项管理情况分析</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按照项目资金管理制度要求，对项目实施和资金使用分配方案坚持局党组集体决策。对项目建设制订了工作方案，明确完成的具体时间，开展项目规划设计、部署工作，认真落实建设任务。</w:t>
      </w:r>
    </w:p>
    <w:p>
      <w:pPr>
        <w:spacing w:line="600" w:lineRule="exact"/>
        <w:ind w:firstLine="602" w:firstLineChars="200"/>
        <w:jc w:val="left"/>
        <w:rPr>
          <w:rFonts w:ascii="仿宋" w:hAnsi="仿宋" w:eastAsia="仿宋" w:cs="仿宋_GB2312"/>
          <w:b/>
          <w:bCs/>
          <w:spacing w:val="10"/>
          <w:sz w:val="28"/>
          <w:szCs w:val="28"/>
        </w:rPr>
      </w:pPr>
      <w:r>
        <w:rPr>
          <w:rFonts w:hint="eastAsia" w:ascii="仿宋" w:hAnsi="仿宋" w:eastAsia="仿宋" w:cs="仿宋_GB2312"/>
          <w:b/>
          <w:bCs/>
          <w:spacing w:val="10"/>
          <w:sz w:val="28"/>
          <w:szCs w:val="28"/>
        </w:rPr>
        <w:t>四、部门（单位）整体支出绩效情况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统筹推进依法治区。制定了《2020年全面依法治区工作要点》。区五届人大常委会第22次会议专题听取了2019年度法治政府建设年度报告。制定区政府合同管理办法、法律顾问管理办法等文件。审结行政复议件3件，办理行政诉讼案35件，审查政府部门合同35份。召开了全区行政应诉工作推进会。完成12件规范性文件审查、登记备案及公布工作。公开选聘1名法学教授、5名专职律师作为区政府兼职法律顾问，参与各类协调会议50多次。组织对76个村（社区）的《村规民约》进行了法制审核。钱粮湖镇百花社区被省司法厅、省民政厅评为全省民主法治示范社区。</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着力营造法治氛围。制定了2020年全区法治宣传教育工作要点、“谁执法谁普法”年度普法责任清单等。组织全区3018名公职人员参加网上学法考法。组织开展“送法下乡”主题宣传活动，开展疫情防控专题法治宣传、国家安全教育日、5月农村法治宣传教育月、12.4宪法宣传周等主题宣传活动。部署开展民法典、社区矫正法、人民调解法宣传月活动，免费发放各类普法书籍近万册。</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防范化解重大纠纷。坚持发展“枫桥经验”，继续深入开展“四查四防化纠纷、千乡万村创四无”专项人民调解活动。联合区法院开展诉源治理“多元化解”行动，在司法所建立了3个诉源治理工作站。2020年，各级调解组织共开展纠纷集中排查60次，调解矛盾纠纷650余起，调解成功率99.4%，全区无一起民转刑案件发生。</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4.强化特殊群体管控。目前，全区在矫社区服刑人员66人，共开展调查评估60人，建议收监执行2人。采取电子签到，运用面部＋指纹考勤系统，实行手机APP定位和电子腕带定位，实现日常监管全覆盖。组织对近5年来的刑释人员建立“一档一卡”，开展核查、核实率达100%，安置帮教率达95%。实现了社区服刑和刑释人员无脱管、漏管和重新违法犯罪。</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5.做强做实法律服务。在全区实现公共法律服务站点建设的全覆盖。依托农户、商户，建成法律服务志愿点750个。2020年，共办理法律援助案件24件，其中：民事案件7件、刑事案件17件，接待法律咨询180多人次，来电来访和咨询90人多次。</w:t>
      </w:r>
    </w:p>
    <w:p>
      <w:pPr>
        <w:spacing w:line="600" w:lineRule="exact"/>
        <w:ind w:firstLine="602" w:firstLineChars="200"/>
        <w:jc w:val="left"/>
        <w:rPr>
          <w:rFonts w:ascii="仿宋" w:hAnsi="仿宋" w:eastAsia="仿宋" w:cs="仿宋_GB2312"/>
          <w:b/>
          <w:bCs/>
          <w:spacing w:val="10"/>
          <w:sz w:val="28"/>
          <w:szCs w:val="28"/>
        </w:rPr>
      </w:pPr>
      <w:r>
        <w:rPr>
          <w:rFonts w:hint="eastAsia" w:ascii="仿宋" w:hAnsi="仿宋" w:eastAsia="仿宋" w:cs="仿宋_GB2312"/>
          <w:b/>
          <w:bCs/>
          <w:spacing w:val="10"/>
          <w:sz w:val="28"/>
          <w:szCs w:val="28"/>
        </w:rPr>
        <w:t>五、存在的主要问题</w:t>
      </w:r>
    </w:p>
    <w:p>
      <w:pPr>
        <w:spacing w:line="600" w:lineRule="exact"/>
        <w:ind w:firstLine="600" w:firstLineChars="200"/>
        <w:jc w:val="left"/>
        <w:rPr>
          <w:rFonts w:ascii="仿宋" w:hAnsi="仿宋" w:eastAsia="仿宋" w:cs="仿宋_GB2312"/>
          <w:spacing w:val="10"/>
          <w:sz w:val="28"/>
          <w:szCs w:val="28"/>
        </w:rPr>
      </w:pPr>
      <w:r>
        <w:rPr>
          <w:rFonts w:hint="eastAsia" w:ascii="仿宋" w:hAnsi="仿宋" w:eastAsia="仿宋" w:cs="仿宋_GB2312"/>
          <w:spacing w:val="10"/>
          <w:sz w:val="28"/>
          <w:szCs w:val="28"/>
        </w:rPr>
        <w:t>1.我局相关人员对于绩效评价的认识不够深入，把预算绩效简单等同于工作任务、工作考核和业务管理。</w:t>
      </w:r>
    </w:p>
    <w:p>
      <w:pPr>
        <w:spacing w:line="600" w:lineRule="exact"/>
        <w:ind w:firstLine="600" w:firstLineChars="200"/>
        <w:jc w:val="left"/>
        <w:rPr>
          <w:rFonts w:ascii="仿宋" w:hAnsi="仿宋" w:eastAsia="仿宋" w:cs="仿宋_GB2312"/>
          <w:spacing w:val="10"/>
          <w:sz w:val="28"/>
          <w:szCs w:val="28"/>
        </w:rPr>
      </w:pPr>
      <w:r>
        <w:rPr>
          <w:rFonts w:hint="eastAsia" w:ascii="仿宋" w:hAnsi="仿宋" w:eastAsia="仿宋" w:cs="仿宋_GB2312"/>
          <w:spacing w:val="10"/>
          <w:sz w:val="28"/>
          <w:szCs w:val="28"/>
        </w:rPr>
        <w:t>2.绩效目标和指标往往根据项目实际完成情况制定，对项目执行过程有效约束不够，存在偏差。</w:t>
      </w:r>
    </w:p>
    <w:p>
      <w:pPr>
        <w:spacing w:line="600" w:lineRule="exact"/>
        <w:ind w:firstLine="600" w:firstLineChars="200"/>
        <w:jc w:val="left"/>
        <w:rPr>
          <w:rFonts w:ascii="仿宋" w:hAnsi="仿宋" w:eastAsia="仿宋" w:cs="仿宋_GB2312"/>
          <w:spacing w:val="10"/>
          <w:sz w:val="28"/>
          <w:szCs w:val="28"/>
        </w:rPr>
      </w:pPr>
      <w:r>
        <w:rPr>
          <w:rFonts w:hint="eastAsia" w:ascii="仿宋" w:hAnsi="仿宋" w:eastAsia="仿宋" w:cs="仿宋_GB2312"/>
          <w:spacing w:val="10"/>
          <w:sz w:val="28"/>
          <w:szCs w:val="28"/>
        </w:rPr>
        <w:t>3.在绩效考评指标的设计上，部分特色指标缺乏数据支持和可行的分析测评，绩效指标体系有待完善。</w:t>
      </w:r>
    </w:p>
    <w:p>
      <w:pPr>
        <w:spacing w:line="600" w:lineRule="exact"/>
        <w:ind w:firstLine="602" w:firstLineChars="200"/>
        <w:jc w:val="left"/>
        <w:rPr>
          <w:rFonts w:ascii="仿宋" w:hAnsi="仿宋" w:eastAsia="仿宋" w:cs="仿宋_GB2312"/>
          <w:b/>
          <w:bCs/>
          <w:spacing w:val="10"/>
          <w:sz w:val="28"/>
          <w:szCs w:val="28"/>
        </w:rPr>
      </w:pPr>
      <w:r>
        <w:rPr>
          <w:rFonts w:hint="eastAsia" w:ascii="仿宋" w:hAnsi="仿宋" w:eastAsia="仿宋" w:cs="仿宋_GB2312"/>
          <w:b/>
          <w:bCs/>
          <w:spacing w:val="10"/>
          <w:sz w:val="28"/>
          <w:szCs w:val="28"/>
        </w:rPr>
        <w:t>六、改进措施和有关建议</w:t>
      </w:r>
    </w:p>
    <w:p>
      <w:pPr>
        <w:spacing w:line="600" w:lineRule="exact"/>
        <w:ind w:firstLine="600" w:firstLineChars="200"/>
        <w:jc w:val="left"/>
        <w:rPr>
          <w:rFonts w:ascii="仿宋" w:hAnsi="仿宋" w:eastAsia="仿宋" w:cs="仿宋_GB2312"/>
          <w:spacing w:val="10"/>
          <w:sz w:val="28"/>
          <w:szCs w:val="28"/>
        </w:rPr>
      </w:pPr>
      <w:r>
        <w:rPr>
          <w:rFonts w:hint="eastAsia" w:ascii="仿宋" w:hAnsi="仿宋" w:eastAsia="仿宋" w:cs="仿宋_GB2312"/>
          <w:spacing w:val="10"/>
          <w:sz w:val="28"/>
          <w:szCs w:val="28"/>
        </w:rPr>
        <w:t>我局将加强绩效评价管理制度和流程的建设，进一步深化、完善绩效管理体系，建立全过程的预算绩效管理机制，促进绩效管理工作向广度和深度延伸。规范绩效评价管理资料的收集整理，确保相关信息完整、可靠，客观公正地反映项目资金实际使用和产生的绩效状况，为今后该项目实施方向及管理方式的改进提高。</w:t>
      </w:r>
    </w:p>
    <w:p>
      <w:pPr>
        <w:spacing w:line="600" w:lineRule="exact"/>
        <w:ind w:firstLine="600" w:firstLineChars="200"/>
        <w:jc w:val="left"/>
        <w:rPr>
          <w:rFonts w:ascii="仿宋" w:hAnsi="仿宋" w:eastAsia="仿宋" w:cs="仿宋_GB2312"/>
          <w:spacing w:val="10"/>
          <w:sz w:val="28"/>
          <w:szCs w:val="28"/>
        </w:rPr>
      </w:pPr>
    </w:p>
    <w:p>
      <w:pPr>
        <w:spacing w:line="600" w:lineRule="exact"/>
        <w:ind w:firstLine="600" w:firstLineChars="200"/>
        <w:jc w:val="left"/>
        <w:rPr>
          <w:rFonts w:ascii="仿宋" w:hAnsi="仿宋" w:eastAsia="仿宋" w:cs="仿宋_GB2312"/>
          <w:spacing w:val="10"/>
          <w:sz w:val="28"/>
          <w:szCs w:val="28"/>
        </w:rPr>
      </w:pPr>
    </w:p>
    <w:p>
      <w:pPr>
        <w:spacing w:line="600" w:lineRule="exact"/>
        <w:ind w:firstLine="600" w:firstLineChars="200"/>
        <w:jc w:val="left"/>
        <w:rPr>
          <w:rFonts w:hint="default" w:ascii="仿宋" w:hAnsi="仿宋" w:eastAsia="仿宋" w:cs="仿宋_GB2312"/>
          <w:spacing w:val="10"/>
          <w:sz w:val="28"/>
          <w:szCs w:val="28"/>
          <w:lang w:val="en-US" w:eastAsia="zh-CN"/>
        </w:rPr>
      </w:pPr>
      <w:r>
        <w:rPr>
          <w:rFonts w:hint="eastAsia" w:ascii="仿宋" w:hAnsi="仿宋" w:eastAsia="仿宋" w:cs="仿宋_GB2312"/>
          <w:spacing w:val="10"/>
          <w:sz w:val="28"/>
          <w:szCs w:val="28"/>
        </w:rPr>
        <w:t xml:space="preserve">                            </w:t>
      </w:r>
    </w:p>
    <w:p>
      <w:pPr>
        <w:spacing w:line="600" w:lineRule="exact"/>
        <w:ind w:firstLine="600" w:firstLineChars="200"/>
        <w:jc w:val="left"/>
        <w:rPr>
          <w:rFonts w:ascii="仿宋" w:hAnsi="仿宋" w:eastAsia="仿宋" w:cs="仿宋_GB2312"/>
          <w:spacing w:val="10"/>
          <w:sz w:val="28"/>
          <w:szCs w:val="28"/>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spacing w:before="312" w:beforeLines="100" w:after="312" w:afterLines="100"/>
        <w:jc w:val="center"/>
        <w:rPr>
          <w:rFonts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eastAsia="zh-CN"/>
              </w:rPr>
              <w:t>预算调整率</w:t>
            </w:r>
            <w:r>
              <w:rPr>
                <w:rFonts w:hint="eastAsia" w:ascii="仿宋_GB2312" w:hAnsi="宋体" w:eastAsia="仿宋_GB2312" w:cs="宋体"/>
                <w:color w:val="000000"/>
                <w:kern w:val="0"/>
                <w:sz w:val="18"/>
                <w:szCs w:val="18"/>
                <w:lang w:val="en-US" w:eastAsia="zh-CN"/>
              </w:rPr>
              <w:t>8.24%</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
    <w:p/>
    <w:p/>
    <w:p>
      <w:pPr>
        <w:spacing w:before="312" w:beforeLines="100" w:after="312" w:afterLines="100"/>
        <w:jc w:val="center"/>
        <w:rPr>
          <w:rFonts w:hint="eastAsia" w:ascii="方正小标宋简体" w:eastAsia="方正小标宋简体"/>
          <w:sz w:val="36"/>
          <w:szCs w:val="36"/>
          <w:lang w:eastAsia="zh-CN"/>
        </w:rPr>
      </w:pPr>
      <w:r>
        <w:rPr>
          <w:rFonts w:hint="eastAsia" w:ascii="方正小标宋简体" w:eastAsia="方正小标宋简体"/>
          <w:sz w:val="36"/>
          <w:szCs w:val="36"/>
        </w:rPr>
        <w:t>部门整体支出绩效评价评分表</w:t>
      </w:r>
      <w:r>
        <w:rPr>
          <w:rFonts w:hint="eastAsia" w:ascii="方正小标宋简体" w:eastAsia="方正小标宋简体"/>
          <w:sz w:val="36"/>
          <w:szCs w:val="36"/>
          <w:lang w:eastAsia="zh-CN"/>
        </w:rPr>
        <w:t>（</w:t>
      </w:r>
      <w:r>
        <w:rPr>
          <w:rFonts w:hint="eastAsia" w:ascii="方正小标宋简体" w:eastAsia="方正小标宋简体"/>
          <w:sz w:val="36"/>
          <w:szCs w:val="36"/>
          <w:lang w:val="en-US" w:eastAsia="zh-CN"/>
        </w:rPr>
        <w:t>续</w:t>
      </w:r>
      <w:r>
        <w:rPr>
          <w:rFonts w:hint="eastAsia" w:ascii="方正小标宋简体" w:eastAsia="方正小标宋简体"/>
          <w:sz w:val="36"/>
          <w:szCs w:val="36"/>
          <w:lang w:eastAsia="zh-CN"/>
        </w:rPr>
        <w:t>）</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此项指标根据《中共岳阳区委 岳阳区人民政府 关于做好岳阳区加快推进湖南发展新增长极建设2015年度综合绩效考评工作的通知》（岳发〔2015〕11号）和《中共岳阳区委 岳阳区人民政府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省区重点民生实事完成情况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1</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无此考核目标</w:t>
            </w: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备注：如部门（单位）根据本部门实际情况修改调整了附件3《部门整体支出绩效评价指标体系》，须相应修改调整本表中的对应部分。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B1BCD6"/>
    <w:multiLevelType w:val="singleLevel"/>
    <w:tmpl w:val="18B1BCD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8146B58"/>
    <w:rsid w:val="000A6324"/>
    <w:rsid w:val="00121FE2"/>
    <w:rsid w:val="001D22CA"/>
    <w:rsid w:val="003A43D8"/>
    <w:rsid w:val="004E017F"/>
    <w:rsid w:val="0050198A"/>
    <w:rsid w:val="00533CE7"/>
    <w:rsid w:val="005B5739"/>
    <w:rsid w:val="006B3051"/>
    <w:rsid w:val="0071794F"/>
    <w:rsid w:val="00734311"/>
    <w:rsid w:val="00757BA4"/>
    <w:rsid w:val="009863B1"/>
    <w:rsid w:val="00B70BEA"/>
    <w:rsid w:val="00E55774"/>
    <w:rsid w:val="00E76F95"/>
    <w:rsid w:val="00EA31DD"/>
    <w:rsid w:val="00F7530F"/>
    <w:rsid w:val="00F961D4"/>
    <w:rsid w:val="01B745CD"/>
    <w:rsid w:val="01E44BCF"/>
    <w:rsid w:val="020C1A5B"/>
    <w:rsid w:val="026F35A0"/>
    <w:rsid w:val="02714C14"/>
    <w:rsid w:val="027163D5"/>
    <w:rsid w:val="02CA7752"/>
    <w:rsid w:val="030203D8"/>
    <w:rsid w:val="032641ED"/>
    <w:rsid w:val="033D53C0"/>
    <w:rsid w:val="03915443"/>
    <w:rsid w:val="03BB14CB"/>
    <w:rsid w:val="03D47B8C"/>
    <w:rsid w:val="044D7B7C"/>
    <w:rsid w:val="04C74C24"/>
    <w:rsid w:val="05B44CB7"/>
    <w:rsid w:val="05EB1867"/>
    <w:rsid w:val="05F753C4"/>
    <w:rsid w:val="06025ABA"/>
    <w:rsid w:val="06291E1B"/>
    <w:rsid w:val="06352609"/>
    <w:rsid w:val="06831F1B"/>
    <w:rsid w:val="07450A93"/>
    <w:rsid w:val="074F3CA2"/>
    <w:rsid w:val="07752582"/>
    <w:rsid w:val="07E67140"/>
    <w:rsid w:val="07FB2624"/>
    <w:rsid w:val="08154B22"/>
    <w:rsid w:val="085700CB"/>
    <w:rsid w:val="08613870"/>
    <w:rsid w:val="08660755"/>
    <w:rsid w:val="08760874"/>
    <w:rsid w:val="09910FA0"/>
    <w:rsid w:val="09EB5D09"/>
    <w:rsid w:val="09FB159C"/>
    <w:rsid w:val="0A747DA5"/>
    <w:rsid w:val="0A7A2ED4"/>
    <w:rsid w:val="0A81509F"/>
    <w:rsid w:val="0A8743B6"/>
    <w:rsid w:val="0A911AE1"/>
    <w:rsid w:val="0AA47B54"/>
    <w:rsid w:val="0B5C0531"/>
    <w:rsid w:val="0B5D75E3"/>
    <w:rsid w:val="0B7F3465"/>
    <w:rsid w:val="0B841812"/>
    <w:rsid w:val="0B8A6190"/>
    <w:rsid w:val="0BAB3328"/>
    <w:rsid w:val="0BC25181"/>
    <w:rsid w:val="0BC96467"/>
    <w:rsid w:val="0CD20EF6"/>
    <w:rsid w:val="0D161867"/>
    <w:rsid w:val="0D270B53"/>
    <w:rsid w:val="0D3147D6"/>
    <w:rsid w:val="0D5866E2"/>
    <w:rsid w:val="0DF80F4C"/>
    <w:rsid w:val="0E050AAA"/>
    <w:rsid w:val="0EED3ACF"/>
    <w:rsid w:val="0F1E3627"/>
    <w:rsid w:val="0F26612B"/>
    <w:rsid w:val="0F3853C2"/>
    <w:rsid w:val="0F3D70C8"/>
    <w:rsid w:val="0F8151C0"/>
    <w:rsid w:val="0FB87507"/>
    <w:rsid w:val="10B46F46"/>
    <w:rsid w:val="10F17274"/>
    <w:rsid w:val="11304DD0"/>
    <w:rsid w:val="11BD5D9E"/>
    <w:rsid w:val="11C84C81"/>
    <w:rsid w:val="11F260E2"/>
    <w:rsid w:val="11F462EC"/>
    <w:rsid w:val="12267857"/>
    <w:rsid w:val="12434984"/>
    <w:rsid w:val="124851A1"/>
    <w:rsid w:val="12BB5B8D"/>
    <w:rsid w:val="12BC0B9D"/>
    <w:rsid w:val="12E565EE"/>
    <w:rsid w:val="134130F7"/>
    <w:rsid w:val="135B34CB"/>
    <w:rsid w:val="138D6B80"/>
    <w:rsid w:val="1395472F"/>
    <w:rsid w:val="142C6DE1"/>
    <w:rsid w:val="145A2C47"/>
    <w:rsid w:val="151234DD"/>
    <w:rsid w:val="15172460"/>
    <w:rsid w:val="159D676B"/>
    <w:rsid w:val="15B34EEF"/>
    <w:rsid w:val="15E0633A"/>
    <w:rsid w:val="16682A42"/>
    <w:rsid w:val="167B6F31"/>
    <w:rsid w:val="16857573"/>
    <w:rsid w:val="16983EDD"/>
    <w:rsid w:val="16CA6BE5"/>
    <w:rsid w:val="17076509"/>
    <w:rsid w:val="17250A59"/>
    <w:rsid w:val="17381794"/>
    <w:rsid w:val="17794BF2"/>
    <w:rsid w:val="17872B53"/>
    <w:rsid w:val="17C2772C"/>
    <w:rsid w:val="17C77B22"/>
    <w:rsid w:val="17EB62F6"/>
    <w:rsid w:val="17FE736D"/>
    <w:rsid w:val="18264AE6"/>
    <w:rsid w:val="184E4E9B"/>
    <w:rsid w:val="18EA2478"/>
    <w:rsid w:val="19027226"/>
    <w:rsid w:val="191566F7"/>
    <w:rsid w:val="1962215A"/>
    <w:rsid w:val="1A962B1C"/>
    <w:rsid w:val="1B4F0C19"/>
    <w:rsid w:val="1B554685"/>
    <w:rsid w:val="1B7720EF"/>
    <w:rsid w:val="1BD04249"/>
    <w:rsid w:val="1BF6430A"/>
    <w:rsid w:val="1C267159"/>
    <w:rsid w:val="1D00759E"/>
    <w:rsid w:val="1D0B5B65"/>
    <w:rsid w:val="1D2110D4"/>
    <w:rsid w:val="1D2D43E5"/>
    <w:rsid w:val="1D6A1852"/>
    <w:rsid w:val="1D974F3B"/>
    <w:rsid w:val="1E091D7E"/>
    <w:rsid w:val="1E29627E"/>
    <w:rsid w:val="1F567DB8"/>
    <w:rsid w:val="1F8F02AF"/>
    <w:rsid w:val="1FD14D6B"/>
    <w:rsid w:val="20566B13"/>
    <w:rsid w:val="2072439E"/>
    <w:rsid w:val="20A67FB9"/>
    <w:rsid w:val="21223F80"/>
    <w:rsid w:val="214009FD"/>
    <w:rsid w:val="21A05533"/>
    <w:rsid w:val="21B9536E"/>
    <w:rsid w:val="21E91910"/>
    <w:rsid w:val="22376B83"/>
    <w:rsid w:val="22906C23"/>
    <w:rsid w:val="243266BF"/>
    <w:rsid w:val="243628AE"/>
    <w:rsid w:val="253F06D6"/>
    <w:rsid w:val="256119A6"/>
    <w:rsid w:val="25A54326"/>
    <w:rsid w:val="25D87A43"/>
    <w:rsid w:val="2693422A"/>
    <w:rsid w:val="26D31F9C"/>
    <w:rsid w:val="26E400DB"/>
    <w:rsid w:val="26EC4FE9"/>
    <w:rsid w:val="26FF3CC3"/>
    <w:rsid w:val="27365EEC"/>
    <w:rsid w:val="274B6D80"/>
    <w:rsid w:val="2879131B"/>
    <w:rsid w:val="287C45A1"/>
    <w:rsid w:val="28B17E14"/>
    <w:rsid w:val="29564E37"/>
    <w:rsid w:val="2978571F"/>
    <w:rsid w:val="29967D82"/>
    <w:rsid w:val="299D052B"/>
    <w:rsid w:val="29A41B9F"/>
    <w:rsid w:val="29D35DA0"/>
    <w:rsid w:val="29D4215B"/>
    <w:rsid w:val="29DF425D"/>
    <w:rsid w:val="29FA4A34"/>
    <w:rsid w:val="2A965C1A"/>
    <w:rsid w:val="2AA85562"/>
    <w:rsid w:val="2AD22CD9"/>
    <w:rsid w:val="2AD34048"/>
    <w:rsid w:val="2AFD4C4D"/>
    <w:rsid w:val="2B8B0950"/>
    <w:rsid w:val="2B8B3E67"/>
    <w:rsid w:val="2C111009"/>
    <w:rsid w:val="2C2115EC"/>
    <w:rsid w:val="2C2A203D"/>
    <w:rsid w:val="2CB72FAF"/>
    <w:rsid w:val="2CE77DCB"/>
    <w:rsid w:val="2D0142FC"/>
    <w:rsid w:val="2D8B7431"/>
    <w:rsid w:val="2DB013AE"/>
    <w:rsid w:val="2DC27126"/>
    <w:rsid w:val="2DEB7763"/>
    <w:rsid w:val="2E0C2E1C"/>
    <w:rsid w:val="2E235C09"/>
    <w:rsid w:val="2E4B0E03"/>
    <w:rsid w:val="2E6A708C"/>
    <w:rsid w:val="2EB527EE"/>
    <w:rsid w:val="2EDD6A77"/>
    <w:rsid w:val="2F745ACA"/>
    <w:rsid w:val="302649E3"/>
    <w:rsid w:val="302C2D01"/>
    <w:rsid w:val="30790CB3"/>
    <w:rsid w:val="30B75F31"/>
    <w:rsid w:val="312D6E7F"/>
    <w:rsid w:val="315D4322"/>
    <w:rsid w:val="317020CB"/>
    <w:rsid w:val="31705F80"/>
    <w:rsid w:val="317B5A68"/>
    <w:rsid w:val="31AE4057"/>
    <w:rsid w:val="31BC06AF"/>
    <w:rsid w:val="31E63090"/>
    <w:rsid w:val="321E5236"/>
    <w:rsid w:val="32206652"/>
    <w:rsid w:val="33962FA6"/>
    <w:rsid w:val="3400522F"/>
    <w:rsid w:val="344B2D14"/>
    <w:rsid w:val="344F2AF7"/>
    <w:rsid w:val="34B65B9B"/>
    <w:rsid w:val="34C94160"/>
    <w:rsid w:val="34E005D3"/>
    <w:rsid w:val="356D7807"/>
    <w:rsid w:val="35A81BF2"/>
    <w:rsid w:val="35E3787C"/>
    <w:rsid w:val="3604774D"/>
    <w:rsid w:val="367865E3"/>
    <w:rsid w:val="36A751A6"/>
    <w:rsid w:val="374033F0"/>
    <w:rsid w:val="3775252F"/>
    <w:rsid w:val="378F251C"/>
    <w:rsid w:val="37A23811"/>
    <w:rsid w:val="37B1359A"/>
    <w:rsid w:val="380216B7"/>
    <w:rsid w:val="380C360A"/>
    <w:rsid w:val="381D0B3A"/>
    <w:rsid w:val="389A6CC2"/>
    <w:rsid w:val="38AC7C6F"/>
    <w:rsid w:val="3928075C"/>
    <w:rsid w:val="3A1E15F0"/>
    <w:rsid w:val="3A471332"/>
    <w:rsid w:val="3A6202B8"/>
    <w:rsid w:val="3AEE7C14"/>
    <w:rsid w:val="3AEF7AF8"/>
    <w:rsid w:val="3BD97B27"/>
    <w:rsid w:val="3BDA059C"/>
    <w:rsid w:val="3C0651C6"/>
    <w:rsid w:val="3C2B69DA"/>
    <w:rsid w:val="3C9703F7"/>
    <w:rsid w:val="3CDC3868"/>
    <w:rsid w:val="3CE61BDB"/>
    <w:rsid w:val="3D612542"/>
    <w:rsid w:val="3D7314C5"/>
    <w:rsid w:val="3DE044DB"/>
    <w:rsid w:val="3FBB107A"/>
    <w:rsid w:val="3FC70BA1"/>
    <w:rsid w:val="40087690"/>
    <w:rsid w:val="40295C24"/>
    <w:rsid w:val="408F1B11"/>
    <w:rsid w:val="40D97019"/>
    <w:rsid w:val="41305A37"/>
    <w:rsid w:val="4144684D"/>
    <w:rsid w:val="41506BD1"/>
    <w:rsid w:val="41875F0B"/>
    <w:rsid w:val="41AC0BCF"/>
    <w:rsid w:val="42B81E5E"/>
    <w:rsid w:val="42D7480D"/>
    <w:rsid w:val="42ED277B"/>
    <w:rsid w:val="43217991"/>
    <w:rsid w:val="43370D48"/>
    <w:rsid w:val="43485365"/>
    <w:rsid w:val="4348620D"/>
    <w:rsid w:val="436B3A22"/>
    <w:rsid w:val="43945E90"/>
    <w:rsid w:val="43D231EE"/>
    <w:rsid w:val="43E2524C"/>
    <w:rsid w:val="44C3365B"/>
    <w:rsid w:val="44CB2711"/>
    <w:rsid w:val="44F16ED9"/>
    <w:rsid w:val="451324E5"/>
    <w:rsid w:val="451361CD"/>
    <w:rsid w:val="45384F98"/>
    <w:rsid w:val="46013DAD"/>
    <w:rsid w:val="46196BEE"/>
    <w:rsid w:val="463C4E5C"/>
    <w:rsid w:val="4683660C"/>
    <w:rsid w:val="46BD33C8"/>
    <w:rsid w:val="4702555E"/>
    <w:rsid w:val="47500880"/>
    <w:rsid w:val="47A23D05"/>
    <w:rsid w:val="47E814A4"/>
    <w:rsid w:val="48247857"/>
    <w:rsid w:val="485048BC"/>
    <w:rsid w:val="4874278D"/>
    <w:rsid w:val="488A4AAC"/>
    <w:rsid w:val="48AD6A59"/>
    <w:rsid w:val="48CD1209"/>
    <w:rsid w:val="494018A9"/>
    <w:rsid w:val="49A81FFA"/>
    <w:rsid w:val="49BA0437"/>
    <w:rsid w:val="4A1A5429"/>
    <w:rsid w:val="4A2B7F6F"/>
    <w:rsid w:val="4A351128"/>
    <w:rsid w:val="4A657760"/>
    <w:rsid w:val="4A727DA9"/>
    <w:rsid w:val="4B054095"/>
    <w:rsid w:val="4B2B23A8"/>
    <w:rsid w:val="4BBE56A2"/>
    <w:rsid w:val="4C6B5C3A"/>
    <w:rsid w:val="4CDD3E2A"/>
    <w:rsid w:val="4CF324EB"/>
    <w:rsid w:val="4D23047A"/>
    <w:rsid w:val="4D35567C"/>
    <w:rsid w:val="4D8658AC"/>
    <w:rsid w:val="4E5E3EE9"/>
    <w:rsid w:val="4E6C7C88"/>
    <w:rsid w:val="4E821833"/>
    <w:rsid w:val="4E8F0BBB"/>
    <w:rsid w:val="4F1F70B3"/>
    <w:rsid w:val="4F333951"/>
    <w:rsid w:val="4FD47A3A"/>
    <w:rsid w:val="4FE37735"/>
    <w:rsid w:val="50070A79"/>
    <w:rsid w:val="504319F6"/>
    <w:rsid w:val="508958E3"/>
    <w:rsid w:val="50F76C85"/>
    <w:rsid w:val="50F811B1"/>
    <w:rsid w:val="50F81A2E"/>
    <w:rsid w:val="510C5851"/>
    <w:rsid w:val="519E0383"/>
    <w:rsid w:val="51A63EA9"/>
    <w:rsid w:val="52032EE4"/>
    <w:rsid w:val="52431173"/>
    <w:rsid w:val="5257629B"/>
    <w:rsid w:val="52603135"/>
    <w:rsid w:val="5272153A"/>
    <w:rsid w:val="52902ADB"/>
    <w:rsid w:val="5327737A"/>
    <w:rsid w:val="53296748"/>
    <w:rsid w:val="532F63E8"/>
    <w:rsid w:val="53307FEA"/>
    <w:rsid w:val="53600D30"/>
    <w:rsid w:val="53775F79"/>
    <w:rsid w:val="53F0177E"/>
    <w:rsid w:val="54CE353F"/>
    <w:rsid w:val="5533273D"/>
    <w:rsid w:val="5545384F"/>
    <w:rsid w:val="55B97B97"/>
    <w:rsid w:val="56186BAB"/>
    <w:rsid w:val="561B5BF7"/>
    <w:rsid w:val="56372883"/>
    <w:rsid w:val="56D1024A"/>
    <w:rsid w:val="570C1672"/>
    <w:rsid w:val="57107C86"/>
    <w:rsid w:val="577B79E8"/>
    <w:rsid w:val="57872FA4"/>
    <w:rsid w:val="578B1276"/>
    <w:rsid w:val="57A97304"/>
    <w:rsid w:val="57B71A20"/>
    <w:rsid w:val="58146B58"/>
    <w:rsid w:val="582C1C32"/>
    <w:rsid w:val="58D52B2E"/>
    <w:rsid w:val="5944377D"/>
    <w:rsid w:val="59690F99"/>
    <w:rsid w:val="596F5C08"/>
    <w:rsid w:val="598C7782"/>
    <w:rsid w:val="5A1871C8"/>
    <w:rsid w:val="5AA520E6"/>
    <w:rsid w:val="5AC57619"/>
    <w:rsid w:val="5AFC4C9B"/>
    <w:rsid w:val="5B237791"/>
    <w:rsid w:val="5B381DFF"/>
    <w:rsid w:val="5B6A137C"/>
    <w:rsid w:val="5B8E6221"/>
    <w:rsid w:val="5C301452"/>
    <w:rsid w:val="5C8E720E"/>
    <w:rsid w:val="5C9E5467"/>
    <w:rsid w:val="5CBB0506"/>
    <w:rsid w:val="5D0A57A5"/>
    <w:rsid w:val="5D1536A7"/>
    <w:rsid w:val="5D171ABC"/>
    <w:rsid w:val="5D334E0D"/>
    <w:rsid w:val="5D5E7140"/>
    <w:rsid w:val="5D6473E9"/>
    <w:rsid w:val="5D9A577B"/>
    <w:rsid w:val="5DA50E34"/>
    <w:rsid w:val="5DD56D2C"/>
    <w:rsid w:val="5F193890"/>
    <w:rsid w:val="5F4D6EFA"/>
    <w:rsid w:val="5F674842"/>
    <w:rsid w:val="5FDB1039"/>
    <w:rsid w:val="608C0596"/>
    <w:rsid w:val="60A90DF6"/>
    <w:rsid w:val="60CA5525"/>
    <w:rsid w:val="60CE71D7"/>
    <w:rsid w:val="60DB7C1C"/>
    <w:rsid w:val="61096D29"/>
    <w:rsid w:val="612D1273"/>
    <w:rsid w:val="61CD7CD6"/>
    <w:rsid w:val="629C668F"/>
    <w:rsid w:val="634C7F65"/>
    <w:rsid w:val="63AB1049"/>
    <w:rsid w:val="63DD14A4"/>
    <w:rsid w:val="642F1B2F"/>
    <w:rsid w:val="64FD12F7"/>
    <w:rsid w:val="65067E24"/>
    <w:rsid w:val="651B6EBD"/>
    <w:rsid w:val="6574514E"/>
    <w:rsid w:val="65FF464F"/>
    <w:rsid w:val="6681704E"/>
    <w:rsid w:val="66AB6D9F"/>
    <w:rsid w:val="66C11E14"/>
    <w:rsid w:val="66E17539"/>
    <w:rsid w:val="66FB4A28"/>
    <w:rsid w:val="678036E9"/>
    <w:rsid w:val="6822726F"/>
    <w:rsid w:val="689B14C6"/>
    <w:rsid w:val="68B968E1"/>
    <w:rsid w:val="68C56993"/>
    <w:rsid w:val="691444A2"/>
    <w:rsid w:val="69751EDC"/>
    <w:rsid w:val="6A787D60"/>
    <w:rsid w:val="6A871D62"/>
    <w:rsid w:val="6A8C0185"/>
    <w:rsid w:val="6AA70EB6"/>
    <w:rsid w:val="6AD50DF4"/>
    <w:rsid w:val="6B1D668A"/>
    <w:rsid w:val="6B35458C"/>
    <w:rsid w:val="6BE92383"/>
    <w:rsid w:val="6C6A44DA"/>
    <w:rsid w:val="6C8541F0"/>
    <w:rsid w:val="6CC351CE"/>
    <w:rsid w:val="6CF736EB"/>
    <w:rsid w:val="6D4A3888"/>
    <w:rsid w:val="6D535020"/>
    <w:rsid w:val="6D775C3D"/>
    <w:rsid w:val="6D791776"/>
    <w:rsid w:val="6E086333"/>
    <w:rsid w:val="6E156320"/>
    <w:rsid w:val="6E312D4A"/>
    <w:rsid w:val="6E604384"/>
    <w:rsid w:val="6EC024E1"/>
    <w:rsid w:val="6EC6748C"/>
    <w:rsid w:val="6EF36665"/>
    <w:rsid w:val="6F1E0CC5"/>
    <w:rsid w:val="6F5E6008"/>
    <w:rsid w:val="6FC37838"/>
    <w:rsid w:val="6FD11A71"/>
    <w:rsid w:val="703017B7"/>
    <w:rsid w:val="704C1B57"/>
    <w:rsid w:val="709047FB"/>
    <w:rsid w:val="710439BD"/>
    <w:rsid w:val="711651E8"/>
    <w:rsid w:val="71925A8F"/>
    <w:rsid w:val="71CA3E6B"/>
    <w:rsid w:val="72181E12"/>
    <w:rsid w:val="723B5ECF"/>
    <w:rsid w:val="724F54ED"/>
    <w:rsid w:val="726827C9"/>
    <w:rsid w:val="72721EED"/>
    <w:rsid w:val="72A367AC"/>
    <w:rsid w:val="72E17BA0"/>
    <w:rsid w:val="73421489"/>
    <w:rsid w:val="73A6680C"/>
    <w:rsid w:val="74281E6A"/>
    <w:rsid w:val="7480158F"/>
    <w:rsid w:val="74BF6516"/>
    <w:rsid w:val="74E97F16"/>
    <w:rsid w:val="752A4C2A"/>
    <w:rsid w:val="75DF64FF"/>
    <w:rsid w:val="75E21D6B"/>
    <w:rsid w:val="75FE0D3A"/>
    <w:rsid w:val="761400D0"/>
    <w:rsid w:val="76572A74"/>
    <w:rsid w:val="76A957E8"/>
    <w:rsid w:val="76FA387D"/>
    <w:rsid w:val="76FD2884"/>
    <w:rsid w:val="772E1E8F"/>
    <w:rsid w:val="774461F1"/>
    <w:rsid w:val="7806784A"/>
    <w:rsid w:val="785124F9"/>
    <w:rsid w:val="786D0B92"/>
    <w:rsid w:val="794E0D4B"/>
    <w:rsid w:val="7A6D057A"/>
    <w:rsid w:val="7A6D6FB7"/>
    <w:rsid w:val="7A885DB9"/>
    <w:rsid w:val="7AA71081"/>
    <w:rsid w:val="7AB70926"/>
    <w:rsid w:val="7AFC7ABF"/>
    <w:rsid w:val="7B6F06D8"/>
    <w:rsid w:val="7B973366"/>
    <w:rsid w:val="7C0569E8"/>
    <w:rsid w:val="7C282473"/>
    <w:rsid w:val="7C4B4608"/>
    <w:rsid w:val="7D25176F"/>
    <w:rsid w:val="7D3144EC"/>
    <w:rsid w:val="7D427F39"/>
    <w:rsid w:val="7D880CD2"/>
    <w:rsid w:val="7DC77551"/>
    <w:rsid w:val="7DC85692"/>
    <w:rsid w:val="7E410FCB"/>
    <w:rsid w:val="7E523D7B"/>
    <w:rsid w:val="7E5B0337"/>
    <w:rsid w:val="7F206CB2"/>
    <w:rsid w:val="7F2B1942"/>
    <w:rsid w:val="7F3B198E"/>
    <w:rsid w:val="7F593049"/>
    <w:rsid w:val="7F7F7970"/>
    <w:rsid w:val="7FCA2C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rPr>
      <w:rFonts w:eastAsia="宋体" w:cs="Times New Roman"/>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Normal (Web)"/>
    <w:basedOn w:val="1"/>
    <w:qFormat/>
    <w:uiPriority w:val="0"/>
    <w:pPr>
      <w:spacing w:before="100" w:beforeAutospacing="1" w:after="100" w:afterAutospacing="1"/>
      <w:jc w:val="left"/>
    </w:pPr>
    <w:rPr>
      <w:kern w:val="0"/>
      <w:sz w:val="24"/>
    </w:rPr>
  </w:style>
  <w:style w:type="paragraph" w:styleId="5">
    <w:name w:val="Body Text First Indent 2"/>
    <w:basedOn w:val="2"/>
    <w:unhideWhenUsed/>
    <w:qFormat/>
    <w:uiPriority w:val="99"/>
    <w:pPr>
      <w:spacing w:before="100" w:beforeAutospacing="1" w:after="0"/>
      <w:ind w:left="0" w:firstLine="420" w:firstLineChars="200"/>
    </w:pPr>
    <w:rPr>
      <w:rFonts w:ascii="Calibri" w:hAnsi="Calibri"/>
    </w:rPr>
  </w:style>
  <w:style w:type="character" w:styleId="8">
    <w:name w:val="page number"/>
    <w:qFormat/>
    <w:uiPriority w:val="0"/>
  </w:style>
  <w:style w:type="paragraph" w:customStyle="1" w:styleId="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18</Pages>
  <Words>1785</Words>
  <Characters>10180</Characters>
  <Lines>84</Lines>
  <Paragraphs>23</Paragraphs>
  <TotalTime>3</TotalTime>
  <ScaleCrop>false</ScaleCrop>
  <LinksUpToDate>false</LinksUpToDate>
  <CharactersWithSpaces>11942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2018-05-23T03:19:00Z</dcterms:created>
  <dc:creator>Administrator</dc:creator>
  <cp:lastModifiedBy>赵又又</cp:lastModifiedBy>
  <cp:lastPrinted>2021-07-30T01:36:50Z</cp:lastPrinted>
  <dcterms:modified xsi:type="dcterms:W3CDTF">2021-07-30T01:36:59Z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A1C880FB229B4561AF09AC3BA67C54AB</vt:lpwstr>
  </property>
</Properties>
</file>