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君山区</w:t>
      </w:r>
      <w:r>
        <w:rPr>
          <w:rFonts w:hint="eastAsia" w:eastAsia="方正小标宋简体"/>
          <w:bCs/>
          <w:sz w:val="46"/>
          <w:szCs w:val="46"/>
        </w:rPr>
        <w:t>20</w:t>
      </w:r>
      <w:r>
        <w:rPr>
          <w:rFonts w:hint="eastAsia" w:eastAsia="方正小标宋简体"/>
          <w:bCs/>
          <w:sz w:val="46"/>
          <w:szCs w:val="46"/>
          <w:u w:val="single"/>
          <w:lang w:val="en-US" w:eastAsia="zh-CN"/>
        </w:rPr>
        <w:t>20</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lang w:eastAsia="zh-CN"/>
        </w:rPr>
        <w:t>：</w:t>
      </w:r>
      <w:r>
        <w:rPr>
          <w:rFonts w:hint="eastAsia" w:eastAsia="仿宋_GB2312"/>
          <w:sz w:val="32"/>
          <w:szCs w:val="32"/>
          <w:u w:val="single"/>
        </w:rPr>
        <w:t xml:space="preserve">岳阳市君山区人民代表大会常务委员会 </w:t>
      </w:r>
      <w:r>
        <w:rPr>
          <w:rFonts w:hint="eastAsia" w:eastAsia="仿宋_GB2312"/>
          <w:sz w:val="28"/>
          <w:szCs w:val="28"/>
          <w:u w:val="none"/>
        </w:rPr>
        <w:t xml:space="preserve">       </w:t>
      </w:r>
      <w:r>
        <w:rPr>
          <w:rFonts w:hint="eastAsia" w:eastAsia="仿宋_GB2312"/>
          <w:sz w:val="28"/>
          <w:szCs w:val="28"/>
          <w:u w:val="single"/>
        </w:rPr>
        <w:t xml:space="preserve">   </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lang w:val="en-US" w:eastAsia="zh-CN"/>
        </w:rPr>
        <w:t>102</w:t>
      </w:r>
      <w:r>
        <w:rPr>
          <w:rFonts w:hint="eastAsia" w:eastAsia="仿宋_GB2312"/>
          <w:spacing w:val="20"/>
          <w:sz w:val="32"/>
          <w:szCs w:val="32"/>
          <w:u w:val="none"/>
        </w:rPr>
        <w:t xml:space="preserve">                          </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07</w:t>
      </w:r>
      <w:r>
        <w:rPr>
          <w:rFonts w:hint="eastAsia" w:eastAsia="仿宋_GB2312"/>
          <w:sz w:val="32"/>
        </w:rPr>
        <w:t>月</w:t>
      </w:r>
      <w:r>
        <w:rPr>
          <w:rFonts w:hint="eastAsia" w:eastAsia="仿宋_GB2312"/>
          <w:sz w:val="32"/>
          <w:lang w:val="en-US" w:eastAsia="zh-CN"/>
        </w:rPr>
        <w:t>01</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Borders>
            <w:top w:val="none" w:sz="0" w:space="0"/>
            <w:left w:val="none" w:sz="0" w:space="0"/>
            <w:bottom w:val="none" w:sz="0" w:space="0"/>
            <w:right w:val="none" w:sz="0" w:space="0"/>
          </w:pgBorders>
          <w:pgNumType w:fmt="decimal" w:start="1"/>
          <w:cols w:space="720" w:num="1"/>
          <w:docGrid w:type="linesAndChars" w:linePitch="602" w:charSpace="-782"/>
        </w:sectPr>
      </w:pPr>
      <w:r>
        <w:rPr>
          <w:rFonts w:hint="eastAsia" w:eastAsia="仿宋_GB2312"/>
          <w:sz w:val="32"/>
          <w:lang w:eastAsia="zh-CN"/>
        </w:rPr>
        <w:t>君山区</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9"/>
        <w:gridCol w:w="197"/>
        <w:gridCol w:w="196"/>
        <w:gridCol w:w="927"/>
        <w:gridCol w:w="677"/>
        <w:gridCol w:w="139"/>
        <w:gridCol w:w="84"/>
        <w:gridCol w:w="8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胡兰军</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rPr>
              <w:t>8171007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eastAsia="仿宋_GB2312"/>
                <w:lang w:val="en-US" w:eastAsia="zh-CN"/>
              </w:rPr>
              <w:t>28</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区人大常委会担负着立法、监督、讨论决定重大事项、选举任免、审查批准经济和社会发展计划、审查批准财政预算等重要职责，在发展我区的社会主义心政治、维护社会公平正义与安定有序等方面发挥着重要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任务1：坚持党的领导，彰显忠诚担当的政治本色</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任务2：履行监督职责，增强服务大局的责任担当</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任务3：突出主体地位，践行履职为民的使命担当</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：加强自身建设，提升依法履职的能力担当</w:t>
            </w:r>
            <w:r>
              <w:rPr>
                <w:rFonts w:hint="eastAsia" w:ascii="仿宋_GB2312" w:hAnsi="仿宋_GB2312" w:eastAsia="仿宋_GB2312" w:cs="仿宋_GB2312"/>
                <w:color w:val="000000"/>
                <w:sz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宋体" w:hAnsi="宋体" w:cs="仿宋_GB2312"/>
                <w:sz w:val="24"/>
                <w:lang w:val="en-US" w:eastAsia="zh-CN"/>
              </w:rPr>
              <w:t>2</w:t>
            </w:r>
            <w:r>
              <w:rPr>
                <w:rFonts w:hint="eastAsia" w:ascii="仿宋_GB2312" w:hAnsi="仿宋_GB2312" w:eastAsia="仿宋_GB2312" w:cs="仿宋_GB2312"/>
                <w:color w:val="000000"/>
                <w:sz w:val="24"/>
                <w:lang w:val="en-US" w:eastAsia="zh-CN"/>
              </w:rPr>
              <w:t>020</w:t>
            </w:r>
            <w:r>
              <w:rPr>
                <w:rFonts w:hint="eastAsia" w:ascii="仿宋_GB2312" w:hAnsi="仿宋_GB2312" w:eastAsia="仿宋_GB2312" w:cs="仿宋_GB2312"/>
                <w:color w:val="000000"/>
                <w:sz w:val="24"/>
              </w:rPr>
              <w:t>年区人大常委会在区委的坚强领导下，坚持以习近平总书记关于坚持和完善人民代表大会制度的重要思想为根本遵循，全面贯彻党的十九大精神和习近平总书记在君山考察时提出“守护好一江碧水”的殷切嘱托，主动担当，积极作为，依法行使宪法和法律赋予的职权，全年共召开主任会议12次，常委会会议7次，作出决议、决定11项，听取和审议专项工作报告35项，开展执法检查、专题调研和集中视察32次，依法任免国家机关工作人员46人次，较好地完成了区五届人大四次会议确定的各项工作任务，为我区改革发展社会稳定和民主法治建设作出了积极的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126" w:type="dxa"/>
            <w:gridSpan w:val="2"/>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654"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26" w:type="dxa"/>
            <w:gridSpan w:val="2"/>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126"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812.34</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21.92</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790.42</w:t>
            </w:r>
          </w:p>
        </w:tc>
        <w:tc>
          <w:tcPr>
            <w:tcW w:w="1705"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126"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812.34</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21.92</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790.42</w:t>
            </w:r>
          </w:p>
        </w:tc>
        <w:tc>
          <w:tcPr>
            <w:tcW w:w="1705"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126" w:type="dxa"/>
            <w:gridSpan w:val="2"/>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126" w:type="dxa"/>
            <w:gridSpan w:val="2"/>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263"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757"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588" w:type="dxa"/>
            <w:gridSpan w:val="4"/>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20" w:type="dxa"/>
            <w:gridSpan w:val="3"/>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90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857"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508"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320" w:type="dxa"/>
            <w:gridSpan w:val="3"/>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0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57"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783.09</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672.38</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429.94</w:t>
            </w:r>
          </w:p>
        </w:tc>
        <w:tc>
          <w:tcPr>
            <w:tcW w:w="1508"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242.45</w:t>
            </w:r>
          </w:p>
        </w:tc>
        <w:tc>
          <w:tcPr>
            <w:tcW w:w="132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110.71</w:t>
            </w:r>
          </w:p>
        </w:tc>
        <w:tc>
          <w:tcPr>
            <w:tcW w:w="90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7.33</w:t>
            </w:r>
          </w:p>
        </w:tc>
        <w:tc>
          <w:tcPr>
            <w:tcW w:w="857"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783.09</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672.38</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429.94</w:t>
            </w:r>
          </w:p>
        </w:tc>
        <w:tc>
          <w:tcPr>
            <w:tcW w:w="1508"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242.45</w:t>
            </w:r>
          </w:p>
        </w:tc>
        <w:tc>
          <w:tcPr>
            <w:tcW w:w="132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110.71</w:t>
            </w:r>
          </w:p>
        </w:tc>
        <w:tc>
          <w:tcPr>
            <w:tcW w:w="90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7.33</w:t>
            </w:r>
          </w:p>
        </w:tc>
        <w:tc>
          <w:tcPr>
            <w:tcW w:w="857"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08"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0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57"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08"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0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57"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508"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077"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32.16</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32.16</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08"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077"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32.16</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32.16</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08"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077"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08"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077"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08"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077"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15.18</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15.18</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15.18</w:t>
            </w:r>
          </w:p>
        </w:tc>
        <w:tc>
          <w:tcPr>
            <w:tcW w:w="2435" w:type="dxa"/>
            <w:gridSpan w:val="4"/>
            <w:tcBorders>
              <w:left w:val="single" w:color="auto" w:sz="4" w:space="0"/>
            </w:tcBorders>
            <w:vAlign w:val="center"/>
          </w:tcPr>
          <w:p>
            <w:pPr>
              <w:autoSpaceDN w:val="0"/>
              <w:spacing w:line="320" w:lineRule="exact"/>
              <w:jc w:val="center"/>
              <w:textAlignment w:val="center"/>
              <w:rPr>
                <w:rFonts w:hint="eastAsia"/>
                <w:lang w:val="en-US" w:eastAsia="zh-CN"/>
              </w:rPr>
            </w:pPr>
            <w:r>
              <w:rPr>
                <w:rFonts w:hint="eastAsia"/>
                <w:lang w:val="en-US" w:eastAsia="zh-CN"/>
              </w:rPr>
              <w:t>15.18</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目标1：坚持党的领导，彰显忠诚担当的政治本色；</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目标2：履行监督职责，增强服务大局的责任担当；</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目标3：突出主体地位，践行履职为民的使命担当；</w:t>
            </w:r>
          </w:p>
          <w:p>
            <w:pPr>
              <w:autoSpaceDN w:val="0"/>
              <w:spacing w:line="320" w:lineRule="exact"/>
              <w:jc w:val="left"/>
              <w:textAlignment w:val="center"/>
              <w:rPr>
                <w:rFonts w:hint="eastAsia"/>
              </w:rPr>
            </w:pPr>
            <w:r>
              <w:rPr>
                <w:rFonts w:hint="eastAsia" w:ascii="仿宋_GB2312" w:hAnsi="仿宋_GB2312" w:eastAsia="仿宋_GB2312" w:cs="仿宋_GB2312"/>
                <w:color w:val="000000"/>
                <w:sz w:val="24"/>
                <w:lang w:val="en-US" w:eastAsia="zh-CN"/>
              </w:rPr>
              <w:t>目标4：加强自身建设，提升依法履职的能力担当。</w:t>
            </w:r>
          </w:p>
          <w:p>
            <w:pPr>
              <w:autoSpaceDN w:val="0"/>
              <w:spacing w:line="320" w:lineRule="exact"/>
              <w:jc w:val="left"/>
              <w:textAlignment w:val="center"/>
              <w:rPr>
                <w:rFonts w:hint="eastAsia" w:ascii="仿宋_GB2312" w:hAnsi="仿宋_GB2312" w:eastAsia="仿宋_GB2312" w:cs="仿宋_GB2312"/>
                <w:color w:val="000000"/>
                <w:sz w:val="24"/>
              </w:rPr>
            </w:pPr>
          </w:p>
        </w:tc>
        <w:tc>
          <w:tcPr>
            <w:tcW w:w="4585" w:type="dxa"/>
            <w:gridSpan w:val="9"/>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坚持“党有所指，我有所向”，按照区委的统一要求，建立健全“不忘初心、牢记使命”主题教育长效机制，切实提高知、信、行合一能力，增强守初心、担使命的思想自觉和行动自觉，进一步巩固信仰的基础，擦亮政治机关底色。</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听取2020年国民经济和社会发展计划执行情况汇报；听取“十四五”规划编制情况汇报；启动预算联网在线监督，实现对财政预算收支情况全程监管，切实保障全区财政资金运行规范合法，管好政府的“钱袋子”。</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研究出台《区人大代表履职管理办法》，完善人大代表履职激励与约束机制，今年以来，常委会共对活动请假次数较多的3名代表和5名向选民述职差评超过50%的代表进行了约谈，有效规范了代表闭会期间的履职行为。</w:t>
            </w:r>
          </w:p>
          <w:p>
            <w:pPr>
              <w:autoSpaceDN w:val="0"/>
              <w:spacing w:line="320" w:lineRule="exact"/>
              <w:jc w:val="left"/>
              <w:textAlignment w:val="center"/>
              <w:rPr>
                <w:rFonts w:hint="eastAsia" w:ascii="Times New Roman" w:hAnsi="Times New Roman" w:eastAsia="宋体" w:cs="Times New Roman"/>
                <w:kern w:val="2"/>
                <w:sz w:val="21"/>
                <w:szCs w:val="24"/>
                <w:lang w:val="en-US" w:eastAsia="zh-CN" w:bidi="ar-SA"/>
              </w:rPr>
            </w:pPr>
            <w:r>
              <w:rPr>
                <w:rFonts w:hint="eastAsia" w:ascii="仿宋_GB2312" w:hAnsi="仿宋_GB2312" w:eastAsia="仿宋_GB2312" w:cs="仿宋_GB2312"/>
                <w:color w:val="000000"/>
                <w:sz w:val="24"/>
                <w:lang w:val="en-US" w:eastAsia="zh-CN"/>
              </w:rPr>
              <w:t>4.把“学习强国”作为创新工作和加强党员思想教育、意识形态工作、精神文明建设的重要抓手；通过“党建+工会活动、党建带文明创建、党建引领代表活动”，以党建工作统领业务工作，用业务工作检验党建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val="en-US" w:eastAsia="zh-CN"/>
              </w:rPr>
              <w:t>区</w:t>
            </w:r>
            <w:r>
              <w:rPr>
                <w:rFonts w:hint="eastAsia" w:ascii="仿宋_GB2312" w:hAnsi="仿宋_GB2312" w:eastAsia="仿宋_GB2312" w:cs="仿宋_GB2312"/>
                <w:color w:val="000000"/>
                <w:sz w:val="24"/>
              </w:rPr>
              <w:t>委</w:t>
            </w:r>
            <w:r>
              <w:rPr>
                <w:rFonts w:hint="eastAsia" w:ascii="仿宋_GB2312" w:hAnsi="仿宋_GB2312" w:eastAsia="仿宋_GB2312" w:cs="仿宋_GB2312"/>
                <w:color w:val="000000"/>
                <w:sz w:val="24"/>
                <w:lang w:val="en-US" w:eastAsia="zh-CN"/>
              </w:rPr>
              <w:t>区</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指标1：实行预算审查代表联动机制，提升预算编制规范化、科学化水平</w:t>
            </w:r>
          </w:p>
        </w:tc>
        <w:tc>
          <w:tcPr>
            <w:tcW w:w="2684"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专题听取关于经济发展的汇报：区城建投集团公司2019年投融资及2020年投资计划安排、区政府国有资产管理综合报告。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5"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指标2：把关注和改善民生作为全年工作重点，注重促进民生改进。</w:t>
            </w:r>
          </w:p>
        </w:tc>
        <w:tc>
          <w:tcPr>
            <w:tcW w:w="2684"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专项听取《传染病防治法》在我区贯彻实施情况，切实保障全区人民生命健康。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85"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数量指标</w:t>
            </w: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指标1：举办代表专题培训班。</w:t>
            </w:r>
          </w:p>
        </w:tc>
        <w:tc>
          <w:tcPr>
            <w:tcW w:w="2684"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共举办代表专题培训班2次110人次。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35"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指标2：组织各级代表开展视察活动。</w:t>
            </w:r>
          </w:p>
        </w:tc>
        <w:tc>
          <w:tcPr>
            <w:tcW w:w="2684"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组织各级代表开展视察活动5次，参与160余人次。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指标1：按时间节点完成各项工作计划。</w:t>
            </w:r>
          </w:p>
        </w:tc>
        <w:tc>
          <w:tcPr>
            <w:tcW w:w="2684"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已按时间进度完成工作计划。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指标2：项目建设在当年12月前完。</w:t>
            </w:r>
          </w:p>
        </w:tc>
        <w:tc>
          <w:tcPr>
            <w:tcW w:w="2684"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2020年12年已完成全部项目建设。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9"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指标1：压缩一般性支出</w:t>
            </w:r>
          </w:p>
        </w:tc>
        <w:tc>
          <w:tcPr>
            <w:tcW w:w="2684"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一般性支出较上年下降9%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指标2：控制非生产性开支</w:t>
            </w:r>
          </w:p>
        </w:tc>
        <w:tc>
          <w:tcPr>
            <w:tcW w:w="2684"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压缩了一般性支出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9"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充分发挥人大的监督职能</w:t>
            </w:r>
          </w:p>
        </w:tc>
        <w:tc>
          <w:tcPr>
            <w:tcW w:w="2684"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发挥监督职责，净化经济环境。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指标：增强种养产业致富带动能力，完善产业扶贫长效机制。</w:t>
            </w:r>
          </w:p>
        </w:tc>
        <w:tc>
          <w:tcPr>
            <w:tcW w:w="2684"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组织代表视察“君山小龙虾”“六门闸风干鱼”，提升经济增速。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指标1：改善农村人居环境，提高生态环保质量</w:t>
            </w:r>
          </w:p>
        </w:tc>
        <w:tc>
          <w:tcPr>
            <w:tcW w:w="2684"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对全区农村人居环境整治工作开展专项评议，努力把农村打造成为城乡居民向往的“绿洲花园”。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指标2：围绕生态环境安全开展监督。</w:t>
            </w:r>
          </w:p>
        </w:tc>
        <w:tc>
          <w:tcPr>
            <w:tcW w:w="2684"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开展《野生动物保护法》执法检查。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30"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指标：人民群众的满意度达95%以上。</w:t>
            </w:r>
          </w:p>
        </w:tc>
        <w:tc>
          <w:tcPr>
            <w:tcW w:w="2684"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满意度98%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ind w:firstLine="420" w:firstLineChars="200"/>
              <w:jc w:val="left"/>
              <w:textAlignment w:val="center"/>
              <w:rPr>
                <w:rFonts w:hint="eastAsia"/>
              </w:rPr>
            </w:pPr>
          </w:p>
        </w:tc>
        <w:tc>
          <w:tcPr>
            <w:tcW w:w="3561" w:type="dxa"/>
            <w:gridSpan w:val="6"/>
            <w:vAlign w:val="center"/>
          </w:tcPr>
          <w:p>
            <w:pPr>
              <w:autoSpaceDN w:val="0"/>
              <w:spacing w:line="320" w:lineRule="exact"/>
              <w:ind w:firstLine="420" w:firstLineChars="200"/>
              <w:jc w:val="left"/>
              <w:textAlignment w:val="center"/>
              <w:rPr>
                <w:rFonts w:hint="eastAsia"/>
              </w:rPr>
            </w:pPr>
          </w:p>
        </w:tc>
        <w:tc>
          <w:tcPr>
            <w:tcW w:w="1479" w:type="dxa"/>
            <w:vAlign w:val="center"/>
          </w:tcPr>
          <w:p>
            <w:pPr>
              <w:autoSpaceDN w:val="0"/>
              <w:spacing w:line="320" w:lineRule="exact"/>
              <w:ind w:firstLine="420" w:firstLineChars="200"/>
              <w:jc w:val="left"/>
              <w:textAlignment w:val="center"/>
              <w:rPr>
                <w:rFonts w:hint="eastAsia"/>
              </w:rPr>
            </w:pP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ind w:firstLine="420" w:firstLineChars="200"/>
              <w:jc w:val="left"/>
              <w:textAlignment w:val="center"/>
              <w:rPr>
                <w:rFonts w:hint="eastAsia"/>
              </w:rPr>
            </w:pPr>
          </w:p>
        </w:tc>
        <w:tc>
          <w:tcPr>
            <w:tcW w:w="3561" w:type="dxa"/>
            <w:gridSpan w:val="6"/>
            <w:vAlign w:val="center"/>
          </w:tcPr>
          <w:p>
            <w:pPr>
              <w:autoSpaceDN w:val="0"/>
              <w:spacing w:line="320" w:lineRule="exact"/>
              <w:ind w:firstLine="420" w:firstLineChars="200"/>
              <w:jc w:val="left"/>
              <w:textAlignment w:val="center"/>
              <w:rPr>
                <w:rFonts w:hint="eastAsia"/>
              </w:rPr>
            </w:pPr>
          </w:p>
        </w:tc>
        <w:tc>
          <w:tcPr>
            <w:tcW w:w="1479" w:type="dxa"/>
            <w:vAlign w:val="center"/>
          </w:tcPr>
          <w:p>
            <w:pPr>
              <w:autoSpaceDN w:val="0"/>
              <w:spacing w:line="320" w:lineRule="exact"/>
              <w:ind w:firstLine="420" w:firstLineChars="200"/>
              <w:jc w:val="left"/>
              <w:textAlignment w:val="center"/>
              <w:rPr>
                <w:rFonts w:hint="eastAsia"/>
              </w:rPr>
            </w:pP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4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7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49" w:hRule="atLeast"/>
          <w:jc w:val="center"/>
        </w:trPr>
        <w:tc>
          <w:tcPr>
            <w:tcW w:w="9800" w:type="dxa"/>
            <w:gridSpan w:val="17"/>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pStyle w:val="2"/>
              <w:rPr>
                <w:rFonts w:hint="eastAsia" w:eastAsia="仿宋_GB2312"/>
                <w:sz w:val="24"/>
              </w:rPr>
            </w:pPr>
          </w:p>
          <w:p>
            <w:pPr>
              <w:pStyle w:val="2"/>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w:t>
            </w:r>
            <w:r>
              <w:rPr>
                <w:rFonts w:hint="eastAsia" w:eastAsia="仿宋_GB2312"/>
                <w:sz w:val="24"/>
                <w:lang w:eastAsia="zh-CN"/>
              </w:rPr>
              <w:t>股</w:t>
            </w:r>
            <w:r>
              <w:rPr>
                <w:rFonts w:hint="eastAsia" w:eastAsia="仿宋_GB2312"/>
                <w:sz w:val="24"/>
              </w:rPr>
              <w:t>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spacing w:line="320" w:lineRule="exact"/>
        <w:rPr>
          <w:rFonts w:hint="eastAsia" w:eastAsia="仿宋_GB2312"/>
          <w:sz w:val="24"/>
          <w:lang w:eastAsia="zh-CN"/>
        </w:rPr>
      </w:pPr>
    </w:p>
    <w:p>
      <w:pPr>
        <w:spacing w:line="320" w:lineRule="exact"/>
        <w:rPr>
          <w:rFonts w:hint="eastAsia" w:eastAsia="仿宋_GB2312"/>
          <w:sz w:val="24"/>
          <w:lang w:eastAsia="zh-CN"/>
        </w:rPr>
      </w:pPr>
      <w:r>
        <w:rPr>
          <w:rFonts w:hint="eastAsia" w:eastAsia="仿宋_GB2312"/>
          <w:sz w:val="24"/>
          <w:lang w:eastAsia="zh-CN"/>
        </w:rPr>
        <w:t xml:space="preserve">填报人（签名）：             </w:t>
      </w:r>
      <w:r>
        <w:rPr>
          <w:rFonts w:hint="eastAsia" w:eastAsia="仿宋_GB2312"/>
          <w:sz w:val="24"/>
          <w:lang w:val="en-US" w:eastAsia="zh-CN"/>
        </w:rPr>
        <w:t xml:space="preserve">        </w:t>
      </w:r>
      <w:r>
        <w:rPr>
          <w:rFonts w:hint="eastAsia" w:eastAsia="仿宋_GB2312"/>
          <w:sz w:val="24"/>
          <w:lang w:eastAsia="zh-CN"/>
        </w:rPr>
        <w:t xml:space="preserve">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vAlign w:val="top"/>
          </w:tcPr>
          <w:p>
            <w:pPr>
              <w:spacing w:line="620" w:lineRule="exact"/>
              <w:ind w:firstLine="640" w:firstLineChars="200"/>
              <w:jc w:val="center"/>
              <w:rPr>
                <w:rFonts w:hint="eastAsia" w:ascii="黑体" w:hAnsi="仿宋" w:eastAsia="黑体" w:cs="Times New Roman"/>
                <w:sz w:val="32"/>
                <w:szCs w:val="32"/>
              </w:rPr>
            </w:pPr>
            <w:r>
              <w:rPr>
                <w:rFonts w:hint="eastAsia" w:ascii="黑体" w:hAnsi="仿宋" w:eastAsia="黑体" w:cs="Times New Roman"/>
                <w:sz w:val="32"/>
                <w:szCs w:val="32"/>
              </w:rPr>
              <w:t>岳阳市君山区人民代表大会常务委员会</w:t>
            </w:r>
          </w:p>
          <w:p>
            <w:pPr>
              <w:spacing w:line="620" w:lineRule="exact"/>
              <w:ind w:firstLine="640" w:firstLineChars="200"/>
              <w:jc w:val="center"/>
              <w:rPr>
                <w:rFonts w:hint="eastAsia" w:ascii="黑体" w:hAnsi="仿宋" w:eastAsia="黑体" w:cs="Times New Roman"/>
                <w:sz w:val="32"/>
                <w:szCs w:val="32"/>
              </w:rPr>
            </w:pPr>
            <w:r>
              <w:rPr>
                <w:rFonts w:hint="eastAsia" w:ascii="黑体" w:hAnsi="仿宋" w:eastAsia="黑体" w:cs="Times New Roman"/>
                <w:sz w:val="32"/>
                <w:szCs w:val="32"/>
              </w:rPr>
              <w:t>20</w:t>
            </w:r>
            <w:r>
              <w:rPr>
                <w:rFonts w:hint="eastAsia" w:ascii="黑体" w:hAnsi="仿宋" w:eastAsia="黑体" w:cs="Times New Roman"/>
                <w:sz w:val="32"/>
                <w:szCs w:val="32"/>
                <w:lang w:val="en-US" w:eastAsia="zh-CN"/>
              </w:rPr>
              <w:t>20</w:t>
            </w:r>
            <w:r>
              <w:rPr>
                <w:rFonts w:hint="eastAsia" w:ascii="黑体" w:hAnsi="仿宋" w:eastAsia="黑体" w:cs="Times New Roman"/>
                <w:sz w:val="32"/>
                <w:szCs w:val="32"/>
              </w:rPr>
              <w:t>年部门整体支出绩效评价报告</w:t>
            </w:r>
          </w:p>
          <w:p>
            <w:pPr>
              <w:spacing w:line="560" w:lineRule="exact"/>
              <w:ind w:firstLine="640" w:firstLineChars="200"/>
              <w:rPr>
                <w:rFonts w:hint="eastAsia" w:ascii="黑体" w:hAnsi="黑体" w:eastAsia="黑体" w:cs="黑体"/>
                <w:bCs/>
                <w:sz w:val="32"/>
                <w:szCs w:val="32"/>
              </w:rPr>
            </w:pPr>
            <w:r>
              <w:rPr>
                <w:rFonts w:hint="eastAsia" w:ascii="仿宋_GB2312" w:hAnsi="仿宋_GB2312" w:eastAsia="仿宋_GB2312" w:cs="仿宋_GB2312"/>
                <w:bCs/>
                <w:sz w:val="32"/>
                <w:szCs w:val="32"/>
              </w:rPr>
              <w:t>根据《</w:t>
            </w:r>
            <w:r>
              <w:rPr>
                <w:rFonts w:hint="eastAsia" w:ascii="仿宋_GB2312" w:hAnsi="仿宋_GB2312" w:eastAsia="仿宋_GB2312" w:cs="仿宋_GB2312"/>
                <w:bCs/>
                <w:sz w:val="32"/>
                <w:szCs w:val="32"/>
                <w:lang w:eastAsia="zh-CN"/>
              </w:rPr>
              <w:t>君山区</w:t>
            </w:r>
            <w:r>
              <w:rPr>
                <w:rFonts w:hint="eastAsia" w:ascii="仿宋_GB2312" w:hAnsi="仿宋_GB2312" w:eastAsia="仿宋_GB2312" w:cs="仿宋_GB2312"/>
                <w:bCs/>
                <w:sz w:val="32"/>
                <w:szCs w:val="32"/>
              </w:rPr>
              <w:t>财政局关于开展20</w:t>
            </w:r>
            <w:r>
              <w:rPr>
                <w:rFonts w:hint="eastAsia" w:ascii="仿宋_GB2312" w:hAnsi="仿宋_GB2312" w:eastAsia="仿宋_GB2312" w:cs="仿宋_GB2312"/>
                <w:bCs/>
                <w:sz w:val="32"/>
                <w:szCs w:val="32"/>
                <w:lang w:val="en-US" w:eastAsia="zh-CN"/>
              </w:rPr>
              <w:t>21</w:t>
            </w:r>
            <w:r>
              <w:rPr>
                <w:rFonts w:hint="eastAsia" w:ascii="仿宋_GB2312" w:hAnsi="仿宋_GB2312" w:eastAsia="仿宋_GB2312" w:cs="仿宋_GB2312"/>
                <w:bCs/>
                <w:sz w:val="32"/>
                <w:szCs w:val="32"/>
              </w:rPr>
              <w:t>年度财政支出绩效自评工作的通知》（</w:t>
            </w:r>
            <w:r>
              <w:rPr>
                <w:rFonts w:hint="eastAsia" w:ascii="仿宋_GB2312" w:hAnsi="仿宋_GB2312" w:eastAsia="仿宋_GB2312" w:cs="仿宋_GB2312"/>
                <w:bCs/>
                <w:sz w:val="32"/>
                <w:szCs w:val="32"/>
                <w:lang w:eastAsia="zh-CN"/>
              </w:rPr>
              <w:t>岳君财发</w:t>
            </w: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21</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10</w:t>
            </w:r>
            <w:r>
              <w:rPr>
                <w:rFonts w:hint="eastAsia" w:ascii="仿宋_GB2312" w:hAnsi="仿宋_GB2312" w:eastAsia="仿宋_GB2312" w:cs="仿宋_GB2312"/>
                <w:bCs/>
                <w:sz w:val="32"/>
                <w:szCs w:val="32"/>
              </w:rPr>
              <w:t>号）文件精神，为全面推进部门整体绩效目标的实现，提升财政资金的使用效率，强化预算支出的责任和效率，我</w:t>
            </w:r>
            <w:r>
              <w:rPr>
                <w:rFonts w:hint="eastAsia" w:ascii="仿宋_GB2312" w:hAnsi="仿宋_GB2312" w:eastAsia="仿宋_GB2312" w:cs="仿宋_GB2312"/>
                <w:bCs/>
                <w:sz w:val="32"/>
                <w:szCs w:val="32"/>
                <w:lang w:val="en-US" w:eastAsia="zh-CN"/>
              </w:rPr>
              <w:t>单位</w:t>
            </w:r>
            <w:bookmarkStart w:id="0" w:name="_GoBack"/>
            <w:bookmarkEnd w:id="0"/>
            <w:r>
              <w:rPr>
                <w:rFonts w:hint="eastAsia" w:ascii="仿宋_GB2312" w:hAnsi="仿宋_GB2312" w:eastAsia="仿宋_GB2312" w:cs="仿宋_GB2312"/>
                <w:bCs/>
                <w:sz w:val="32"/>
                <w:szCs w:val="32"/>
              </w:rPr>
              <w:t>对20</w:t>
            </w:r>
            <w:r>
              <w:rPr>
                <w:rFonts w:hint="eastAsia" w:ascii="仿宋_GB2312" w:hAnsi="仿宋_GB2312" w:eastAsia="仿宋_GB2312" w:cs="仿宋_GB2312"/>
                <w:bCs/>
                <w:sz w:val="32"/>
                <w:szCs w:val="32"/>
                <w:lang w:val="en-US" w:eastAsia="zh-CN"/>
              </w:rPr>
              <w:t>20</w:t>
            </w:r>
            <w:r>
              <w:rPr>
                <w:rFonts w:hint="eastAsia" w:ascii="仿宋_GB2312" w:hAnsi="仿宋_GB2312" w:eastAsia="仿宋_GB2312" w:cs="仿宋_GB2312"/>
                <w:bCs/>
                <w:sz w:val="32"/>
                <w:szCs w:val="32"/>
              </w:rPr>
              <w:t>年部门整体支出开展了绩效自评。现将具体情况报告如下：</w:t>
            </w:r>
          </w:p>
          <w:p>
            <w:pPr>
              <w:spacing w:line="560" w:lineRule="exact"/>
              <w:ind w:firstLine="600" w:firstLineChars="200"/>
              <w:rPr>
                <w:rFonts w:hint="eastAsia" w:ascii="黑体" w:hAnsi="黑体" w:eastAsia="黑体" w:cs="黑体"/>
                <w:bCs/>
                <w:sz w:val="30"/>
                <w:szCs w:val="30"/>
              </w:rPr>
            </w:pPr>
            <w:r>
              <w:rPr>
                <w:rFonts w:hint="eastAsia" w:ascii="黑体" w:hAnsi="黑体" w:eastAsia="黑体" w:cs="黑体"/>
                <w:bCs/>
                <w:sz w:val="30"/>
                <w:szCs w:val="30"/>
              </w:rPr>
              <w:t>一、部门（单位）概况</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区人大常委会设办事和工作机构2个:办公室、选举任免联络工作委员会。区人大设专门委员会6个，监察和司法委员会、财政经济委员会、教育科学文化卫生委员会、环境与资源保护委员会、农业与农村委员会、社会建设委员会由区人民代表大会依法设立，在大会闭幕期间，受常委会领导，按照法律赋予的职责开展工作，均为正科级机构。</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区人大常委会办公室加挂信访办公室牌子；区人大法制委员会与区人大监察和司法委员会合署办公；区人大常委会预算工作委员会与区人大财政经济委员会合署办公；区人大民族华侨外事委员会与区人大教育科学文化卫生委员会合署办公。</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2、职能职责：</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区人大常委会担负着立法、监督、讨论决定重大事项、选举任免、审查批准经济和社会发展计划、审查批准财政预算等重要职责，在发展我区的社会主义心政治、维护社会公平正义与安定有序等方面发挥着重要作用。</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（二）部门（单位）整体支出规模、使用方向和主要内容、涉及范围等</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2020年本单位整体支出783.09万元，其中基本支出672.38万元，占总支出的85.86%，基本支出中人员支出为429.94万元，公用支出242.45万元；项目支出110.71万元，占总支出的14.14%。</w:t>
            </w:r>
          </w:p>
          <w:p>
            <w:pPr>
              <w:spacing w:line="560" w:lineRule="exact"/>
              <w:ind w:firstLine="600" w:firstLineChars="200"/>
              <w:rPr>
                <w:rFonts w:hint="eastAsia" w:ascii="黑体" w:hAnsi="黑体" w:eastAsia="黑体" w:cs="黑体"/>
                <w:bCs/>
                <w:sz w:val="30"/>
                <w:szCs w:val="30"/>
              </w:rPr>
            </w:pPr>
            <w:r>
              <w:rPr>
                <w:rFonts w:hint="eastAsia" w:ascii="黑体" w:hAnsi="黑体" w:eastAsia="黑体" w:cs="黑体"/>
                <w:bCs/>
                <w:sz w:val="30"/>
                <w:szCs w:val="30"/>
              </w:rPr>
              <w:t>二、部门（单位）整体支出管理及使用情况</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（一）基本支出情况分析</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基本支出用于为保障机构正常运转、完成日常工作任务而发生的支出，包括人员经费和公用经费。2020年基本支出672.38万元，其中：工资福利支出382.81万元，占基本支出的56.93%；商品和服务支出242.45万元，占基本支出的36.06%；对个人和家庭的补助支出47.13万元，占基本支出的7.01%。</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2020年三公经费支出32.16万元，财政下达控制数为40万元，完成财政下达控制数的80.4%，其中因公出国（境）费0万元，公务车购置及运行维护费0万元，公务接待费32.16万元，使用当年财政拨款支出32.16万元。</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（二）专项支出</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项目支出是在基本支出之外为完成其特定工作任务而发生的支出，主要用于人大培训工作、开展岳阳市君山区五届人大四次会议和运行乡镇平台工作专项支出。</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1．专项资金安排落实、总投入等情况</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2020年本单位专项资金共计139.96万元，上年结余3.00万元，本年收入136.96万元，全部为本级财政安排，已全部到位共发生支出110.71万元，结余29.25万元。</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2．专项资金实际使用情况</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本级财政安排专项资金139.96万元（含年初结余），实际使用110.71万元，其中：人大培训经费15.96万元，岳阳市君山区五届人大四次会议经费73.00万元，乡镇平台运行经费21.75万元。</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3．专项资金管理情况</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项目资金全部按财政国库集中支付制度要求使用和拨付，通过财政直接支付方式拨给项目实施单位。在拨付过程中严把监督审核关，建立健全内部审批制度，财务做好项目专帐，严格实行专款专用，保证资金及时足额用到项目中。</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val="en-US" w:eastAsia="zh-CN"/>
              </w:rPr>
              <w:t>三、部门（单位）专项组</w:t>
            </w:r>
            <w:r>
              <w:rPr>
                <w:rFonts w:hint="eastAsia" w:ascii="黑体" w:hAnsi="黑体" w:eastAsia="黑体" w:cs="黑体"/>
                <w:bCs/>
                <w:sz w:val="28"/>
                <w:szCs w:val="28"/>
              </w:rPr>
              <w:t>织实施情况</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（一）专项组织情况分析。</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项目采取以项目实施单位为主体，人大部门的管理体制，项目建设严格按照区财政局的要求，对于没有达到财评的项目采取议价的方式进行实施，达到财评标准的建设项目严格按财评的要求，进行财评和公开招标程序办理，其他项目由于投资较小，未达到招投标金额标准，由项目实施单位自行组织实施。项目按照申报方案实施，有变更的按照项目管理制度经审批后再作调整实施。年终组织专业技术人员对项目进行了验收，项目任务全部完成，质量全部达标。</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（二）专项管理情况分析</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按照项目资金管理制度要求，对项目实施和资金使用分配方案坚持集体决策。对项目制订工作方案，明确完成的具体时间，开展项目规划设计、部署工作，认真落实建设任务。</w:t>
            </w:r>
          </w:p>
          <w:p>
            <w:pPr>
              <w:numPr>
                <w:ilvl w:val="0"/>
                <w:numId w:val="1"/>
              </w:numPr>
              <w:spacing w:line="560" w:lineRule="exact"/>
              <w:ind w:firstLine="640"/>
              <w:rPr>
                <w:rFonts w:hint="eastAsia" w:ascii="黑体" w:hAnsi="黑体" w:eastAsia="黑体" w:cs="黑体"/>
                <w:bCs/>
                <w:sz w:val="30"/>
                <w:szCs w:val="30"/>
              </w:rPr>
            </w:pPr>
            <w:r>
              <w:rPr>
                <w:rFonts w:hint="eastAsia" w:ascii="黑体" w:hAnsi="黑体" w:eastAsia="黑体" w:cs="黑体"/>
                <w:bCs/>
                <w:sz w:val="30"/>
                <w:szCs w:val="30"/>
              </w:rPr>
              <w:t>部门（单位）整体支出绩效情况</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2020年区人大常委会在区委的坚强领导下，坚持以习近平总书记关于坚持和完善人民代表大会制度的重要思想为根本遵循，全面贯彻党的十九大精神和习近平总书记在君山考察时提出“守护好一江碧水”的殷切嘱托，主动担当，积极作为，依法行使宪法和法律赋予的职权，全年共召开主任会议12次，常委会会议7次，作出决议、决定11项，听取和审议专项工作报告35项，开展执法检查、专题调研和集中视察32次，依法任免国家机关工作人员46人次，较好地完成了区五届人大四次会议确定的各项工作任务，为我区改革发展社会稳定和民主法治建设作出了积极的贡献。</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本年预算配置控制较好，经费支出控制在预算范围内。资产管理方面建立了固定资产管理制度，定期进行了盘点和资产清理，总体执行较好。根据部门整体支出绩效评价指标体系，本单位2020年度评价得分98分。</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本年工作上切实做到坚持党的领导，彰显忠诚担当的政治本色；履行监督职责，增强服务大局的责任担当；突出主体地位，践行履职为民的使命担当；加强自身建设，提升依法履职的能力担当。通过上述工作的开展，提高了工作人员为民服务意识，树立了良好的、廉洁的、高效的政府形象，社会公众的满意度得到了提高。</w:t>
            </w:r>
          </w:p>
          <w:p>
            <w:pPr>
              <w:numPr>
                <w:ilvl w:val="0"/>
                <w:numId w:val="0"/>
              </w:numPr>
              <w:ind w:firstLine="600" w:firstLineChars="200"/>
              <w:rPr>
                <w:rFonts w:hint="eastAsia" w:ascii="黑体" w:hAnsi="黑体" w:eastAsia="黑体" w:cs="黑体"/>
                <w:bCs/>
                <w:sz w:val="30"/>
                <w:szCs w:val="30"/>
              </w:rPr>
            </w:pPr>
            <w:r>
              <w:rPr>
                <w:rFonts w:hint="eastAsia" w:ascii="黑体" w:hAnsi="黑体" w:eastAsia="黑体" w:cs="黑体"/>
                <w:bCs/>
                <w:sz w:val="30"/>
                <w:szCs w:val="30"/>
                <w:lang w:val="en-US" w:eastAsia="zh-CN"/>
              </w:rPr>
              <w:t>五、</w:t>
            </w:r>
            <w:r>
              <w:rPr>
                <w:rFonts w:hint="eastAsia" w:ascii="黑体" w:hAnsi="黑体" w:eastAsia="黑体" w:cs="黑体"/>
                <w:bCs/>
                <w:sz w:val="30"/>
                <w:szCs w:val="30"/>
              </w:rPr>
              <w:t>存在的主要问题</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1、行使重大决定权还需突破。</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2、刚性监督方式运用较少。</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3、视察调研缺乏深度。</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4、议案建议督促落实有待加强。</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5、代表作用发挥仍具潜力。</w:t>
            </w:r>
          </w:p>
          <w:p>
            <w:pPr>
              <w:pStyle w:val="7"/>
              <w:numPr>
                <w:ilvl w:val="0"/>
                <w:numId w:val="0"/>
              </w:numPr>
              <w:spacing w:line="560" w:lineRule="exact"/>
              <w:ind w:firstLine="600" w:firstLineChars="200"/>
              <w:rPr>
                <w:rFonts w:ascii="黑体" w:hAnsi="黑体" w:eastAsia="黑体" w:cs="黑体"/>
                <w:bCs/>
                <w:sz w:val="30"/>
                <w:szCs w:val="30"/>
              </w:rPr>
            </w:pPr>
            <w:r>
              <w:rPr>
                <w:rFonts w:hint="eastAsia" w:ascii="黑体" w:hAnsi="黑体" w:eastAsia="黑体" w:cs="黑体"/>
                <w:bCs/>
                <w:sz w:val="30"/>
                <w:szCs w:val="30"/>
                <w:lang w:eastAsia="zh-CN"/>
              </w:rPr>
              <w:t>六、</w:t>
            </w:r>
            <w:r>
              <w:rPr>
                <w:rFonts w:hint="eastAsia" w:ascii="黑体" w:hAnsi="黑体" w:eastAsia="黑体" w:cs="黑体"/>
                <w:bCs/>
                <w:sz w:val="30"/>
                <w:szCs w:val="30"/>
              </w:rPr>
              <w:t>改进措施和有关建议</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1、进一步强化政治意识，工作站位要有新提升。</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2、进一步强化担当意识，服务大局要有新作为。</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3、进一步强化履职意识，代表工作要有新创意。</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4、进一步强化形象意识，自身建设要有新气象。</w:t>
            </w:r>
          </w:p>
          <w:p>
            <w:pPr>
              <w:rPr>
                <w:rFonts w:hint="eastAsia" w:eastAsia="楷体_GB2312"/>
                <w:bCs/>
                <w:sz w:val="28"/>
                <w:szCs w:val="28"/>
                <w:lang w:val="en-US" w:eastAsia="zh-CN"/>
              </w:rPr>
            </w:pPr>
          </w:p>
        </w:tc>
      </w:tr>
    </w:tbl>
    <w:p>
      <w:pPr>
        <w:rPr>
          <w:rFonts w:hint="eastAsia"/>
        </w:rPr>
      </w:pPr>
      <w:r>
        <w:rPr>
          <w:rFonts w:eastAsia="楷体_GB2312"/>
          <w:bCs/>
          <w:sz w:val="28"/>
          <w:szCs w:val="28"/>
        </w:rPr>
        <w:br w:type="page"/>
      </w:r>
    </w:p>
    <w:p>
      <w:pPr>
        <w:spacing w:before="312" w:beforeLines="100" w:after="312" w:afterLines="100"/>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
      <w:pPr>
        <w:spacing w:before="312" w:beforeLines="100" w:after="312" w:afterLines="100"/>
        <w:jc w:val="center"/>
        <w:rPr>
          <w:rFonts w:hint="eastAsia" w:ascii="方正小标宋简体" w:eastAsia="方正小标宋简体"/>
          <w:sz w:val="36"/>
          <w:szCs w:val="36"/>
        </w:rPr>
      </w:pPr>
    </w:p>
    <w:p>
      <w:pPr>
        <w:spacing w:before="312" w:beforeLines="100" w:after="312" w:afterLines="100"/>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r>
        <w:rPr>
          <w:rFonts w:hint="eastAsia" w:ascii="方正小标宋简体" w:eastAsia="方正小标宋简体"/>
          <w:sz w:val="36"/>
          <w:szCs w:val="36"/>
          <w:lang w:val="en-US" w:eastAsia="zh-CN"/>
        </w:rPr>
        <w:t>续</w:t>
      </w:r>
      <w:r>
        <w:rPr>
          <w:rFonts w:hint="eastAsia" w:ascii="方正小标宋简体" w:eastAsia="方正小标宋简体"/>
          <w:sz w:val="36"/>
          <w:szCs w:val="36"/>
        </w:rPr>
        <w:t>）</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无此考核目标</w:t>
            </w: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无此考核目标</w:t>
            </w: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hint="eastAsia"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备注：如部门（单位）根据本部门实际情况修改调整了附件3《部门整体支出绩效评价指标体系》，须相应修改调整本表中的对应部分。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pPr>
                          <w:r>
                            <w:rPr>
                              <w:rFonts w:hint="eastAsia"/>
                              <w:lang w:eastAsia="zh-CN"/>
                            </w:rPr>
                            <w:t xml:space="preserve">— </w:t>
                          </w:r>
                          <w:r>
                            <w:fldChar w:fldCharType="begin"/>
                          </w:r>
                          <w:r>
                            <w:instrText xml:space="preserve">PAGE  </w:instrText>
                          </w:r>
                          <w:r>
                            <w:fldChar w:fldCharType="separate"/>
                          </w:r>
                          <w:r>
                            <w:rPr>
                              <w:sz w:val="24"/>
                              <w:szCs w:val="24"/>
                            </w:rPr>
                            <w:t>1</w:t>
                          </w:r>
                          <w: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pPr>
                    <w:r>
                      <w:rPr>
                        <w:rFonts w:hint="eastAsia"/>
                        <w:lang w:eastAsia="zh-CN"/>
                      </w:rPr>
                      <w:t xml:space="preserve">— </w:t>
                    </w:r>
                    <w:r>
                      <w:fldChar w:fldCharType="begin"/>
                    </w:r>
                    <w:r>
                      <w:instrText xml:space="preserve">PAGE  </w:instrText>
                    </w:r>
                    <w:r>
                      <w:fldChar w:fldCharType="separate"/>
                    </w:r>
                    <w:r>
                      <w:rPr>
                        <w:sz w:val="24"/>
                        <w:szCs w:val="24"/>
                      </w:rPr>
                      <w:t>1</w:t>
                    </w:r>
                    <w:r>
                      <w:fldChar w:fldCharType="end"/>
                    </w:r>
                    <w:r>
                      <w:rPr>
                        <w:rFonts w:hint="eastAsia"/>
                        <w:lang w:eastAsia="zh-CN"/>
                      </w:rPr>
                      <w:t xml:space="preserve"> —</w:t>
                    </w:r>
                  </w:p>
                </w:txbxContent>
              </v:textbox>
            </v:shape>
          </w:pict>
        </mc:Fallback>
      </mc:AlternateConten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E18D1"/>
    <w:multiLevelType w:val="singleLevel"/>
    <w:tmpl w:val="B85E18D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110C6"/>
    <w:rsid w:val="127A214D"/>
    <w:rsid w:val="18A060A6"/>
    <w:rsid w:val="1A6F2DEF"/>
    <w:rsid w:val="1BC51D1D"/>
    <w:rsid w:val="1CDC6AEC"/>
    <w:rsid w:val="21273039"/>
    <w:rsid w:val="219C0D17"/>
    <w:rsid w:val="24020530"/>
    <w:rsid w:val="257E1E30"/>
    <w:rsid w:val="2FBB11FB"/>
    <w:rsid w:val="2FEA3A41"/>
    <w:rsid w:val="37C81D64"/>
    <w:rsid w:val="3A2E7C66"/>
    <w:rsid w:val="42530112"/>
    <w:rsid w:val="42F96194"/>
    <w:rsid w:val="4DE34F31"/>
    <w:rsid w:val="522B1D60"/>
    <w:rsid w:val="5804370A"/>
    <w:rsid w:val="5FD308A1"/>
    <w:rsid w:val="63F9344E"/>
    <w:rsid w:val="6713436F"/>
    <w:rsid w:val="711E24EB"/>
    <w:rsid w:val="766D0420"/>
    <w:rsid w:val="769E3F57"/>
    <w:rsid w:val="77203EB9"/>
    <w:rsid w:val="77560C2B"/>
    <w:rsid w:val="778C0BCB"/>
    <w:rsid w:val="7B49096E"/>
    <w:rsid w:val="7C552B32"/>
    <w:rsid w:val="7D546EA4"/>
    <w:rsid w:val="7DAD20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0"/>
      <w:ind w:left="0" w:firstLine="420" w:firstLineChars="200"/>
    </w:pPr>
    <w:rPr>
      <w:rFonts w:ascii="Calibri" w:hAnsi="Calibri"/>
    </w:rPr>
  </w:style>
  <w:style w:type="paragraph" w:styleId="3">
    <w:name w:val="Body Text Indent"/>
    <w:basedOn w:val="1"/>
    <w:unhideWhenUsed/>
    <w:qFormat/>
    <w:uiPriority w:val="99"/>
    <w:pPr>
      <w:spacing w:after="120"/>
      <w:ind w:left="420" w:leftChars="200"/>
    </w:pPr>
    <w:rPr>
      <w:rFonts w:eastAsia="宋体" w:cs="Times New Roman"/>
    </w:rPr>
  </w:style>
  <w:style w:type="paragraph" w:styleId="4">
    <w:name w:val="Body Text"/>
    <w:basedOn w:val="1"/>
    <w:uiPriority w:val="0"/>
    <w:rPr>
      <w:rFonts w:eastAsia="仿宋_GB2312"/>
      <w:sz w:val="32"/>
    </w:rPr>
  </w:style>
  <w:style w:type="paragraph" w:customStyle="1" w:styleId="7">
    <w:name w:val="List Paragraph"/>
    <w:basedOn w:val="1"/>
    <w:unhideWhenUsed/>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2021-07-23T13:35:39Z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18ED83F14F3E470287FE419ECF81E692</vt:lpwstr>
  </property>
</Properties>
</file>