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附件3-1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君山区20</w:t>
      </w:r>
      <w:r>
        <w:rPr>
          <w:rFonts w:hint="eastAsia" w:eastAsia="方正小标宋简体"/>
          <w:bCs/>
          <w:sz w:val="46"/>
          <w:szCs w:val="46"/>
          <w:u w:val="single"/>
        </w:rPr>
        <w:t xml:space="preserve"> 20</w:t>
      </w:r>
      <w:r>
        <w:rPr>
          <w:rFonts w:hint="eastAsia" w:eastAsia="方正小标宋简体"/>
          <w:bCs/>
          <w:sz w:val="46"/>
          <w:szCs w:val="46"/>
        </w:rPr>
        <w:t>年度部门（单位）整体支出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岳阳市君山区统计局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114001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eastAsia="仿宋_GB2312"/>
          <w:sz w:val="32"/>
        </w:rPr>
      </w:pPr>
    </w:p>
    <w:p>
      <w:pPr>
        <w:spacing w:line="348" w:lineRule="auto"/>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 xml:space="preserve">报告日期： 2021  年 </w:t>
      </w:r>
      <w:r>
        <w:rPr>
          <w:rFonts w:hint="eastAsia" w:eastAsia="仿宋_GB2312"/>
          <w:sz w:val="32"/>
          <w:lang w:val="en-US" w:eastAsia="zh-CN"/>
        </w:rPr>
        <w:t>7</w:t>
      </w:r>
      <w:r>
        <w:rPr>
          <w:rFonts w:hint="eastAsia" w:eastAsia="仿宋_GB2312"/>
          <w:sz w:val="32"/>
        </w:rPr>
        <w:t xml:space="preserve"> 月</w:t>
      </w:r>
      <w:r>
        <w:rPr>
          <w:rFonts w:hint="eastAsia" w:eastAsia="仿宋_GB2312"/>
          <w:sz w:val="32"/>
          <w:lang w:val="en-US" w:eastAsia="zh-CN"/>
        </w:rPr>
        <w:t>2</w:t>
      </w:r>
      <w:r>
        <w:rPr>
          <w:rFonts w:hint="eastAsia" w:eastAsia="仿宋_GB2312"/>
          <w:sz w:val="32"/>
        </w:rPr>
        <w:t xml:space="preserve"> 1日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君山区财政</w:t>
      </w:r>
      <w:r>
        <w:rPr>
          <w:rFonts w:hint="eastAsia" w:eastAsia="仿宋_GB2312"/>
          <w:sz w:val="32"/>
          <w:szCs w:val="32"/>
        </w:rPr>
        <w:t>局（制）</w:t>
      </w:r>
    </w:p>
    <w:tbl>
      <w:tblPr>
        <w:tblStyle w:val="5"/>
        <w:tblW w:w="99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325"/>
        <w:gridCol w:w="329"/>
        <w:gridCol w:w="46"/>
        <w:gridCol w:w="1080"/>
        <w:gridCol w:w="210"/>
        <w:gridCol w:w="1145"/>
        <w:gridCol w:w="272"/>
        <w:gridCol w:w="887"/>
        <w:gridCol w:w="1400"/>
        <w:gridCol w:w="226"/>
        <w:gridCol w:w="196"/>
        <w:gridCol w:w="259"/>
        <w:gridCol w:w="1080"/>
        <w:gridCol w:w="265"/>
        <w:gridCol w:w="139"/>
        <w:gridCol w:w="316"/>
        <w:gridCol w:w="7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62"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640"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汤敏</w:t>
            </w:r>
          </w:p>
        </w:tc>
        <w:tc>
          <w:tcPr>
            <w:tcW w:w="140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268"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15173028188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640"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w:t>
            </w:r>
          </w:p>
        </w:tc>
        <w:tc>
          <w:tcPr>
            <w:tcW w:w="140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268"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08" w:type="dxa"/>
            <w:gridSpan w:val="15"/>
            <w:vAlign w:val="center"/>
          </w:tcPr>
          <w:p>
            <w:pPr>
              <w:spacing w:line="600" w:lineRule="exact"/>
              <w:ind w:firstLine="600" w:firstLineChars="250"/>
              <w:rPr>
                <w:rFonts w:ascii="仿宋" w:hAnsi="仿宋" w:eastAsia="仿宋" w:cs="仿宋_GB2312"/>
                <w:sz w:val="24"/>
              </w:rPr>
            </w:pPr>
            <w:r>
              <w:rPr>
                <w:rFonts w:hint="eastAsia" w:ascii="仿宋" w:hAnsi="仿宋" w:eastAsia="仿宋" w:cs="仿宋_GB2312"/>
                <w:sz w:val="24"/>
              </w:rPr>
              <w:t>贯彻执行国家和省、市统计工作的方针政策，完成统计调查任务；承担组织领导和协调全区统计工作；监督检查统计法律法规和统计方法制度的实施情况；组织实施本区国民经济核算工作；会同有关部门组织实施国家重大的国情国力普查计划；对全区经济社会发展态势进行统计分析、预测和监督；完成区委、区政府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308" w:type="dxa"/>
            <w:gridSpan w:val="15"/>
            <w:vAlign w:val="center"/>
          </w:tcPr>
          <w:p>
            <w:pPr>
              <w:widowControl/>
              <w:spacing w:line="480" w:lineRule="auto"/>
              <w:rPr>
                <w:rFonts w:ascii="仿宋" w:hAnsi="仿宋" w:eastAsia="仿宋" w:cs="宋体"/>
                <w:kern w:val="0"/>
                <w:sz w:val="24"/>
              </w:rPr>
            </w:pPr>
            <w:r>
              <w:rPr>
                <w:rFonts w:ascii="仿宋" w:hAnsi="仿宋" w:eastAsia="仿宋" w:cs="宋体"/>
                <w:kern w:val="0"/>
                <w:sz w:val="24"/>
              </w:rPr>
              <w:t>任务1：认真做好第</w:t>
            </w:r>
            <w:r>
              <w:rPr>
                <w:rFonts w:hint="eastAsia" w:ascii="仿宋" w:hAnsi="仿宋" w:eastAsia="仿宋" w:cs="宋体"/>
                <w:kern w:val="0"/>
                <w:sz w:val="24"/>
              </w:rPr>
              <w:t>七</w:t>
            </w:r>
            <w:r>
              <w:rPr>
                <w:rFonts w:ascii="仿宋" w:hAnsi="仿宋" w:eastAsia="仿宋" w:cs="宋体"/>
                <w:kern w:val="0"/>
                <w:sz w:val="24"/>
              </w:rPr>
              <w:t>次全国</w:t>
            </w:r>
            <w:r>
              <w:rPr>
                <w:rFonts w:hint="eastAsia" w:ascii="仿宋" w:hAnsi="仿宋" w:eastAsia="仿宋" w:cs="宋体"/>
                <w:kern w:val="0"/>
                <w:sz w:val="24"/>
              </w:rPr>
              <w:t>人口普查和第四次</w:t>
            </w:r>
            <w:r>
              <w:rPr>
                <w:rFonts w:ascii="仿宋" w:hAnsi="仿宋" w:eastAsia="仿宋" w:cs="宋体"/>
                <w:kern w:val="0"/>
                <w:sz w:val="24"/>
              </w:rPr>
              <w:t>全国经济普查工作；</w:t>
            </w:r>
          </w:p>
          <w:p>
            <w:pPr>
              <w:widowControl/>
              <w:spacing w:line="480" w:lineRule="auto"/>
              <w:rPr>
                <w:rFonts w:ascii="仿宋" w:hAnsi="仿宋" w:eastAsia="仿宋" w:cs="宋体"/>
                <w:kern w:val="0"/>
                <w:sz w:val="24"/>
              </w:rPr>
            </w:pPr>
            <w:r>
              <w:rPr>
                <w:rFonts w:ascii="仿宋" w:hAnsi="仿宋" w:eastAsia="仿宋" w:cs="宋体"/>
                <w:kern w:val="0"/>
                <w:sz w:val="24"/>
              </w:rPr>
              <w:t>任务2：认真做好全国劳动力调查工作;</w:t>
            </w:r>
          </w:p>
          <w:p>
            <w:pPr>
              <w:widowControl/>
              <w:spacing w:line="480" w:lineRule="auto"/>
              <w:rPr>
                <w:rFonts w:ascii="仿宋" w:hAnsi="仿宋" w:eastAsia="仿宋" w:cs="宋体"/>
                <w:kern w:val="0"/>
                <w:sz w:val="24"/>
              </w:rPr>
            </w:pPr>
            <w:r>
              <w:rPr>
                <w:rFonts w:ascii="仿宋" w:hAnsi="仿宋" w:eastAsia="仿宋" w:cs="宋体"/>
                <w:kern w:val="0"/>
                <w:sz w:val="24"/>
              </w:rPr>
              <w:t>任务3：认真做好全国1%人口抽样调查工作；</w:t>
            </w:r>
          </w:p>
          <w:p>
            <w:pPr>
              <w:widowControl/>
              <w:spacing w:line="480" w:lineRule="auto"/>
              <w:rPr>
                <w:rFonts w:ascii="仿宋" w:hAnsi="仿宋" w:eastAsia="仿宋" w:cs="宋体"/>
                <w:kern w:val="0"/>
                <w:sz w:val="24"/>
              </w:rPr>
            </w:pPr>
            <w:r>
              <w:rPr>
                <w:rFonts w:ascii="仿宋" w:hAnsi="仿宋" w:eastAsia="仿宋" w:cs="宋体"/>
                <w:kern w:val="0"/>
                <w:sz w:val="24"/>
              </w:rPr>
              <w:t>任务4：搞好居民纯收入支出调查工作，为制定民生政策、转移支付、帮扶、领导制定决策提供依据；</w:t>
            </w:r>
          </w:p>
          <w:p>
            <w:pPr>
              <w:widowControl/>
              <w:spacing w:line="480" w:lineRule="auto"/>
              <w:rPr>
                <w:rFonts w:ascii="仿宋" w:hAnsi="仿宋" w:eastAsia="仿宋" w:cs="宋体"/>
                <w:kern w:val="0"/>
                <w:sz w:val="24"/>
              </w:rPr>
            </w:pPr>
            <w:r>
              <w:rPr>
                <w:rFonts w:ascii="仿宋" w:hAnsi="仿宋" w:eastAsia="仿宋" w:cs="宋体"/>
                <w:kern w:val="0"/>
                <w:sz w:val="24"/>
              </w:rPr>
              <w:t>任务5：推动区域改革，做好承接市级下</w:t>
            </w:r>
            <w:r>
              <w:rPr>
                <w:rFonts w:hint="eastAsia" w:ascii="仿宋" w:hAnsi="仿宋" w:eastAsia="仿宋" w:cs="宋体"/>
                <w:kern w:val="0"/>
                <w:sz w:val="24"/>
              </w:rPr>
              <w:t>达</w:t>
            </w:r>
            <w:r>
              <w:rPr>
                <w:rFonts w:ascii="仿宋" w:hAnsi="仿宋" w:eastAsia="仿宋" w:cs="宋体"/>
                <w:kern w:val="0"/>
                <w:sz w:val="24"/>
              </w:rPr>
              <w:t>的统计任务；</w:t>
            </w:r>
          </w:p>
          <w:p>
            <w:pPr>
              <w:widowControl/>
              <w:spacing w:line="480" w:lineRule="auto"/>
              <w:rPr>
                <w:rFonts w:ascii="仿宋" w:hAnsi="仿宋" w:eastAsia="仿宋" w:cs="宋体"/>
                <w:kern w:val="0"/>
                <w:sz w:val="24"/>
              </w:rPr>
            </w:pPr>
            <w:r>
              <w:rPr>
                <w:rFonts w:ascii="仿宋" w:hAnsi="仿宋" w:eastAsia="仿宋" w:cs="宋体"/>
                <w:kern w:val="0"/>
                <w:sz w:val="24"/>
              </w:rPr>
              <w:t>任务6：做好小康监测调查、物价指数调查等其他十余项调查工作，为政府决策提供依据;</w:t>
            </w:r>
          </w:p>
          <w:p>
            <w:pPr>
              <w:widowControl/>
              <w:spacing w:line="480" w:lineRule="auto"/>
              <w:rPr>
                <w:rFonts w:ascii="仿宋" w:hAnsi="仿宋" w:eastAsia="仿宋" w:cs="宋体"/>
                <w:kern w:val="0"/>
                <w:sz w:val="24"/>
              </w:rPr>
            </w:pPr>
            <w:r>
              <w:rPr>
                <w:rFonts w:ascii="仿宋" w:hAnsi="仿宋" w:eastAsia="仿宋" w:cs="宋体"/>
                <w:kern w:val="0"/>
                <w:sz w:val="24"/>
              </w:rPr>
              <w:t>任务7：加强乡街和部门的统计基层基础工作；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308" w:type="dxa"/>
            <w:gridSpan w:val="15"/>
            <w:vAlign w:val="center"/>
          </w:tcPr>
          <w:p>
            <w:pPr>
              <w:widowControl/>
              <w:spacing w:before="100" w:beforeAutospacing="1" w:after="100" w:afterAutospacing="1" w:line="320" w:lineRule="exact"/>
              <w:ind w:firstLine="600" w:firstLineChars="250"/>
              <w:textAlignment w:val="center"/>
              <w:rPr>
                <w:rFonts w:ascii="仿宋" w:hAnsi="仿宋" w:eastAsia="仿宋" w:cs="宋体"/>
                <w:color w:val="FFFFFF"/>
                <w:kern w:val="0"/>
                <w:sz w:val="24"/>
              </w:rPr>
            </w:pPr>
            <w:r>
              <w:rPr>
                <w:rFonts w:hint="eastAsia" w:ascii="仿宋" w:hAnsi="仿宋" w:eastAsia="仿宋" w:cs="宋体"/>
                <w:color w:val="000000"/>
                <w:sz w:val="24"/>
              </w:rPr>
              <w:t>2020年，君山区统计局</w:t>
            </w:r>
            <w:r>
              <w:rPr>
                <w:rFonts w:ascii="仿宋" w:hAnsi="仿宋" w:eastAsia="仿宋"/>
                <w:sz w:val="24"/>
              </w:rPr>
              <w:t>顺利完成全区的各项统计调查任务，按时发布了全区国民经济和社会发展情况的统计信息；提升了统计水平，加强了统计队伍建设，为全区经济社会发展提供了优质高效的统计服务。</w:t>
            </w:r>
          </w:p>
          <w:p>
            <w:pPr>
              <w:widowControl/>
              <w:spacing w:before="100" w:beforeAutospacing="1" w:after="100" w:afterAutospacing="1" w:line="320" w:lineRule="exact"/>
              <w:textAlignment w:val="center"/>
              <w:rPr>
                <w:rFonts w:ascii="仿宋" w:hAnsi="仿宋" w:eastAsia="仿宋" w:cs="宋体"/>
                <w:color w:val="FFFFFF"/>
                <w:kern w:val="0"/>
                <w:sz w:val="24"/>
              </w:rPr>
            </w:pPr>
            <w:r>
              <w:rPr>
                <w:rFonts w:hint="eastAsia" w:ascii="仿宋" w:hAnsi="仿宋" w:eastAsia="仿宋" w:cs="宋体"/>
                <w:color w:val="000000"/>
                <w:sz w:val="24"/>
              </w:rPr>
              <w:t>（一）强化监测分析，服务水平明显提升</w:t>
            </w:r>
          </w:p>
          <w:p>
            <w:pPr>
              <w:widowControl/>
              <w:spacing w:before="100" w:beforeAutospacing="1" w:after="100" w:afterAutospacing="1" w:line="320" w:lineRule="exact"/>
              <w:textAlignment w:val="center"/>
              <w:rPr>
                <w:rFonts w:ascii="仿宋" w:hAnsi="仿宋" w:eastAsia="仿宋" w:cs="宋体"/>
                <w:color w:val="FFFFFF"/>
                <w:kern w:val="0"/>
                <w:sz w:val="24"/>
              </w:rPr>
            </w:pPr>
            <w:r>
              <w:rPr>
                <w:rFonts w:hint="eastAsia" w:ascii="仿宋" w:hAnsi="仿宋" w:eastAsia="仿宋" w:cs="宋体"/>
                <w:color w:val="000000"/>
                <w:sz w:val="24"/>
              </w:rPr>
              <w:t>（二）强化基层基础，数据质量明显提高</w:t>
            </w:r>
          </w:p>
          <w:p>
            <w:pPr>
              <w:widowControl/>
              <w:spacing w:before="100" w:beforeAutospacing="1" w:after="100" w:afterAutospacing="1" w:line="320" w:lineRule="exact"/>
              <w:textAlignment w:val="center"/>
              <w:rPr>
                <w:rFonts w:ascii="仿宋" w:hAnsi="仿宋" w:eastAsia="仿宋" w:cs="宋体"/>
                <w:color w:val="FFFFFF"/>
                <w:kern w:val="0"/>
                <w:sz w:val="24"/>
              </w:rPr>
            </w:pPr>
            <w:r>
              <w:rPr>
                <w:rFonts w:hint="eastAsia" w:ascii="仿宋" w:hAnsi="仿宋" w:eastAsia="仿宋" w:cs="宋体"/>
                <w:color w:val="000000"/>
                <w:sz w:val="24"/>
              </w:rPr>
              <w:t>（三）强化工作重点，重点工作有序推进</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宋体"/>
                <w:color w:val="000000"/>
                <w:sz w:val="24"/>
              </w:rPr>
              <w:t>（四）强化党建总揽，开展特色党建活动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62"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62"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182"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159"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626"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42"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558.24</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59"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558.24</w:t>
            </w:r>
          </w:p>
        </w:tc>
        <w:tc>
          <w:tcPr>
            <w:tcW w:w="1626"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42"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558.24</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59"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558.24</w:t>
            </w:r>
          </w:p>
        </w:tc>
        <w:tc>
          <w:tcPr>
            <w:tcW w:w="1626"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42"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159"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626"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42"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159"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626"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42"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962"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507"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787"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59"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081"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87"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w:t>
            </w:r>
            <w:bookmarkStart w:id="0" w:name="_GoBack"/>
            <w:bookmarkEnd w:id="0"/>
            <w:r>
              <w:rPr>
                <w:rFonts w:hint="eastAsia" w:ascii="仿宋_GB2312" w:hAnsi="仿宋_GB2312" w:eastAsia="仿宋_GB2312" w:cs="仿宋_GB2312"/>
                <w:color w:val="000000"/>
                <w:sz w:val="24"/>
              </w:rPr>
              <w:t>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477.77</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323.64</w:t>
            </w:r>
          </w:p>
        </w:tc>
        <w:tc>
          <w:tcPr>
            <w:tcW w:w="1159"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139.09</w:t>
            </w:r>
          </w:p>
        </w:tc>
        <w:tc>
          <w:tcPr>
            <w:tcW w:w="2081"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184.55</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154.13</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80.4</w:t>
            </w:r>
            <w:r>
              <w:rPr>
                <w:rFonts w:hint="eastAsia" w:ascii="仿宋_GB2312" w:hAnsi="仿宋_GB2312" w:eastAsia="仿宋_GB2312" w:cs="仿宋_GB2312"/>
                <w:color w:val="000000"/>
                <w:sz w:val="24"/>
                <w:lang w:val="en-US" w:eastAsia="zh-CN"/>
              </w:rPr>
              <w:t>7</w:t>
            </w:r>
          </w:p>
        </w:tc>
        <w:tc>
          <w:tcPr>
            <w:tcW w:w="787"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80.47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477.77</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323.64</w:t>
            </w:r>
          </w:p>
        </w:tc>
        <w:tc>
          <w:tcPr>
            <w:tcW w:w="1159"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139.09</w:t>
            </w:r>
          </w:p>
        </w:tc>
        <w:tc>
          <w:tcPr>
            <w:tcW w:w="2081"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184.55</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154.13</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80.4</w:t>
            </w:r>
            <w:r>
              <w:rPr>
                <w:rFonts w:hint="eastAsia" w:ascii="仿宋_GB2312" w:hAnsi="仿宋_GB2312" w:eastAsia="仿宋_GB2312" w:cs="仿宋_GB2312"/>
                <w:color w:val="000000"/>
                <w:sz w:val="24"/>
                <w:lang w:val="en-US" w:eastAsia="zh-CN"/>
              </w:rPr>
              <w:t>7</w:t>
            </w:r>
          </w:p>
        </w:tc>
        <w:tc>
          <w:tcPr>
            <w:tcW w:w="787"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80.47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59"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081"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87"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59"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081"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87"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82"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159"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081"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587"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1.76</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1.76</w:t>
            </w:r>
          </w:p>
        </w:tc>
        <w:tc>
          <w:tcPr>
            <w:tcW w:w="1159"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081"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87"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1.76</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1.76</w:t>
            </w:r>
          </w:p>
        </w:tc>
        <w:tc>
          <w:tcPr>
            <w:tcW w:w="1159"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081"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87"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9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59"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081"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87"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59"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081"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87"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103"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14"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565"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103"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6"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27.26</w:t>
            </w:r>
          </w:p>
        </w:tc>
        <w:tc>
          <w:tcPr>
            <w:tcW w:w="2514"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27.26</w:t>
            </w:r>
          </w:p>
        </w:tc>
        <w:tc>
          <w:tcPr>
            <w:tcW w:w="3565"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03"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16"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27.26</w:t>
            </w:r>
          </w:p>
        </w:tc>
        <w:tc>
          <w:tcPr>
            <w:tcW w:w="2514"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27.26</w:t>
            </w:r>
          </w:p>
        </w:tc>
        <w:tc>
          <w:tcPr>
            <w:tcW w:w="3565"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03"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14"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5"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03"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3"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14"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5"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03"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62"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25"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969"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668"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75" w:hRule="atLeast"/>
          <w:jc w:val="center"/>
        </w:trPr>
        <w:tc>
          <w:tcPr>
            <w:tcW w:w="1325" w:type="dxa"/>
            <w:vMerge w:val="continue"/>
            <w:vAlign w:val="center"/>
          </w:tcPr>
          <w:p>
            <w:pPr>
              <w:spacing w:line="320" w:lineRule="exact"/>
              <w:rPr>
                <w:rFonts w:ascii="仿宋_GB2312" w:hAnsi="仿宋_GB2312" w:eastAsia="仿宋_GB2312" w:cs="仿宋_GB2312"/>
                <w:sz w:val="24"/>
              </w:rPr>
            </w:pPr>
          </w:p>
        </w:tc>
        <w:tc>
          <w:tcPr>
            <w:tcW w:w="3969" w:type="dxa"/>
            <w:gridSpan w:val="7"/>
            <w:vAlign w:val="center"/>
          </w:tcPr>
          <w:p>
            <w:pPr>
              <w:spacing w:line="480" w:lineRule="auto"/>
              <w:rPr>
                <w:rFonts w:ascii="仿宋" w:hAnsi="仿宋" w:eastAsia="仿宋"/>
                <w:szCs w:val="21"/>
              </w:rPr>
            </w:pPr>
            <w:r>
              <w:rPr>
                <w:rFonts w:ascii="仿宋" w:hAnsi="仿宋" w:eastAsia="仿宋"/>
                <w:szCs w:val="21"/>
              </w:rPr>
              <w:t>目标1：认真做好第四次全国经济普查工作；</w:t>
            </w:r>
          </w:p>
          <w:p>
            <w:pPr>
              <w:spacing w:line="480" w:lineRule="auto"/>
              <w:rPr>
                <w:rFonts w:ascii="仿宋" w:hAnsi="仿宋" w:eastAsia="仿宋"/>
                <w:szCs w:val="21"/>
              </w:rPr>
            </w:pPr>
            <w:r>
              <w:rPr>
                <w:rFonts w:ascii="仿宋" w:hAnsi="仿宋" w:eastAsia="仿宋"/>
                <w:szCs w:val="21"/>
              </w:rPr>
              <w:t>目标2</w:t>
            </w:r>
            <w:r>
              <w:rPr>
                <w:rFonts w:hint="eastAsia" w:ascii="仿宋" w:hAnsi="仿宋" w:eastAsia="仿宋"/>
                <w:szCs w:val="21"/>
              </w:rPr>
              <w:t>：</w:t>
            </w:r>
            <w:r>
              <w:rPr>
                <w:rFonts w:ascii="仿宋" w:hAnsi="仿宋" w:eastAsia="仿宋"/>
                <w:szCs w:val="21"/>
              </w:rPr>
              <w:t>认真做好</w:t>
            </w:r>
            <w:r>
              <w:rPr>
                <w:rFonts w:hint="eastAsia" w:ascii="仿宋" w:hAnsi="仿宋" w:eastAsia="仿宋"/>
                <w:szCs w:val="21"/>
              </w:rPr>
              <w:t>第七次全国人口普查</w:t>
            </w:r>
            <w:r>
              <w:rPr>
                <w:rFonts w:ascii="仿宋" w:hAnsi="仿宋" w:eastAsia="仿宋"/>
                <w:szCs w:val="21"/>
              </w:rPr>
              <w:t>工作</w:t>
            </w:r>
            <w:r>
              <w:rPr>
                <w:rFonts w:hint="eastAsia" w:ascii="仿宋" w:hAnsi="仿宋" w:eastAsia="仿宋"/>
                <w:szCs w:val="21"/>
              </w:rPr>
              <w:t>；</w:t>
            </w:r>
          </w:p>
          <w:p>
            <w:pPr>
              <w:spacing w:line="480" w:lineRule="auto"/>
              <w:rPr>
                <w:rFonts w:ascii="仿宋" w:hAnsi="仿宋" w:eastAsia="仿宋"/>
                <w:szCs w:val="21"/>
              </w:rPr>
            </w:pPr>
            <w:r>
              <w:rPr>
                <w:rFonts w:ascii="仿宋" w:hAnsi="仿宋" w:eastAsia="仿宋"/>
                <w:szCs w:val="21"/>
              </w:rPr>
              <w:t>目标3：认真做好全国1%人口抽样调查工作；</w:t>
            </w:r>
          </w:p>
          <w:p>
            <w:pPr>
              <w:spacing w:line="480" w:lineRule="auto"/>
              <w:rPr>
                <w:rFonts w:ascii="仿宋" w:hAnsi="仿宋" w:eastAsia="仿宋"/>
                <w:szCs w:val="21"/>
              </w:rPr>
            </w:pPr>
            <w:r>
              <w:rPr>
                <w:rFonts w:ascii="仿宋" w:hAnsi="仿宋" w:eastAsia="仿宋"/>
                <w:szCs w:val="21"/>
              </w:rPr>
              <w:t>目标4：搞好居民收入支出调查工作，为制定民生政策、转移支付、帮扶、领导制定决策提供依据；</w:t>
            </w:r>
          </w:p>
          <w:p>
            <w:pPr>
              <w:spacing w:line="480" w:lineRule="auto"/>
              <w:rPr>
                <w:rFonts w:ascii="仿宋" w:hAnsi="仿宋" w:eastAsia="仿宋"/>
                <w:szCs w:val="21"/>
              </w:rPr>
            </w:pPr>
            <w:r>
              <w:rPr>
                <w:rFonts w:ascii="仿宋" w:hAnsi="仿宋" w:eastAsia="仿宋"/>
                <w:szCs w:val="21"/>
              </w:rPr>
              <w:t>目标5：推动区域改革，做好市级下</w:t>
            </w:r>
            <w:r>
              <w:rPr>
                <w:rFonts w:hint="eastAsia" w:ascii="仿宋" w:hAnsi="仿宋" w:eastAsia="仿宋"/>
                <w:szCs w:val="21"/>
              </w:rPr>
              <w:t>达</w:t>
            </w:r>
            <w:r>
              <w:rPr>
                <w:rFonts w:ascii="仿宋" w:hAnsi="仿宋" w:eastAsia="仿宋"/>
                <w:szCs w:val="21"/>
              </w:rPr>
              <w:t>的统计任务；</w:t>
            </w:r>
          </w:p>
          <w:p>
            <w:pPr>
              <w:spacing w:line="480" w:lineRule="auto"/>
              <w:rPr>
                <w:rFonts w:ascii="仿宋" w:hAnsi="仿宋" w:eastAsia="仿宋"/>
                <w:szCs w:val="21"/>
              </w:rPr>
            </w:pPr>
            <w:r>
              <w:rPr>
                <w:rFonts w:ascii="仿宋" w:hAnsi="仿宋" w:eastAsia="仿宋"/>
                <w:szCs w:val="21"/>
              </w:rPr>
              <w:t>目标6：做好小康监测调查、物价指数调查等其他调查工作，为政府决策提供依据;</w:t>
            </w:r>
          </w:p>
          <w:p>
            <w:pPr>
              <w:spacing w:line="480" w:lineRule="auto"/>
              <w:rPr>
                <w:rFonts w:ascii="仿宋" w:hAnsi="仿宋" w:eastAsia="仿宋"/>
                <w:sz w:val="24"/>
              </w:rPr>
            </w:pPr>
            <w:r>
              <w:rPr>
                <w:rFonts w:ascii="仿宋" w:hAnsi="仿宋" w:eastAsia="仿宋"/>
                <w:szCs w:val="21"/>
              </w:rPr>
              <w:t>目标7：加强乡街和部门的统计基层基础工作</w:t>
            </w:r>
          </w:p>
        </w:tc>
        <w:tc>
          <w:tcPr>
            <w:tcW w:w="4668"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 w:hAnsi="仿宋" w:eastAsia="仿宋"/>
                <w:sz w:val="24"/>
              </w:rPr>
              <w:t>已按国家、省、市</w:t>
            </w:r>
            <w:r>
              <w:rPr>
                <w:rFonts w:hint="eastAsia" w:ascii="仿宋" w:hAnsi="仿宋" w:eastAsia="仿宋"/>
                <w:sz w:val="24"/>
              </w:rPr>
              <w:t>、区</w:t>
            </w:r>
            <w:r>
              <w:rPr>
                <w:rFonts w:ascii="仿宋" w:hAnsi="仿宋" w:eastAsia="仿宋"/>
                <w:sz w:val="24"/>
              </w:rPr>
              <w:t>各级要求完成所有调查项目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25"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3082"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84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25" w:type="dxa"/>
            <w:vMerge w:val="continue"/>
            <w:vAlign w:val="center"/>
          </w:tcPr>
          <w:p>
            <w:pPr>
              <w:spacing w:line="320" w:lineRule="exact"/>
              <w:rPr>
                <w:rFonts w:ascii="仿宋_GB2312" w:hAnsi="仿宋_GB2312" w:eastAsia="仿宋_GB2312" w:cs="仿宋_GB2312"/>
                <w:sz w:val="24"/>
              </w:rPr>
            </w:pPr>
          </w:p>
        </w:tc>
        <w:tc>
          <w:tcPr>
            <w:tcW w:w="1665"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spacing w:before="100" w:beforeAutospacing="1" w:after="100" w:afterAutospacing="1" w:line="320" w:lineRule="exact"/>
              <w:textAlignment w:val="center"/>
              <w:rPr>
                <w:rFonts w:ascii="仿宋_GB2312" w:hAnsi="仿宋_GB2312" w:eastAsia="仿宋_GB2312" w:cs="仿宋_GB2312"/>
                <w:color w:val="000000"/>
                <w:sz w:val="24"/>
              </w:rPr>
            </w:pPr>
            <w:r>
              <w:rPr>
                <w:rFonts w:hint="eastAsia" w:ascii="仿宋" w:hAnsi="仿宋" w:eastAsia="仿宋"/>
                <w:color w:val="000000"/>
                <w:sz w:val="24"/>
              </w:rPr>
              <w:t>1、编印主要统计产品8项</w:t>
            </w:r>
          </w:p>
        </w:tc>
        <w:tc>
          <w:tcPr>
            <w:tcW w:w="2846" w:type="dxa"/>
            <w:gridSpan w:val="6"/>
            <w:vAlign w:val="center"/>
          </w:tcPr>
          <w:p>
            <w:pPr>
              <w:spacing w:before="100" w:beforeAutospacing="1" w:after="100" w:afterAutospacing="1" w:line="320" w:lineRule="exact"/>
              <w:jc w:val="center"/>
              <w:textAlignment w:val="center"/>
              <w:rPr>
                <w:rFonts w:ascii="仿宋_GB2312" w:hAnsi="仿宋_GB2312" w:eastAsia="仿宋_GB2312" w:cs="仿宋_GB2312"/>
                <w:b/>
                <w:color w:val="000000"/>
                <w:sz w:val="24"/>
              </w:rPr>
            </w:pPr>
            <w:r>
              <w:rPr>
                <w:rFonts w:hint="eastAsia" w:ascii="仿宋" w:hAnsi="仿宋" w:eastAsia="仿宋"/>
                <w:b/>
                <w:bCs/>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25" w:type="dxa"/>
            <w:vMerge w:val="continue"/>
            <w:vAlign w:val="center"/>
          </w:tcPr>
          <w:p>
            <w:pPr>
              <w:spacing w:line="320" w:lineRule="exact"/>
              <w:rPr>
                <w:rFonts w:ascii="仿宋_GB2312" w:hAnsi="仿宋_GB2312" w:eastAsia="仿宋_GB2312" w:cs="仿宋_GB2312"/>
                <w:sz w:val="24"/>
              </w:rPr>
            </w:pPr>
          </w:p>
        </w:tc>
        <w:tc>
          <w:tcPr>
            <w:tcW w:w="1665"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spacing w:before="100" w:beforeAutospacing="1" w:after="100" w:afterAutospacing="1" w:line="320" w:lineRule="exact"/>
              <w:textAlignment w:val="center"/>
              <w:rPr>
                <w:rFonts w:ascii="仿宋_GB2312" w:hAnsi="仿宋_GB2312" w:eastAsia="仿宋_GB2312" w:cs="仿宋_GB2312"/>
                <w:color w:val="000000"/>
                <w:sz w:val="24"/>
              </w:rPr>
            </w:pPr>
            <w:r>
              <w:rPr>
                <w:rFonts w:hint="eastAsia" w:ascii="仿宋" w:hAnsi="仿宋" w:eastAsia="仿宋"/>
                <w:color w:val="000000"/>
                <w:sz w:val="24"/>
              </w:rPr>
              <w:t>2、撰写统计分析报告10篇</w:t>
            </w:r>
          </w:p>
        </w:tc>
        <w:tc>
          <w:tcPr>
            <w:tcW w:w="2846" w:type="dxa"/>
            <w:gridSpan w:val="6"/>
            <w:vAlign w:val="center"/>
          </w:tcPr>
          <w:p>
            <w:pPr>
              <w:spacing w:before="100" w:beforeAutospacing="1" w:after="100" w:afterAutospacing="1" w:line="320" w:lineRule="exact"/>
              <w:jc w:val="center"/>
              <w:textAlignment w:val="center"/>
              <w:rPr>
                <w:rFonts w:ascii="仿宋_GB2312" w:hAnsi="仿宋_GB2312" w:eastAsia="仿宋_GB2312" w:cs="仿宋_GB2312"/>
                <w:b/>
                <w:color w:val="000000"/>
                <w:sz w:val="24"/>
              </w:rPr>
            </w:pPr>
            <w:r>
              <w:rPr>
                <w:rFonts w:hint="eastAsia" w:ascii="仿宋" w:hAnsi="仿宋" w:eastAsia="仿宋"/>
                <w:b/>
                <w:bCs/>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25" w:type="dxa"/>
            <w:vMerge w:val="continue"/>
            <w:vAlign w:val="center"/>
          </w:tcPr>
          <w:p>
            <w:pPr>
              <w:spacing w:line="320" w:lineRule="exact"/>
              <w:rPr>
                <w:rFonts w:ascii="仿宋_GB2312" w:hAnsi="仿宋_GB2312" w:eastAsia="仿宋_GB2312" w:cs="仿宋_GB2312"/>
                <w:sz w:val="24"/>
              </w:rPr>
            </w:pPr>
          </w:p>
        </w:tc>
        <w:tc>
          <w:tcPr>
            <w:tcW w:w="1665"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spacing w:before="100" w:beforeAutospacing="1" w:after="100" w:afterAutospacing="1" w:line="320" w:lineRule="exact"/>
              <w:textAlignment w:val="center"/>
              <w:rPr>
                <w:rFonts w:ascii="仿宋" w:hAnsi="仿宋" w:eastAsia="仿宋"/>
                <w:color w:val="000000"/>
                <w:sz w:val="24"/>
              </w:rPr>
            </w:pPr>
            <w:r>
              <w:rPr>
                <w:rFonts w:hint="eastAsia" w:ascii="仿宋" w:hAnsi="仿宋" w:eastAsia="仿宋"/>
                <w:color w:val="000000"/>
                <w:sz w:val="24"/>
              </w:rPr>
              <w:t>3、完成《统计年鉴》和《统计公报》及宣传资料等印刷7次；</w:t>
            </w:r>
          </w:p>
        </w:tc>
        <w:tc>
          <w:tcPr>
            <w:tcW w:w="2846" w:type="dxa"/>
            <w:gridSpan w:val="6"/>
            <w:vAlign w:val="center"/>
          </w:tcPr>
          <w:p>
            <w:pPr>
              <w:spacing w:before="100" w:beforeAutospacing="1" w:after="100" w:afterAutospacing="1" w:line="320" w:lineRule="exact"/>
              <w:jc w:val="center"/>
              <w:textAlignment w:val="center"/>
              <w:rPr>
                <w:rFonts w:ascii="仿宋_GB2312" w:hAnsi="仿宋_GB2312" w:eastAsia="仿宋_GB2312" w:cs="仿宋_GB2312"/>
                <w:b/>
                <w:color w:val="000000"/>
                <w:sz w:val="24"/>
              </w:rPr>
            </w:pPr>
            <w:r>
              <w:rPr>
                <w:rFonts w:hint="eastAsia" w:ascii="仿宋" w:hAnsi="仿宋" w:eastAsia="仿宋"/>
                <w:b/>
                <w:bCs/>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25" w:type="dxa"/>
            <w:vMerge w:val="continue"/>
            <w:vAlign w:val="center"/>
          </w:tcPr>
          <w:p>
            <w:pPr>
              <w:spacing w:line="320" w:lineRule="exact"/>
              <w:rPr>
                <w:rFonts w:ascii="仿宋_GB2312" w:hAnsi="仿宋_GB2312" w:eastAsia="仿宋_GB2312" w:cs="仿宋_GB2312"/>
                <w:sz w:val="24"/>
              </w:rPr>
            </w:pPr>
          </w:p>
        </w:tc>
        <w:tc>
          <w:tcPr>
            <w:tcW w:w="1665"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spacing w:before="100" w:beforeAutospacing="1" w:after="100" w:afterAutospacing="1" w:line="320" w:lineRule="exact"/>
              <w:textAlignment w:val="center"/>
              <w:rPr>
                <w:rFonts w:ascii="仿宋_GB2312" w:hAnsi="仿宋_GB2312" w:eastAsia="仿宋_GB2312" w:cs="仿宋_GB2312"/>
                <w:color w:val="000000"/>
                <w:sz w:val="24"/>
              </w:rPr>
            </w:pPr>
            <w:r>
              <w:rPr>
                <w:rFonts w:hint="eastAsia" w:ascii="仿宋" w:hAnsi="仿宋" w:eastAsia="仿宋"/>
                <w:color w:val="000000"/>
                <w:sz w:val="24"/>
              </w:rPr>
              <w:t>4、开展统计普法及人口普查等宣传5次。</w:t>
            </w:r>
          </w:p>
        </w:tc>
        <w:tc>
          <w:tcPr>
            <w:tcW w:w="2846" w:type="dxa"/>
            <w:gridSpan w:val="6"/>
            <w:vAlign w:val="center"/>
          </w:tcPr>
          <w:p>
            <w:pPr>
              <w:spacing w:before="100" w:beforeAutospacing="1" w:after="100" w:afterAutospacing="1" w:line="320" w:lineRule="exact"/>
              <w:jc w:val="center"/>
              <w:textAlignment w:val="center"/>
              <w:rPr>
                <w:rFonts w:ascii="仿宋_GB2312" w:hAnsi="仿宋_GB2312" w:eastAsia="仿宋_GB2312" w:cs="仿宋_GB2312"/>
                <w:b/>
                <w:color w:val="000000"/>
                <w:sz w:val="24"/>
              </w:rPr>
            </w:pPr>
            <w:r>
              <w:rPr>
                <w:rFonts w:hint="eastAsia" w:ascii="仿宋" w:hAnsi="仿宋" w:eastAsia="仿宋"/>
                <w:b/>
                <w:bCs/>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25" w:type="dxa"/>
            <w:vMerge w:val="continue"/>
            <w:vAlign w:val="center"/>
          </w:tcPr>
          <w:p>
            <w:pPr>
              <w:spacing w:line="320" w:lineRule="exact"/>
              <w:rPr>
                <w:rFonts w:ascii="仿宋_GB2312" w:hAnsi="仿宋_GB2312" w:eastAsia="仿宋_GB2312" w:cs="仿宋_GB2312"/>
                <w:sz w:val="24"/>
              </w:rPr>
            </w:pPr>
          </w:p>
        </w:tc>
        <w:tc>
          <w:tcPr>
            <w:tcW w:w="1665"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 w:hAnsi="仿宋" w:eastAsia="仿宋" w:cs="仿宋_GB2312"/>
                <w:color w:val="000000"/>
                <w:sz w:val="24"/>
              </w:rPr>
              <w:t>数量指标</w:t>
            </w:r>
          </w:p>
        </w:tc>
        <w:tc>
          <w:tcPr>
            <w:tcW w:w="2709" w:type="dxa"/>
            <w:gridSpan w:val="4"/>
            <w:vAlign w:val="center"/>
          </w:tcPr>
          <w:p>
            <w:pPr>
              <w:spacing w:before="100" w:beforeAutospacing="1" w:after="100" w:afterAutospacing="1" w:line="320" w:lineRule="exact"/>
              <w:textAlignment w:val="center"/>
              <w:rPr>
                <w:rFonts w:ascii="仿宋_GB2312" w:hAnsi="仿宋_GB2312" w:eastAsia="仿宋_GB2312" w:cs="仿宋_GB2312"/>
                <w:color w:val="000000"/>
                <w:sz w:val="24"/>
              </w:rPr>
            </w:pPr>
            <w:r>
              <w:rPr>
                <w:rFonts w:hint="eastAsia" w:ascii="仿宋" w:hAnsi="仿宋" w:eastAsia="仿宋"/>
                <w:color w:val="000000"/>
                <w:sz w:val="24"/>
              </w:rPr>
              <w:t>1、联网直报顺畅率100%</w:t>
            </w:r>
          </w:p>
        </w:tc>
        <w:tc>
          <w:tcPr>
            <w:tcW w:w="2846" w:type="dxa"/>
            <w:gridSpan w:val="6"/>
            <w:vAlign w:val="center"/>
          </w:tcPr>
          <w:p>
            <w:pPr>
              <w:spacing w:before="100" w:beforeAutospacing="1" w:after="100" w:afterAutospacing="1" w:line="320" w:lineRule="exact"/>
              <w:jc w:val="center"/>
              <w:textAlignment w:val="center"/>
              <w:rPr>
                <w:rFonts w:ascii="仿宋_GB2312" w:hAnsi="仿宋_GB2312" w:eastAsia="仿宋_GB2312" w:cs="仿宋_GB2312"/>
                <w:b/>
                <w:color w:val="000000"/>
                <w:sz w:val="24"/>
              </w:rPr>
            </w:pPr>
            <w:r>
              <w:rPr>
                <w:rFonts w:hint="eastAsia" w:ascii="仿宋" w:hAnsi="仿宋" w:eastAsia="仿宋"/>
                <w:b/>
                <w:bCs/>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325" w:type="dxa"/>
            <w:vMerge w:val="continue"/>
            <w:vAlign w:val="center"/>
          </w:tcPr>
          <w:p>
            <w:pPr>
              <w:spacing w:line="320" w:lineRule="exact"/>
              <w:rPr>
                <w:rFonts w:ascii="仿宋_GB2312" w:hAnsi="仿宋_GB2312" w:eastAsia="仿宋_GB2312" w:cs="仿宋_GB2312"/>
                <w:sz w:val="24"/>
              </w:rPr>
            </w:pPr>
          </w:p>
        </w:tc>
        <w:tc>
          <w:tcPr>
            <w:tcW w:w="1665"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spacing w:before="100" w:beforeAutospacing="1" w:after="100" w:afterAutospacing="1" w:line="320" w:lineRule="exact"/>
              <w:textAlignment w:val="center"/>
              <w:rPr>
                <w:rFonts w:ascii="仿宋_GB2312" w:hAnsi="仿宋_GB2312" w:eastAsia="仿宋_GB2312" w:cs="仿宋_GB2312"/>
                <w:color w:val="000000"/>
                <w:sz w:val="24"/>
              </w:rPr>
            </w:pPr>
            <w:r>
              <w:rPr>
                <w:rFonts w:hint="eastAsia" w:ascii="仿宋" w:hAnsi="仿宋" w:eastAsia="仿宋"/>
                <w:color w:val="000000"/>
                <w:sz w:val="24"/>
              </w:rPr>
              <w:t>2、符合要求的企业是否进入联网直报系统；</w:t>
            </w:r>
          </w:p>
        </w:tc>
        <w:tc>
          <w:tcPr>
            <w:tcW w:w="2846" w:type="dxa"/>
            <w:gridSpan w:val="6"/>
            <w:vAlign w:val="center"/>
          </w:tcPr>
          <w:p>
            <w:pPr>
              <w:spacing w:before="100" w:beforeAutospacing="1" w:after="100" w:afterAutospacing="1" w:line="320" w:lineRule="exact"/>
              <w:jc w:val="center"/>
              <w:textAlignment w:val="center"/>
              <w:rPr>
                <w:rFonts w:ascii="仿宋_GB2312" w:hAnsi="仿宋_GB2312" w:eastAsia="仿宋_GB2312" w:cs="仿宋_GB2312"/>
                <w:b/>
                <w:color w:val="000000"/>
                <w:sz w:val="24"/>
              </w:rPr>
            </w:pPr>
            <w:r>
              <w:rPr>
                <w:rFonts w:hint="eastAsia" w:ascii="仿宋" w:hAnsi="仿宋" w:eastAsia="仿宋"/>
                <w:b/>
                <w:bCs/>
                <w:color w:val="000000"/>
                <w:sz w:val="24"/>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325" w:type="dxa"/>
            <w:vMerge w:val="continue"/>
            <w:vAlign w:val="center"/>
          </w:tcPr>
          <w:p>
            <w:pPr>
              <w:spacing w:line="320" w:lineRule="exact"/>
              <w:rPr>
                <w:rFonts w:ascii="仿宋_GB2312" w:hAnsi="仿宋_GB2312" w:eastAsia="仿宋_GB2312" w:cs="仿宋_GB2312"/>
                <w:sz w:val="24"/>
              </w:rPr>
            </w:pPr>
          </w:p>
        </w:tc>
        <w:tc>
          <w:tcPr>
            <w:tcW w:w="1665"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spacing w:before="100" w:beforeAutospacing="1" w:after="100" w:afterAutospacing="1" w:line="320" w:lineRule="exact"/>
              <w:textAlignment w:val="center"/>
              <w:rPr>
                <w:rFonts w:ascii="仿宋_GB2312" w:hAnsi="仿宋_GB2312" w:eastAsia="仿宋_GB2312" w:cs="仿宋_GB2312"/>
                <w:color w:val="000000"/>
                <w:sz w:val="24"/>
              </w:rPr>
            </w:pPr>
            <w:r>
              <w:rPr>
                <w:rFonts w:hint="eastAsia" w:ascii="仿宋" w:hAnsi="仿宋" w:eastAsia="仿宋"/>
                <w:color w:val="000000"/>
                <w:sz w:val="24"/>
              </w:rPr>
              <w:t>3、对申报上的企业是否实地调研。</w:t>
            </w:r>
          </w:p>
        </w:tc>
        <w:tc>
          <w:tcPr>
            <w:tcW w:w="2846" w:type="dxa"/>
            <w:gridSpan w:val="6"/>
            <w:vAlign w:val="center"/>
          </w:tcPr>
          <w:p>
            <w:pPr>
              <w:spacing w:before="100" w:beforeAutospacing="1" w:after="100" w:afterAutospacing="1" w:line="320" w:lineRule="exact"/>
              <w:jc w:val="center"/>
              <w:textAlignment w:val="center"/>
              <w:rPr>
                <w:rFonts w:ascii="仿宋_GB2312" w:hAnsi="仿宋_GB2312" w:eastAsia="仿宋_GB2312" w:cs="仿宋_GB2312"/>
                <w:b/>
                <w:color w:val="000000"/>
                <w:sz w:val="24"/>
              </w:rPr>
            </w:pPr>
            <w:r>
              <w:rPr>
                <w:rFonts w:hint="eastAsia" w:ascii="仿宋" w:hAnsi="仿宋" w:eastAsia="仿宋"/>
                <w:b/>
                <w:bCs/>
                <w:color w:val="000000"/>
                <w:sz w:val="24"/>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25" w:type="dxa"/>
            <w:vMerge w:val="continue"/>
            <w:vAlign w:val="center"/>
          </w:tcPr>
          <w:p>
            <w:pPr>
              <w:spacing w:line="320" w:lineRule="exact"/>
              <w:rPr>
                <w:rFonts w:ascii="仿宋_GB2312" w:hAnsi="仿宋_GB2312" w:eastAsia="仿宋_GB2312" w:cs="仿宋_GB2312"/>
                <w:sz w:val="24"/>
              </w:rPr>
            </w:pPr>
          </w:p>
        </w:tc>
        <w:tc>
          <w:tcPr>
            <w:tcW w:w="1665"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 w:hAnsi="仿宋" w:eastAsia="仿宋" w:cs="仿宋_GB2312"/>
                <w:color w:val="000000"/>
                <w:sz w:val="24"/>
              </w:rPr>
              <w:t>时效指标</w:t>
            </w:r>
          </w:p>
        </w:tc>
        <w:tc>
          <w:tcPr>
            <w:tcW w:w="2709" w:type="dxa"/>
            <w:gridSpan w:val="4"/>
            <w:vAlign w:val="center"/>
          </w:tcPr>
          <w:p>
            <w:pPr>
              <w:spacing w:before="100" w:beforeAutospacing="1" w:after="100" w:afterAutospacing="1" w:line="320" w:lineRule="exact"/>
              <w:textAlignment w:val="center"/>
              <w:rPr>
                <w:rFonts w:ascii="仿宋_GB2312" w:hAnsi="仿宋_GB2312" w:eastAsia="仿宋_GB2312" w:cs="仿宋_GB2312"/>
                <w:color w:val="000000"/>
                <w:sz w:val="24"/>
              </w:rPr>
            </w:pPr>
            <w:r>
              <w:rPr>
                <w:rFonts w:hint="eastAsia" w:ascii="仿宋" w:hAnsi="仿宋" w:eastAsia="仿宋"/>
                <w:color w:val="000000"/>
                <w:sz w:val="24"/>
              </w:rPr>
              <w:t>1、及时提供各项全区经济指标</w:t>
            </w:r>
          </w:p>
        </w:tc>
        <w:tc>
          <w:tcPr>
            <w:tcW w:w="2846" w:type="dxa"/>
            <w:gridSpan w:val="6"/>
            <w:vAlign w:val="center"/>
          </w:tcPr>
          <w:p>
            <w:pPr>
              <w:spacing w:before="100" w:beforeAutospacing="1" w:after="100" w:afterAutospacing="1" w:line="320" w:lineRule="exact"/>
              <w:jc w:val="center"/>
              <w:textAlignment w:val="center"/>
              <w:rPr>
                <w:rFonts w:ascii="仿宋_GB2312" w:hAnsi="仿宋_GB2312" w:eastAsia="仿宋_GB2312" w:cs="仿宋_GB2312"/>
                <w:b/>
                <w:color w:val="000000"/>
                <w:sz w:val="24"/>
              </w:rPr>
            </w:pPr>
            <w:r>
              <w:rPr>
                <w:rFonts w:hint="eastAsia" w:ascii="仿宋" w:hAnsi="仿宋" w:eastAsia="仿宋"/>
                <w:b/>
                <w:bCs/>
                <w:color w:val="000000"/>
                <w:sz w:val="24"/>
              </w:rPr>
              <w:t>及时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25" w:type="dxa"/>
            <w:vMerge w:val="continue"/>
            <w:vAlign w:val="center"/>
          </w:tcPr>
          <w:p>
            <w:pPr>
              <w:spacing w:line="320" w:lineRule="exact"/>
              <w:rPr>
                <w:rFonts w:ascii="仿宋_GB2312" w:hAnsi="仿宋_GB2312" w:eastAsia="仿宋_GB2312" w:cs="仿宋_GB2312"/>
                <w:sz w:val="24"/>
              </w:rPr>
            </w:pPr>
          </w:p>
        </w:tc>
        <w:tc>
          <w:tcPr>
            <w:tcW w:w="1665"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spacing w:before="100" w:beforeAutospacing="1" w:after="100" w:afterAutospacing="1" w:line="320" w:lineRule="exact"/>
              <w:textAlignment w:val="center"/>
              <w:rPr>
                <w:rFonts w:ascii="仿宋_GB2312" w:hAnsi="仿宋_GB2312" w:eastAsia="仿宋_GB2312" w:cs="仿宋_GB2312"/>
                <w:color w:val="000000"/>
                <w:sz w:val="24"/>
              </w:rPr>
            </w:pPr>
            <w:r>
              <w:rPr>
                <w:rFonts w:hint="eastAsia" w:ascii="仿宋" w:hAnsi="仿宋" w:eastAsia="仿宋"/>
                <w:color w:val="000000"/>
                <w:sz w:val="24"/>
              </w:rPr>
              <w:t>2、及时提供小康指标，绩效考核统计指标，为民办实事进度数据，新型工业化主要指标</w:t>
            </w:r>
          </w:p>
        </w:tc>
        <w:tc>
          <w:tcPr>
            <w:tcW w:w="2846" w:type="dxa"/>
            <w:gridSpan w:val="6"/>
            <w:vAlign w:val="center"/>
          </w:tcPr>
          <w:p>
            <w:pPr>
              <w:spacing w:before="100" w:beforeAutospacing="1" w:after="100" w:afterAutospacing="1" w:line="320" w:lineRule="exact"/>
              <w:jc w:val="center"/>
              <w:textAlignment w:val="center"/>
              <w:rPr>
                <w:rFonts w:ascii="仿宋_GB2312" w:hAnsi="仿宋_GB2312" w:eastAsia="仿宋_GB2312" w:cs="仿宋_GB2312"/>
                <w:b/>
                <w:color w:val="000000"/>
                <w:sz w:val="24"/>
              </w:rPr>
            </w:pPr>
            <w:r>
              <w:rPr>
                <w:rFonts w:hint="eastAsia" w:ascii="仿宋" w:hAnsi="仿宋" w:eastAsia="仿宋"/>
                <w:b/>
                <w:bCs/>
                <w:color w:val="000000"/>
                <w:sz w:val="24"/>
              </w:rPr>
              <w:t>及时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25" w:type="dxa"/>
            <w:vMerge w:val="continue"/>
            <w:vAlign w:val="center"/>
          </w:tcPr>
          <w:p>
            <w:pPr>
              <w:spacing w:line="320" w:lineRule="exact"/>
              <w:rPr>
                <w:rFonts w:ascii="仿宋_GB2312" w:hAnsi="仿宋_GB2312" w:eastAsia="仿宋_GB2312" w:cs="仿宋_GB2312"/>
                <w:sz w:val="24"/>
              </w:rPr>
            </w:pPr>
          </w:p>
        </w:tc>
        <w:tc>
          <w:tcPr>
            <w:tcW w:w="1665"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spacing w:before="100" w:beforeAutospacing="1" w:after="100" w:afterAutospacing="1" w:line="320" w:lineRule="exact"/>
              <w:textAlignment w:val="center"/>
              <w:rPr>
                <w:rFonts w:ascii="仿宋_GB2312" w:hAnsi="仿宋_GB2312" w:eastAsia="仿宋_GB2312" w:cs="仿宋_GB2312"/>
                <w:color w:val="000000"/>
                <w:sz w:val="24"/>
              </w:rPr>
            </w:pPr>
            <w:r>
              <w:rPr>
                <w:rFonts w:hint="eastAsia" w:ascii="仿宋" w:hAnsi="仿宋" w:eastAsia="仿宋"/>
                <w:color w:val="000000"/>
                <w:sz w:val="24"/>
              </w:rPr>
              <w:t>3、统计数据及时公开</w:t>
            </w:r>
          </w:p>
        </w:tc>
        <w:tc>
          <w:tcPr>
            <w:tcW w:w="2846" w:type="dxa"/>
            <w:gridSpan w:val="6"/>
            <w:vAlign w:val="center"/>
          </w:tcPr>
          <w:p>
            <w:pPr>
              <w:spacing w:before="100" w:beforeAutospacing="1" w:after="100" w:afterAutospacing="1" w:line="320" w:lineRule="exact"/>
              <w:jc w:val="center"/>
              <w:textAlignment w:val="center"/>
              <w:rPr>
                <w:rFonts w:ascii="仿宋_GB2312" w:hAnsi="仿宋_GB2312" w:eastAsia="仿宋_GB2312" w:cs="仿宋_GB2312"/>
                <w:b/>
                <w:color w:val="000000"/>
                <w:sz w:val="24"/>
              </w:rPr>
            </w:pPr>
            <w:r>
              <w:rPr>
                <w:rFonts w:hint="eastAsia" w:ascii="仿宋" w:hAnsi="仿宋" w:eastAsia="仿宋"/>
                <w:b/>
                <w:bCs/>
                <w:color w:val="000000"/>
                <w:sz w:val="24"/>
              </w:rPr>
              <w:t>及时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25" w:type="dxa"/>
            <w:vMerge w:val="continue"/>
            <w:vAlign w:val="center"/>
          </w:tcPr>
          <w:p>
            <w:pPr>
              <w:spacing w:line="320" w:lineRule="exact"/>
              <w:rPr>
                <w:rFonts w:ascii="仿宋_GB2312" w:hAnsi="仿宋_GB2312" w:eastAsia="仿宋_GB2312" w:cs="仿宋_GB2312"/>
                <w:sz w:val="24"/>
              </w:rPr>
            </w:pPr>
          </w:p>
        </w:tc>
        <w:tc>
          <w:tcPr>
            <w:tcW w:w="1665"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spacing w:before="100" w:beforeAutospacing="1" w:after="100" w:afterAutospacing="1" w:line="320" w:lineRule="exact"/>
              <w:textAlignment w:val="center"/>
              <w:rPr>
                <w:rFonts w:ascii="仿宋_GB2312" w:hAnsi="仿宋_GB2312" w:eastAsia="仿宋_GB2312" w:cs="仿宋_GB2312"/>
                <w:color w:val="000000"/>
                <w:sz w:val="24"/>
              </w:rPr>
            </w:pPr>
            <w:r>
              <w:rPr>
                <w:rFonts w:hint="eastAsia" w:ascii="仿宋" w:hAnsi="仿宋" w:eastAsia="仿宋"/>
                <w:color w:val="000000"/>
                <w:sz w:val="24"/>
              </w:rPr>
              <w:t>4、年底前完成其他各项工作</w:t>
            </w:r>
          </w:p>
        </w:tc>
        <w:tc>
          <w:tcPr>
            <w:tcW w:w="2846" w:type="dxa"/>
            <w:gridSpan w:val="6"/>
            <w:vAlign w:val="center"/>
          </w:tcPr>
          <w:p>
            <w:pPr>
              <w:spacing w:before="100" w:beforeAutospacing="1" w:after="100" w:afterAutospacing="1" w:line="320" w:lineRule="exact"/>
              <w:jc w:val="center"/>
              <w:textAlignment w:val="center"/>
              <w:rPr>
                <w:rFonts w:ascii="仿宋_GB2312" w:hAnsi="仿宋_GB2312" w:eastAsia="仿宋_GB2312" w:cs="仿宋_GB2312"/>
                <w:b/>
                <w:color w:val="000000"/>
                <w:sz w:val="24"/>
              </w:rPr>
            </w:pPr>
            <w:r>
              <w:rPr>
                <w:rFonts w:hint="eastAsia" w:ascii="仿宋" w:hAnsi="仿宋" w:eastAsia="仿宋"/>
                <w:b/>
                <w:bCs/>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25" w:type="dxa"/>
            <w:vMerge w:val="continue"/>
            <w:vAlign w:val="center"/>
          </w:tcPr>
          <w:p>
            <w:pPr>
              <w:spacing w:line="320" w:lineRule="exact"/>
              <w:rPr>
                <w:rFonts w:ascii="仿宋_GB2312" w:hAnsi="仿宋_GB2312" w:eastAsia="仿宋_GB2312" w:cs="仿宋_GB2312"/>
                <w:sz w:val="24"/>
              </w:rPr>
            </w:pPr>
          </w:p>
        </w:tc>
        <w:tc>
          <w:tcPr>
            <w:tcW w:w="1665"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 w:hAnsi="仿宋" w:eastAsia="仿宋" w:cs="仿宋_GB2312"/>
                <w:color w:val="000000"/>
                <w:sz w:val="24"/>
              </w:rPr>
              <w:t>成本指标</w:t>
            </w:r>
          </w:p>
        </w:tc>
        <w:tc>
          <w:tcPr>
            <w:tcW w:w="2709" w:type="dxa"/>
            <w:gridSpan w:val="4"/>
            <w:vAlign w:val="center"/>
          </w:tcPr>
          <w:p>
            <w:pPr>
              <w:spacing w:before="100" w:beforeAutospacing="1" w:after="100" w:afterAutospacing="1" w:line="320" w:lineRule="exact"/>
              <w:textAlignment w:val="center"/>
              <w:rPr>
                <w:rFonts w:ascii="仿宋_GB2312" w:hAnsi="仿宋_GB2312" w:eastAsia="仿宋_GB2312" w:cs="仿宋_GB2312"/>
                <w:color w:val="000000"/>
                <w:sz w:val="24"/>
              </w:rPr>
            </w:pPr>
            <w:r>
              <w:rPr>
                <w:rFonts w:hint="eastAsia" w:ascii="仿宋" w:hAnsi="仿宋" w:eastAsia="仿宋"/>
                <w:color w:val="000000"/>
                <w:sz w:val="24"/>
              </w:rPr>
              <w:t>1、控制在预算内</w:t>
            </w:r>
          </w:p>
        </w:tc>
        <w:tc>
          <w:tcPr>
            <w:tcW w:w="2846" w:type="dxa"/>
            <w:gridSpan w:val="6"/>
            <w:vAlign w:val="center"/>
          </w:tcPr>
          <w:p>
            <w:pPr>
              <w:spacing w:before="100" w:beforeAutospacing="1" w:after="100" w:afterAutospacing="1" w:line="320" w:lineRule="exact"/>
              <w:jc w:val="center"/>
              <w:textAlignment w:val="center"/>
              <w:rPr>
                <w:rFonts w:ascii="仿宋_GB2312" w:hAnsi="仿宋_GB2312" w:eastAsia="仿宋_GB2312" w:cs="仿宋_GB2312"/>
                <w:b/>
                <w:color w:val="000000"/>
                <w:sz w:val="24"/>
              </w:rPr>
            </w:pPr>
            <w:r>
              <w:rPr>
                <w:rFonts w:hint="eastAsia" w:ascii="仿宋" w:hAnsi="仿宋" w:eastAsia="仿宋"/>
                <w:b/>
                <w:bCs/>
                <w:color w:val="000000"/>
                <w:sz w:val="24"/>
              </w:rPr>
              <w:t>未超预算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25" w:type="dxa"/>
            <w:vMerge w:val="continue"/>
            <w:vAlign w:val="center"/>
          </w:tcPr>
          <w:p>
            <w:pPr>
              <w:spacing w:line="320" w:lineRule="exact"/>
              <w:rPr>
                <w:rFonts w:ascii="仿宋_GB2312" w:hAnsi="仿宋_GB2312" w:eastAsia="仿宋_GB2312" w:cs="仿宋_GB2312"/>
                <w:sz w:val="24"/>
              </w:rPr>
            </w:pPr>
          </w:p>
        </w:tc>
        <w:tc>
          <w:tcPr>
            <w:tcW w:w="1665" w:type="dxa"/>
            <w:gridSpan w:val="4"/>
            <w:vMerge w:val="continue"/>
            <w:vAlign w:val="center"/>
          </w:tcPr>
          <w:p>
            <w:pPr>
              <w:autoSpaceDN w:val="0"/>
              <w:spacing w:line="320" w:lineRule="exact"/>
              <w:rPr>
                <w:rFonts w:ascii="仿宋_GB2312" w:hAnsi="仿宋_GB2312" w:eastAsia="仿宋_GB2312" w:cs="仿宋_GB2312"/>
                <w:sz w:val="24"/>
              </w:rPr>
            </w:pPr>
          </w:p>
        </w:tc>
        <w:tc>
          <w:tcPr>
            <w:tcW w:w="2304"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22" w:type="dxa"/>
            <w:gridSpan w:val="3"/>
            <w:vAlign w:val="center"/>
          </w:tcPr>
          <w:p>
            <w:pPr>
              <w:spacing w:before="100" w:beforeAutospacing="1" w:after="100" w:afterAutospacing="1" w:line="320" w:lineRule="exact"/>
              <w:textAlignment w:val="center"/>
              <w:rPr>
                <w:rFonts w:ascii="仿宋_GB2312" w:hAnsi="仿宋_GB2312" w:eastAsia="仿宋_GB2312" w:cs="仿宋_GB2312"/>
                <w:color w:val="000000"/>
                <w:sz w:val="24"/>
              </w:rPr>
            </w:pPr>
            <w:r>
              <w:rPr>
                <w:rFonts w:hint="eastAsia" w:ascii="仿宋" w:hAnsi="仿宋" w:eastAsia="仿宋"/>
                <w:color w:val="000000"/>
                <w:sz w:val="24"/>
              </w:rPr>
              <w:t>2、项目支出是否符合国家或部门相关支出标准</w:t>
            </w:r>
          </w:p>
        </w:tc>
        <w:tc>
          <w:tcPr>
            <w:tcW w:w="2846" w:type="dxa"/>
            <w:gridSpan w:val="6"/>
            <w:vAlign w:val="center"/>
          </w:tcPr>
          <w:p>
            <w:pPr>
              <w:spacing w:before="100" w:beforeAutospacing="1" w:after="100" w:afterAutospacing="1" w:line="320" w:lineRule="exact"/>
              <w:jc w:val="center"/>
              <w:textAlignment w:val="center"/>
              <w:rPr>
                <w:rFonts w:ascii="仿宋_GB2312" w:hAnsi="仿宋_GB2312" w:eastAsia="仿宋_GB2312" w:cs="仿宋_GB2312"/>
                <w:b/>
                <w:color w:val="000000"/>
                <w:sz w:val="24"/>
              </w:rPr>
            </w:pPr>
            <w:r>
              <w:rPr>
                <w:rFonts w:hint="eastAsia" w:ascii="仿宋" w:hAnsi="仿宋" w:eastAsia="仿宋"/>
                <w:b/>
                <w:bCs/>
                <w:color w:val="000000"/>
                <w:sz w:val="24"/>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25" w:type="dxa"/>
            <w:vMerge w:val="continue"/>
            <w:vAlign w:val="center"/>
          </w:tcPr>
          <w:p>
            <w:pPr>
              <w:spacing w:line="320" w:lineRule="exact"/>
              <w:rPr>
                <w:rFonts w:ascii="仿宋_GB2312" w:hAnsi="仿宋_GB2312" w:eastAsia="仿宋_GB2312" w:cs="仿宋_GB2312"/>
                <w:sz w:val="24"/>
              </w:rPr>
            </w:pPr>
          </w:p>
        </w:tc>
        <w:tc>
          <w:tcPr>
            <w:tcW w:w="1665"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2304"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1822"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 w:hAnsi="仿宋" w:eastAsia="仿宋"/>
                <w:color w:val="000000"/>
                <w:sz w:val="24"/>
              </w:rPr>
              <w:t>公布全区经济指标，让社会公众了解我区的经济发展情况</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 w:hAnsi="仿宋" w:eastAsia="仿宋"/>
                <w:color w:val="000000"/>
                <w:sz w:val="24"/>
              </w:rPr>
              <w:t>为区委、区政府经济形势分析和做决策提供宏观经济运行动态数据及相关比较数据</w:t>
            </w:r>
          </w:p>
        </w:tc>
        <w:tc>
          <w:tcPr>
            <w:tcW w:w="2846"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b/>
                <w:bCs/>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25" w:type="dxa"/>
            <w:vMerge w:val="continue"/>
            <w:vAlign w:val="center"/>
          </w:tcPr>
          <w:p>
            <w:pPr>
              <w:spacing w:line="320" w:lineRule="exact"/>
              <w:rPr>
                <w:rFonts w:ascii="仿宋_GB2312" w:hAnsi="仿宋_GB2312" w:eastAsia="仿宋_GB2312" w:cs="仿宋_GB2312"/>
                <w:sz w:val="24"/>
              </w:rPr>
            </w:pPr>
          </w:p>
        </w:tc>
        <w:tc>
          <w:tcPr>
            <w:tcW w:w="1665" w:type="dxa"/>
            <w:gridSpan w:val="4"/>
            <w:vMerge w:val="continue"/>
            <w:vAlign w:val="center"/>
          </w:tcPr>
          <w:p>
            <w:pPr>
              <w:autoSpaceDN w:val="0"/>
              <w:spacing w:line="320" w:lineRule="exact"/>
              <w:rPr>
                <w:rFonts w:ascii="仿宋_GB2312" w:hAnsi="仿宋_GB2312" w:eastAsia="仿宋_GB2312" w:cs="仿宋_GB2312"/>
                <w:sz w:val="24"/>
              </w:rPr>
            </w:pPr>
          </w:p>
        </w:tc>
        <w:tc>
          <w:tcPr>
            <w:tcW w:w="2304"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1822"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846"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25" w:type="dxa"/>
            <w:vMerge w:val="continue"/>
            <w:vAlign w:val="center"/>
          </w:tcPr>
          <w:p>
            <w:pPr>
              <w:spacing w:line="320" w:lineRule="exact"/>
              <w:rPr>
                <w:rFonts w:ascii="仿宋_GB2312" w:hAnsi="仿宋_GB2312" w:eastAsia="仿宋_GB2312" w:cs="仿宋_GB2312"/>
                <w:sz w:val="24"/>
              </w:rPr>
            </w:pPr>
          </w:p>
        </w:tc>
        <w:tc>
          <w:tcPr>
            <w:tcW w:w="1665" w:type="dxa"/>
            <w:gridSpan w:val="4"/>
            <w:vMerge w:val="continue"/>
            <w:vAlign w:val="center"/>
          </w:tcPr>
          <w:p>
            <w:pPr>
              <w:autoSpaceDN w:val="0"/>
              <w:spacing w:line="320" w:lineRule="exact"/>
              <w:rPr>
                <w:rFonts w:ascii="仿宋_GB2312" w:hAnsi="仿宋_GB2312" w:eastAsia="仿宋_GB2312" w:cs="仿宋_GB2312"/>
                <w:sz w:val="24"/>
              </w:rPr>
            </w:pPr>
          </w:p>
        </w:tc>
        <w:tc>
          <w:tcPr>
            <w:tcW w:w="2304"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1822"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846"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25" w:type="dxa"/>
            <w:vMerge w:val="continue"/>
            <w:vAlign w:val="center"/>
          </w:tcPr>
          <w:p>
            <w:pPr>
              <w:spacing w:line="320" w:lineRule="exact"/>
              <w:rPr>
                <w:rFonts w:ascii="仿宋_GB2312" w:hAnsi="仿宋_GB2312" w:eastAsia="仿宋_GB2312" w:cs="仿宋_GB2312"/>
                <w:sz w:val="24"/>
              </w:rPr>
            </w:pPr>
          </w:p>
        </w:tc>
        <w:tc>
          <w:tcPr>
            <w:tcW w:w="1665" w:type="dxa"/>
            <w:gridSpan w:val="4"/>
            <w:vMerge w:val="continue"/>
            <w:vAlign w:val="center"/>
          </w:tcPr>
          <w:p>
            <w:pPr>
              <w:autoSpaceDN w:val="0"/>
              <w:spacing w:line="320" w:lineRule="exact"/>
              <w:rPr>
                <w:rFonts w:ascii="仿宋_GB2312" w:hAnsi="仿宋_GB2312" w:eastAsia="仿宋_GB2312" w:cs="仿宋_GB2312"/>
                <w:sz w:val="24"/>
              </w:rPr>
            </w:pPr>
          </w:p>
        </w:tc>
        <w:tc>
          <w:tcPr>
            <w:tcW w:w="2304"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1822" w:type="dxa"/>
            <w:gridSpan w:val="3"/>
            <w:vAlign w:val="center"/>
          </w:tcPr>
          <w:p>
            <w:pPr>
              <w:spacing w:before="100" w:beforeAutospacing="1" w:after="100" w:afterAutospacing="1" w:line="320" w:lineRule="exact"/>
              <w:jc w:val="center"/>
              <w:textAlignment w:val="center"/>
              <w:rPr>
                <w:rFonts w:ascii="仿宋_GB2312" w:hAnsi="仿宋_GB2312" w:eastAsia="仿宋_GB2312" w:cs="仿宋_GB2312"/>
                <w:color w:val="000000"/>
                <w:sz w:val="24"/>
              </w:rPr>
            </w:pPr>
            <w:r>
              <w:rPr>
                <w:rFonts w:hint="eastAsia" w:ascii="仿宋" w:hAnsi="仿宋" w:eastAsia="仿宋"/>
                <w:color w:val="000000"/>
                <w:sz w:val="24"/>
              </w:rPr>
              <w:t>公众满意率高于85%</w:t>
            </w:r>
          </w:p>
        </w:tc>
        <w:tc>
          <w:tcPr>
            <w:tcW w:w="2846" w:type="dxa"/>
            <w:gridSpan w:val="6"/>
            <w:vAlign w:val="center"/>
          </w:tcPr>
          <w:p>
            <w:pPr>
              <w:spacing w:before="100" w:beforeAutospacing="1" w:after="100" w:afterAutospacing="1" w:line="320" w:lineRule="exact"/>
              <w:jc w:val="center"/>
              <w:textAlignment w:val="center"/>
              <w:rPr>
                <w:rFonts w:ascii="仿宋_GB2312" w:hAnsi="仿宋_GB2312" w:eastAsia="仿宋_GB2312" w:cs="仿宋_GB2312"/>
                <w:b/>
                <w:color w:val="000000"/>
                <w:sz w:val="24"/>
              </w:rPr>
            </w:pPr>
            <w:r>
              <w:rPr>
                <w:rFonts w:hint="eastAsia" w:ascii="仿宋" w:hAnsi="仿宋" w:eastAsia="仿宋"/>
                <w:color w:val="000000"/>
                <w:sz w:val="24"/>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72"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 w:hAnsi="仿宋" w:eastAsia="仿宋" w:cs="仿宋_GB2312"/>
                <w:color w:val="000000"/>
                <w:sz w:val="24"/>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0"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72"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 w:hAnsi="仿宋" w:eastAsia="仿宋"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0" w:hRule="atLeast"/>
          <w:jc w:val="center"/>
        </w:trPr>
        <w:tc>
          <w:tcPr>
            <w:tcW w:w="9962"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640"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0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268"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2" w:hRule="atLeast"/>
          <w:jc w:val="center"/>
        </w:trPr>
        <w:tc>
          <w:tcPr>
            <w:tcW w:w="1654" w:type="dxa"/>
            <w:gridSpan w:val="2"/>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黄辉</w:t>
            </w:r>
          </w:p>
        </w:tc>
        <w:tc>
          <w:tcPr>
            <w:tcW w:w="3640" w:type="dxa"/>
            <w:gridSpan w:val="6"/>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党组书记、局长</w:t>
            </w:r>
          </w:p>
        </w:tc>
        <w:tc>
          <w:tcPr>
            <w:tcW w:w="140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 w:hAnsi="仿宋" w:eastAsia="仿宋" w:cs="仿宋_GB2312"/>
                <w:color w:val="000000"/>
                <w:sz w:val="24"/>
              </w:rPr>
              <w:t>统计局</w:t>
            </w:r>
          </w:p>
        </w:tc>
        <w:tc>
          <w:tcPr>
            <w:tcW w:w="3268"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 w:hAnsi="仿宋" w:eastAsia="仿宋" w:cs="仿宋_GB2312"/>
                <w:color w:val="000000"/>
                <w:sz w:val="24"/>
              </w:rPr>
              <w:t>戴会波</w:t>
            </w:r>
          </w:p>
        </w:tc>
        <w:tc>
          <w:tcPr>
            <w:tcW w:w="3640"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 w:hAnsi="仿宋" w:eastAsia="仿宋" w:cs="仿宋_GB2312"/>
                <w:color w:val="000000"/>
                <w:sz w:val="24"/>
              </w:rPr>
              <w:t>党组副书记、副局长</w:t>
            </w:r>
          </w:p>
        </w:tc>
        <w:tc>
          <w:tcPr>
            <w:tcW w:w="140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 w:hAnsi="仿宋" w:eastAsia="仿宋" w:cs="仿宋_GB2312"/>
                <w:color w:val="000000"/>
                <w:sz w:val="24"/>
              </w:rPr>
              <w:t>统计局</w:t>
            </w:r>
          </w:p>
        </w:tc>
        <w:tc>
          <w:tcPr>
            <w:tcW w:w="3268"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2"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 w:hAnsi="仿宋" w:eastAsia="仿宋" w:cs="仿宋_GB2312"/>
                <w:color w:val="000000"/>
                <w:sz w:val="24"/>
              </w:rPr>
              <w:t>魏婷</w:t>
            </w:r>
          </w:p>
        </w:tc>
        <w:tc>
          <w:tcPr>
            <w:tcW w:w="3640"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 w:hAnsi="仿宋" w:eastAsia="仿宋" w:cs="仿宋_GB2312"/>
                <w:color w:val="000000"/>
                <w:sz w:val="24"/>
              </w:rPr>
              <w:t>办公室主任</w:t>
            </w:r>
          </w:p>
        </w:tc>
        <w:tc>
          <w:tcPr>
            <w:tcW w:w="140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 w:hAnsi="仿宋" w:eastAsia="仿宋" w:cs="仿宋_GB2312"/>
                <w:color w:val="000000"/>
                <w:sz w:val="24"/>
              </w:rPr>
              <w:t>统计局</w:t>
            </w:r>
          </w:p>
        </w:tc>
        <w:tc>
          <w:tcPr>
            <w:tcW w:w="3268"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1"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 w:hAnsi="仿宋" w:eastAsia="仿宋" w:cs="仿宋_GB2312"/>
                <w:color w:val="000000"/>
                <w:sz w:val="24"/>
              </w:rPr>
              <w:t>汤敏</w:t>
            </w:r>
          </w:p>
        </w:tc>
        <w:tc>
          <w:tcPr>
            <w:tcW w:w="3640"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 w:hAnsi="仿宋" w:eastAsia="仿宋" w:cs="仿宋_GB2312"/>
                <w:color w:val="000000"/>
                <w:sz w:val="24"/>
              </w:rPr>
              <w:t>财务人员</w:t>
            </w:r>
          </w:p>
        </w:tc>
        <w:tc>
          <w:tcPr>
            <w:tcW w:w="140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 w:hAnsi="仿宋" w:eastAsia="仿宋" w:cs="仿宋_GB2312"/>
                <w:color w:val="000000"/>
                <w:sz w:val="24"/>
              </w:rPr>
              <w:t>统计局</w:t>
            </w:r>
          </w:p>
        </w:tc>
        <w:tc>
          <w:tcPr>
            <w:tcW w:w="3268"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79" w:hRule="atLeast"/>
          <w:jc w:val="center"/>
        </w:trPr>
        <w:tc>
          <w:tcPr>
            <w:tcW w:w="9962"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11" w:hRule="atLeast"/>
          <w:jc w:val="center"/>
        </w:trPr>
        <w:tc>
          <w:tcPr>
            <w:tcW w:w="9962"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392" w:hRule="atLeast"/>
          <w:jc w:val="center"/>
        </w:trPr>
        <w:tc>
          <w:tcPr>
            <w:tcW w:w="9962"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财政部门归口业务股室负责人（签章）：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widowControl/>
              <w:spacing w:line="480" w:lineRule="auto"/>
              <w:rPr>
                <w:rFonts w:ascii="仿宋" w:hAnsi="仿宋" w:eastAsia="仿宋" w:cs="宋体"/>
                <w:kern w:val="0"/>
                <w:sz w:val="24"/>
              </w:rPr>
            </w:pPr>
            <w:r>
              <w:rPr>
                <w:rFonts w:ascii="仿宋" w:hAnsi="仿宋" w:eastAsia="仿宋" w:cs="宋体"/>
                <w:kern w:val="0"/>
                <w:sz w:val="24"/>
              </w:rPr>
              <w:t>一、单位概况</w:t>
            </w:r>
          </w:p>
          <w:p>
            <w:pPr>
              <w:widowControl/>
              <w:spacing w:line="480" w:lineRule="auto"/>
              <w:rPr>
                <w:rFonts w:ascii="仿宋" w:hAnsi="仿宋" w:eastAsia="仿宋" w:cs="宋体"/>
                <w:kern w:val="0"/>
                <w:sz w:val="24"/>
              </w:rPr>
            </w:pPr>
            <w:r>
              <w:rPr>
                <w:rFonts w:ascii="仿宋" w:hAnsi="仿宋" w:eastAsia="仿宋" w:cs="宋体"/>
                <w:kern w:val="0"/>
                <w:sz w:val="24"/>
              </w:rPr>
              <w:t>（一）单位基本情况</w:t>
            </w:r>
          </w:p>
          <w:p>
            <w:pPr>
              <w:widowControl/>
              <w:spacing w:line="480" w:lineRule="auto"/>
              <w:ind w:firstLine="840" w:firstLineChars="350"/>
              <w:rPr>
                <w:rFonts w:ascii="仿宋" w:hAnsi="仿宋" w:eastAsia="仿宋" w:cs="宋体"/>
                <w:kern w:val="0"/>
                <w:sz w:val="24"/>
              </w:rPr>
            </w:pPr>
            <w:r>
              <w:rPr>
                <w:rFonts w:ascii="仿宋" w:hAnsi="仿宋" w:eastAsia="仿宋" w:cs="宋体"/>
                <w:kern w:val="0"/>
                <w:sz w:val="24"/>
              </w:rPr>
              <w:t>我局主要负责完成国家省、市区统计调查任务，承担全面小康综合考评统计、民生实事评估确认等工作，承担组织领导协调全区统计工作，组织实施本区国民经济核算制度，核算全区地方生产总值，会同有关部门拟定重大区情区力普查计划与方案，组织实施全区人口、经济、农业等重大区情区力普查，汇总、整理和提供有关区情区力方面的统计数据。加强对各街道（乡）和区直各部门统计工作的指导和综合协调。我局共设</w:t>
            </w:r>
            <w:r>
              <w:rPr>
                <w:rFonts w:hint="eastAsia" w:ascii="仿宋" w:hAnsi="仿宋" w:eastAsia="仿宋" w:cs="宋体"/>
                <w:kern w:val="0"/>
                <w:sz w:val="24"/>
              </w:rPr>
              <w:t>5</w:t>
            </w:r>
            <w:r>
              <w:rPr>
                <w:rFonts w:ascii="仿宋" w:hAnsi="仿宋" w:eastAsia="仿宋" w:cs="宋体"/>
                <w:kern w:val="0"/>
                <w:sz w:val="24"/>
              </w:rPr>
              <w:t>个内设机构</w:t>
            </w:r>
            <w:r>
              <w:rPr>
                <w:rFonts w:hint="eastAsia" w:ascii="仿宋" w:hAnsi="仿宋" w:eastAsia="仿宋" w:cs="宋体"/>
                <w:kern w:val="0"/>
                <w:sz w:val="24"/>
              </w:rPr>
              <w:t>,</w:t>
            </w:r>
            <w:r>
              <w:rPr>
                <w:rFonts w:ascii="仿宋" w:hAnsi="仿宋" w:eastAsia="仿宋" w:cs="宋体"/>
                <w:kern w:val="0"/>
                <w:sz w:val="24"/>
              </w:rPr>
              <w:t>共有编制数</w:t>
            </w:r>
            <w:r>
              <w:rPr>
                <w:rFonts w:hint="eastAsia" w:ascii="仿宋" w:hAnsi="仿宋" w:eastAsia="仿宋" w:cs="宋体"/>
                <w:kern w:val="0"/>
                <w:sz w:val="24"/>
              </w:rPr>
              <w:t>13</w:t>
            </w:r>
            <w:r>
              <w:rPr>
                <w:rFonts w:ascii="仿宋" w:hAnsi="仿宋" w:eastAsia="仿宋" w:cs="宋体"/>
                <w:kern w:val="0"/>
                <w:sz w:val="24"/>
              </w:rPr>
              <w:t>名，实有人数</w:t>
            </w:r>
            <w:r>
              <w:rPr>
                <w:rFonts w:hint="eastAsia" w:ascii="仿宋" w:hAnsi="仿宋" w:eastAsia="仿宋" w:cs="宋体"/>
                <w:kern w:val="0"/>
                <w:sz w:val="24"/>
              </w:rPr>
              <w:t>12</w:t>
            </w:r>
            <w:r>
              <w:rPr>
                <w:rFonts w:ascii="仿宋" w:hAnsi="仿宋" w:eastAsia="仿宋" w:cs="宋体"/>
                <w:kern w:val="0"/>
                <w:sz w:val="24"/>
              </w:rPr>
              <w:t>人。</w:t>
            </w:r>
          </w:p>
          <w:p>
            <w:pPr>
              <w:widowControl/>
              <w:spacing w:line="480" w:lineRule="auto"/>
              <w:rPr>
                <w:rFonts w:ascii="仿宋" w:hAnsi="仿宋" w:eastAsia="仿宋" w:cs="宋体"/>
                <w:kern w:val="0"/>
                <w:sz w:val="24"/>
              </w:rPr>
            </w:pPr>
            <w:r>
              <w:rPr>
                <w:rFonts w:ascii="仿宋" w:hAnsi="仿宋" w:eastAsia="仿宋" w:cs="宋体"/>
                <w:kern w:val="0"/>
                <w:sz w:val="24"/>
              </w:rPr>
              <w:t>（二）部门（单位）整体支出规模、使用方向和主要内容、涉及范围</w:t>
            </w:r>
          </w:p>
          <w:p>
            <w:pPr>
              <w:widowControl/>
              <w:spacing w:line="480" w:lineRule="auto"/>
              <w:ind w:firstLine="720" w:firstLineChars="300"/>
              <w:rPr>
                <w:rFonts w:ascii="仿宋" w:hAnsi="仿宋" w:eastAsia="仿宋" w:cs="宋体"/>
                <w:kern w:val="0"/>
                <w:sz w:val="24"/>
              </w:rPr>
            </w:pPr>
            <w:r>
              <w:rPr>
                <w:rFonts w:ascii="仿宋" w:hAnsi="仿宋" w:eastAsia="仿宋" w:cs="宋体"/>
                <w:kern w:val="0"/>
                <w:sz w:val="24"/>
              </w:rPr>
              <w:t>20</w:t>
            </w:r>
            <w:r>
              <w:rPr>
                <w:rFonts w:hint="eastAsia" w:ascii="仿宋" w:hAnsi="仿宋" w:eastAsia="仿宋" w:cs="宋体"/>
                <w:kern w:val="0"/>
                <w:sz w:val="24"/>
              </w:rPr>
              <w:t>20</w:t>
            </w:r>
            <w:r>
              <w:rPr>
                <w:rFonts w:ascii="仿宋" w:hAnsi="仿宋" w:eastAsia="仿宋" w:cs="宋体"/>
                <w:kern w:val="0"/>
                <w:sz w:val="24"/>
              </w:rPr>
              <w:t>年单位整体支出规模为</w:t>
            </w:r>
            <w:r>
              <w:rPr>
                <w:rFonts w:hint="eastAsia" w:ascii="仿宋" w:hAnsi="仿宋" w:eastAsia="仿宋" w:cs="宋体"/>
                <w:kern w:val="0"/>
                <w:sz w:val="24"/>
              </w:rPr>
              <w:t>558.24</w:t>
            </w:r>
            <w:r>
              <w:rPr>
                <w:rFonts w:ascii="仿宋" w:hAnsi="仿宋" w:eastAsia="仿宋" w:cs="宋体"/>
                <w:kern w:val="0"/>
                <w:sz w:val="24"/>
              </w:rPr>
              <w:t>万元，资金主要用于维护本单位正常运行及人员经费，涉及范围包含国家、省、市各项统计任务所需资金。</w:t>
            </w:r>
          </w:p>
          <w:p>
            <w:pPr>
              <w:widowControl/>
              <w:spacing w:line="480" w:lineRule="auto"/>
              <w:rPr>
                <w:rFonts w:ascii="仿宋" w:hAnsi="仿宋" w:eastAsia="仿宋" w:cs="宋体"/>
                <w:kern w:val="0"/>
                <w:sz w:val="24"/>
              </w:rPr>
            </w:pPr>
            <w:r>
              <w:rPr>
                <w:rFonts w:ascii="仿宋" w:hAnsi="仿宋" w:eastAsia="仿宋" w:cs="宋体"/>
                <w:kern w:val="0"/>
                <w:sz w:val="24"/>
              </w:rPr>
              <w:t>二、单位整体支出管理及使用情况</w:t>
            </w:r>
          </w:p>
          <w:p>
            <w:pPr>
              <w:widowControl/>
              <w:spacing w:line="480" w:lineRule="auto"/>
              <w:ind w:firstLine="480" w:firstLineChars="200"/>
              <w:rPr>
                <w:rFonts w:ascii="仿宋" w:hAnsi="仿宋" w:eastAsia="仿宋" w:cs="宋体"/>
                <w:kern w:val="0"/>
                <w:sz w:val="24"/>
              </w:rPr>
            </w:pPr>
            <w:r>
              <w:rPr>
                <w:rFonts w:ascii="仿宋" w:hAnsi="仿宋" w:eastAsia="仿宋" w:cs="宋体"/>
                <w:kern w:val="0"/>
                <w:sz w:val="24"/>
              </w:rPr>
              <w:t>20</w:t>
            </w:r>
            <w:r>
              <w:rPr>
                <w:rFonts w:hint="eastAsia" w:ascii="仿宋" w:hAnsi="仿宋" w:eastAsia="仿宋" w:cs="宋体"/>
                <w:kern w:val="0"/>
                <w:sz w:val="24"/>
              </w:rPr>
              <w:t>20</w:t>
            </w:r>
            <w:r>
              <w:rPr>
                <w:rFonts w:ascii="仿宋" w:hAnsi="仿宋" w:eastAsia="仿宋" w:cs="宋体"/>
                <w:kern w:val="0"/>
                <w:sz w:val="24"/>
              </w:rPr>
              <w:t>年，我局公共财政预算支出共计</w:t>
            </w:r>
            <w:r>
              <w:rPr>
                <w:rFonts w:hint="eastAsia" w:ascii="仿宋" w:hAnsi="仿宋" w:eastAsia="仿宋" w:cs="宋体"/>
                <w:kern w:val="0"/>
                <w:sz w:val="24"/>
              </w:rPr>
              <w:t>477.77</w:t>
            </w:r>
            <w:r>
              <w:rPr>
                <w:rFonts w:ascii="仿宋" w:hAnsi="仿宋" w:eastAsia="仿宋" w:cs="宋体"/>
                <w:kern w:val="0"/>
                <w:sz w:val="24"/>
              </w:rPr>
              <w:t>万元，其中：基本支出预算</w:t>
            </w:r>
            <w:r>
              <w:rPr>
                <w:rFonts w:hint="eastAsia" w:ascii="仿宋" w:hAnsi="仿宋" w:eastAsia="仿宋" w:cs="宋体"/>
                <w:kern w:val="0"/>
                <w:sz w:val="24"/>
              </w:rPr>
              <w:t>323.64</w:t>
            </w:r>
            <w:r>
              <w:rPr>
                <w:rFonts w:ascii="仿宋" w:hAnsi="仿宋" w:eastAsia="仿宋" w:cs="宋体"/>
                <w:kern w:val="0"/>
                <w:sz w:val="24"/>
              </w:rPr>
              <w:t>万元，</w:t>
            </w:r>
            <w:r>
              <w:rPr>
                <w:rFonts w:hint="eastAsia" w:ascii="仿宋" w:hAnsi="仿宋" w:eastAsia="仿宋" w:cs="宋体"/>
                <w:kern w:val="0"/>
                <w:sz w:val="24"/>
              </w:rPr>
              <w:t>项目支出154.13万元。</w:t>
            </w:r>
          </w:p>
          <w:p>
            <w:pPr>
              <w:widowControl/>
              <w:spacing w:line="480" w:lineRule="auto"/>
              <w:rPr>
                <w:rFonts w:ascii="仿宋" w:hAnsi="仿宋" w:eastAsia="仿宋" w:cs="宋体"/>
                <w:kern w:val="0"/>
                <w:sz w:val="24"/>
              </w:rPr>
            </w:pPr>
            <w:r>
              <w:rPr>
                <w:rFonts w:ascii="仿宋" w:hAnsi="仿宋" w:eastAsia="仿宋" w:cs="宋体"/>
                <w:kern w:val="0"/>
                <w:sz w:val="24"/>
              </w:rPr>
              <w:t>（一）基本支出</w:t>
            </w:r>
          </w:p>
          <w:p>
            <w:pPr>
              <w:widowControl/>
              <w:spacing w:line="480" w:lineRule="auto"/>
              <w:ind w:firstLine="840" w:firstLineChars="350"/>
              <w:rPr>
                <w:rFonts w:ascii="仿宋" w:hAnsi="仿宋" w:eastAsia="仿宋" w:cs="宋体"/>
                <w:kern w:val="0"/>
                <w:sz w:val="24"/>
              </w:rPr>
            </w:pPr>
            <w:r>
              <w:rPr>
                <w:rFonts w:ascii="仿宋" w:hAnsi="仿宋" w:eastAsia="仿宋" w:cs="宋体"/>
                <w:kern w:val="0"/>
                <w:sz w:val="24"/>
              </w:rPr>
              <w:t>基本支出预算</w:t>
            </w:r>
            <w:r>
              <w:rPr>
                <w:rFonts w:hint="eastAsia" w:ascii="仿宋" w:hAnsi="仿宋" w:eastAsia="仿宋" w:cs="宋体"/>
                <w:kern w:val="0"/>
                <w:sz w:val="24"/>
              </w:rPr>
              <w:t>323.64</w:t>
            </w:r>
            <w:r>
              <w:rPr>
                <w:rFonts w:ascii="仿宋" w:hAnsi="仿宋" w:eastAsia="仿宋" w:cs="宋体"/>
                <w:kern w:val="0"/>
                <w:sz w:val="24"/>
              </w:rPr>
              <w:t>万元，主要包括工资福利支出</w:t>
            </w:r>
            <w:r>
              <w:rPr>
                <w:rFonts w:hint="eastAsia" w:ascii="仿宋" w:hAnsi="仿宋" w:eastAsia="仿宋" w:cs="宋体"/>
                <w:kern w:val="0"/>
                <w:sz w:val="24"/>
              </w:rPr>
              <w:t>139.09</w:t>
            </w:r>
            <w:r>
              <w:rPr>
                <w:rFonts w:ascii="仿宋" w:hAnsi="仿宋" w:eastAsia="仿宋" w:cs="宋体"/>
                <w:kern w:val="0"/>
                <w:sz w:val="24"/>
              </w:rPr>
              <w:t>万元，一般商品和服务支出</w:t>
            </w:r>
            <w:r>
              <w:rPr>
                <w:rFonts w:hint="eastAsia" w:ascii="仿宋" w:hAnsi="仿宋" w:eastAsia="仿宋" w:cs="宋体"/>
                <w:kern w:val="0"/>
                <w:sz w:val="24"/>
              </w:rPr>
              <w:t>184.55</w:t>
            </w:r>
            <w:r>
              <w:rPr>
                <w:rFonts w:ascii="仿宋" w:hAnsi="仿宋" w:eastAsia="仿宋" w:cs="宋体"/>
                <w:kern w:val="0"/>
                <w:sz w:val="24"/>
              </w:rPr>
              <w:t>万元。</w:t>
            </w:r>
          </w:p>
          <w:p>
            <w:pPr>
              <w:widowControl/>
              <w:spacing w:line="480" w:lineRule="auto"/>
              <w:rPr>
                <w:rFonts w:ascii="仿宋" w:hAnsi="仿宋" w:eastAsia="仿宋" w:cs="宋体"/>
                <w:kern w:val="0"/>
                <w:sz w:val="24"/>
              </w:rPr>
            </w:pPr>
            <w:r>
              <w:rPr>
                <w:rFonts w:ascii="仿宋" w:hAnsi="仿宋" w:eastAsia="仿宋" w:cs="宋体"/>
                <w:kern w:val="0"/>
                <w:sz w:val="24"/>
              </w:rPr>
              <w:t>（二）专项支出</w:t>
            </w:r>
          </w:p>
          <w:p>
            <w:pPr>
              <w:widowControl/>
              <w:spacing w:line="480" w:lineRule="auto"/>
              <w:ind w:firstLine="600" w:firstLineChars="250"/>
              <w:rPr>
                <w:rFonts w:ascii="仿宋" w:hAnsi="仿宋" w:eastAsia="仿宋" w:cs="宋体"/>
                <w:kern w:val="0"/>
                <w:sz w:val="24"/>
              </w:rPr>
            </w:pPr>
            <w:r>
              <w:rPr>
                <w:rFonts w:hint="eastAsia" w:ascii="仿宋" w:hAnsi="仿宋" w:eastAsia="仿宋" w:cs="宋体"/>
                <w:color w:val="555555"/>
                <w:sz w:val="24"/>
              </w:rPr>
              <w:t>项目支出是在基本支出之外为完成各项统计业务工作任务而发生的支出，主要用于常规统计业务、专项统计调查、大型普查等。</w:t>
            </w:r>
          </w:p>
          <w:p>
            <w:pPr>
              <w:widowControl/>
              <w:spacing w:before="100" w:beforeAutospacing="1" w:after="100" w:afterAutospacing="1" w:line="500" w:lineRule="exact"/>
              <w:ind w:firstLine="480" w:firstLineChars="200"/>
              <w:jc w:val="left"/>
              <w:rPr>
                <w:rFonts w:ascii="仿宋" w:hAnsi="仿宋" w:eastAsia="仿宋" w:cs="宋体"/>
                <w:color w:val="555555"/>
                <w:kern w:val="0"/>
                <w:sz w:val="24"/>
              </w:rPr>
            </w:pPr>
            <w:r>
              <w:rPr>
                <w:rFonts w:hint="eastAsia" w:ascii="仿宋" w:hAnsi="仿宋" w:eastAsia="仿宋" w:cs="宋体"/>
                <w:color w:val="555555"/>
                <w:sz w:val="24"/>
              </w:rPr>
              <w:t>1、专项资金安排落实、总投入等情况分析。</w:t>
            </w:r>
          </w:p>
          <w:p>
            <w:pPr>
              <w:widowControl/>
              <w:spacing w:before="100" w:beforeAutospacing="1" w:after="100" w:afterAutospacing="1" w:line="500" w:lineRule="exact"/>
              <w:ind w:firstLine="480" w:firstLineChars="200"/>
              <w:jc w:val="left"/>
              <w:rPr>
                <w:rFonts w:ascii="仿宋" w:hAnsi="仿宋" w:eastAsia="仿宋" w:cs="宋体"/>
                <w:color w:val="555555"/>
                <w:kern w:val="0"/>
                <w:sz w:val="24"/>
              </w:rPr>
            </w:pPr>
            <w:r>
              <w:rPr>
                <w:rFonts w:hint="eastAsia" w:ascii="仿宋" w:hAnsi="仿宋" w:eastAsia="仿宋" w:cs="宋体"/>
                <w:color w:val="555555"/>
                <w:sz w:val="24"/>
              </w:rPr>
              <w:t>2020年年初预算批复的项目支出为234.6万元，实际决算支出154.13万元，年终结余80.47万元。</w:t>
            </w:r>
          </w:p>
          <w:p>
            <w:pPr>
              <w:widowControl/>
              <w:spacing w:before="100" w:beforeAutospacing="1" w:after="100" w:afterAutospacing="1" w:line="500" w:lineRule="exact"/>
              <w:ind w:firstLine="480" w:firstLineChars="200"/>
              <w:jc w:val="left"/>
              <w:rPr>
                <w:rFonts w:ascii="仿宋" w:hAnsi="仿宋" w:eastAsia="仿宋" w:cs="宋体"/>
                <w:color w:val="555555"/>
                <w:kern w:val="0"/>
                <w:sz w:val="24"/>
              </w:rPr>
            </w:pPr>
            <w:r>
              <w:rPr>
                <w:rFonts w:hint="eastAsia" w:ascii="仿宋" w:hAnsi="仿宋" w:eastAsia="仿宋" w:cs="宋体"/>
                <w:color w:val="555555"/>
                <w:sz w:val="24"/>
              </w:rPr>
              <w:t>2、专项资金实际使用情况分析。</w:t>
            </w:r>
          </w:p>
          <w:p>
            <w:pPr>
              <w:widowControl/>
              <w:spacing w:before="100" w:beforeAutospacing="1" w:after="100" w:afterAutospacing="1" w:line="500" w:lineRule="exact"/>
              <w:ind w:firstLine="480" w:firstLineChars="200"/>
              <w:jc w:val="left"/>
              <w:rPr>
                <w:rFonts w:ascii="仿宋" w:hAnsi="仿宋" w:eastAsia="仿宋" w:cs="宋体"/>
                <w:color w:val="555555"/>
                <w:kern w:val="0"/>
                <w:sz w:val="24"/>
              </w:rPr>
            </w:pPr>
            <w:r>
              <w:rPr>
                <w:rFonts w:hint="eastAsia" w:ascii="仿宋" w:hAnsi="仿宋" w:eastAsia="仿宋" w:cs="宋体"/>
                <w:color w:val="555555"/>
                <w:sz w:val="24"/>
              </w:rPr>
              <w:t>2020年决算的项目支出为154.13万元，其中：1、一般行政管理事务20万元，主要用于信息系统安全二级等级保护建设，统计资料印刷、培训等工作。2、专项统计业务133.7万元，主要用于民意调查、常规统计调查等工作。3、防疫经费0.43万元，用于防疫经费开支。</w:t>
            </w:r>
          </w:p>
          <w:p>
            <w:pPr>
              <w:widowControl/>
              <w:spacing w:before="100" w:beforeAutospacing="1" w:after="100" w:afterAutospacing="1" w:line="500" w:lineRule="exact"/>
              <w:ind w:firstLine="480" w:firstLineChars="200"/>
              <w:jc w:val="left"/>
              <w:rPr>
                <w:rFonts w:ascii="仿宋" w:hAnsi="仿宋" w:eastAsia="仿宋" w:cs="宋体"/>
                <w:color w:val="555555"/>
                <w:kern w:val="0"/>
                <w:sz w:val="24"/>
              </w:rPr>
            </w:pPr>
            <w:r>
              <w:rPr>
                <w:rFonts w:hint="eastAsia" w:ascii="仿宋" w:hAnsi="仿宋" w:eastAsia="仿宋" w:cs="宋体"/>
                <w:color w:val="555555"/>
                <w:sz w:val="24"/>
              </w:rPr>
              <w:t>3、专项资金管理情况分析</w:t>
            </w:r>
          </w:p>
          <w:p>
            <w:pPr>
              <w:widowControl/>
              <w:spacing w:before="100" w:beforeAutospacing="1" w:after="100" w:afterAutospacing="1" w:line="560" w:lineRule="exact"/>
              <w:ind w:firstLine="600"/>
              <w:jc w:val="left"/>
              <w:rPr>
                <w:rFonts w:ascii="仿宋" w:hAnsi="仿宋" w:eastAsia="仿宋" w:cs="宋体"/>
                <w:color w:val="555555"/>
                <w:kern w:val="0"/>
                <w:sz w:val="24"/>
              </w:rPr>
            </w:pPr>
            <w:r>
              <w:rPr>
                <w:rFonts w:hint="eastAsia" w:ascii="仿宋" w:hAnsi="仿宋" w:eastAsia="仿宋"/>
                <w:color w:val="222222"/>
                <w:sz w:val="24"/>
                <w:shd w:val="clear" w:color="auto" w:fill="FFFFFF"/>
              </w:rPr>
              <w:t>严格按照和执行资金使用管理的相关规定，对资金实行“专款专用”，严格风险防范，保障资金安全和高效运行。</w:t>
            </w:r>
          </w:p>
          <w:p>
            <w:pPr>
              <w:widowControl/>
              <w:spacing w:line="480" w:lineRule="auto"/>
              <w:rPr>
                <w:rFonts w:ascii="仿宋" w:hAnsi="仿宋" w:eastAsia="仿宋" w:cs="宋体"/>
                <w:kern w:val="0"/>
                <w:sz w:val="24"/>
              </w:rPr>
            </w:pPr>
            <w:r>
              <w:rPr>
                <w:rFonts w:hint="eastAsia" w:ascii="仿宋" w:hAnsi="仿宋" w:eastAsia="仿宋" w:cs="宋体"/>
                <w:kern w:val="0"/>
                <w:sz w:val="24"/>
              </w:rPr>
              <w:t>三</w:t>
            </w:r>
            <w:r>
              <w:rPr>
                <w:rFonts w:ascii="仿宋" w:hAnsi="仿宋" w:eastAsia="仿宋" w:cs="宋体"/>
                <w:kern w:val="0"/>
                <w:sz w:val="24"/>
              </w:rPr>
              <w:t>、单位整体支出绩效情况</w:t>
            </w:r>
          </w:p>
          <w:p>
            <w:pPr>
              <w:widowControl/>
              <w:spacing w:before="100" w:beforeAutospacing="1" w:after="100" w:afterAutospacing="1" w:line="500" w:lineRule="exact"/>
              <w:ind w:firstLine="480" w:firstLineChars="200"/>
              <w:jc w:val="left"/>
              <w:rPr>
                <w:rFonts w:ascii="仿宋" w:hAnsi="仿宋" w:eastAsia="仿宋" w:cs="宋体"/>
                <w:color w:val="555555"/>
                <w:kern w:val="0"/>
                <w:sz w:val="24"/>
              </w:rPr>
            </w:pPr>
            <w:r>
              <w:rPr>
                <w:rFonts w:hint="eastAsia" w:ascii="仿宋" w:hAnsi="仿宋" w:eastAsia="仿宋" w:cs="宋体"/>
                <w:color w:val="555555"/>
                <w:sz w:val="24"/>
              </w:rPr>
              <w:t>2020年，根据我局年初工作规划和重点工作，围绕区委、区政府的工作部署，积极履行职责，强化管理，圆满完成了年度工作目标，同时加强预算收支的管理，建立健全内部管理制度，严格内部管理流程，部门整体支出管理得到了提升。根据《部门整体支出绩效评价指标》评分，得分99分（详见附表1），财政支出绩效为“优”。部门整体支出绩效情况如下：</w:t>
            </w:r>
          </w:p>
          <w:p>
            <w:pPr>
              <w:widowControl/>
              <w:spacing w:before="100" w:beforeAutospacing="1" w:after="100" w:afterAutospacing="1" w:line="500" w:lineRule="exact"/>
              <w:ind w:firstLine="480" w:firstLineChars="200"/>
              <w:jc w:val="left"/>
              <w:rPr>
                <w:rFonts w:ascii="仿宋" w:hAnsi="仿宋" w:eastAsia="仿宋" w:cs="宋体"/>
                <w:color w:val="555555"/>
                <w:kern w:val="0"/>
                <w:sz w:val="24"/>
              </w:rPr>
            </w:pPr>
            <w:r>
              <w:rPr>
                <w:rFonts w:hint="eastAsia" w:ascii="仿宋" w:hAnsi="仿宋" w:eastAsia="仿宋" w:cs="宋体"/>
                <w:color w:val="555555"/>
                <w:sz w:val="24"/>
              </w:rPr>
              <w:t>（一）“三公”经费情况分析</w:t>
            </w:r>
          </w:p>
          <w:p>
            <w:pPr>
              <w:widowControl/>
              <w:spacing w:before="100" w:beforeAutospacing="1" w:after="100" w:afterAutospacing="1" w:line="500" w:lineRule="exact"/>
              <w:ind w:firstLine="480" w:firstLineChars="200"/>
              <w:jc w:val="left"/>
              <w:rPr>
                <w:rFonts w:ascii="仿宋" w:hAnsi="仿宋" w:eastAsia="仿宋" w:cs="宋体"/>
                <w:color w:val="555555"/>
                <w:kern w:val="0"/>
                <w:sz w:val="24"/>
              </w:rPr>
            </w:pPr>
            <w:r>
              <w:rPr>
                <w:rFonts w:hint="eastAsia" w:ascii="仿宋" w:hAnsi="仿宋" w:eastAsia="仿宋" w:cs="宋体"/>
                <w:color w:val="555555"/>
                <w:sz w:val="24"/>
              </w:rPr>
              <w:t>为更好地贯彻落实中央厉行节约的有关规定，财务管理不断加强。2020年君山区统计局“三公经费”预算支出 2 万元，实际开支1.76万元，在预算内开支。其中：公务接待费1.76万元，本单位厉行节俭，严格执行八项规定；本单位无因公出国（境）费用支出。</w:t>
            </w:r>
          </w:p>
          <w:p>
            <w:pPr>
              <w:widowControl/>
              <w:spacing w:before="100" w:beforeAutospacing="1" w:after="100" w:afterAutospacing="1" w:line="500" w:lineRule="exact"/>
              <w:ind w:firstLine="480" w:firstLineChars="200"/>
              <w:jc w:val="left"/>
              <w:rPr>
                <w:rFonts w:ascii="仿宋" w:hAnsi="仿宋" w:eastAsia="仿宋" w:cs="宋体"/>
                <w:color w:val="555555"/>
                <w:kern w:val="0"/>
                <w:sz w:val="24"/>
              </w:rPr>
            </w:pPr>
            <w:r>
              <w:rPr>
                <w:rFonts w:hint="eastAsia" w:ascii="仿宋" w:hAnsi="仿宋" w:eastAsia="仿宋" w:cs="宋体"/>
                <w:color w:val="555555"/>
                <w:sz w:val="24"/>
              </w:rPr>
              <w:t>（二）公务卡刷卡情况分析</w:t>
            </w:r>
          </w:p>
          <w:p>
            <w:pPr>
              <w:widowControl/>
              <w:spacing w:before="100" w:beforeAutospacing="1" w:after="100" w:afterAutospacing="1" w:line="500" w:lineRule="exact"/>
              <w:ind w:firstLine="480" w:firstLineChars="200"/>
              <w:jc w:val="left"/>
              <w:rPr>
                <w:rFonts w:ascii="仿宋" w:hAnsi="仿宋" w:eastAsia="仿宋" w:cs="宋体"/>
                <w:color w:val="555555"/>
                <w:kern w:val="0"/>
                <w:sz w:val="24"/>
              </w:rPr>
            </w:pPr>
            <w:r>
              <w:rPr>
                <w:rFonts w:hint="eastAsia" w:ascii="仿宋" w:hAnsi="仿宋" w:eastAsia="仿宋" w:cs="宋体"/>
                <w:color w:val="555555"/>
                <w:sz w:val="24"/>
              </w:rPr>
              <w:t>2020年统计局公务消费卡使用占授权支付额度45.5%。</w:t>
            </w:r>
          </w:p>
          <w:p>
            <w:pPr>
              <w:widowControl/>
              <w:spacing w:before="100" w:beforeAutospacing="1" w:after="100" w:afterAutospacing="1" w:line="500" w:lineRule="exact"/>
              <w:ind w:firstLine="480" w:firstLineChars="200"/>
              <w:jc w:val="left"/>
              <w:rPr>
                <w:rFonts w:ascii="仿宋" w:hAnsi="仿宋" w:eastAsia="仿宋" w:cs="宋体"/>
                <w:color w:val="555555"/>
                <w:kern w:val="0"/>
                <w:sz w:val="24"/>
              </w:rPr>
            </w:pPr>
            <w:r>
              <w:rPr>
                <w:rFonts w:hint="eastAsia" w:ascii="仿宋" w:hAnsi="仿宋" w:eastAsia="仿宋" w:cs="宋体"/>
                <w:color w:val="555555"/>
                <w:sz w:val="24"/>
              </w:rPr>
              <w:t>（三）最大效益使用固定资产</w:t>
            </w:r>
          </w:p>
          <w:p>
            <w:pPr>
              <w:widowControl/>
              <w:spacing w:before="100" w:beforeAutospacing="1" w:after="100" w:afterAutospacing="1" w:line="500" w:lineRule="exact"/>
              <w:ind w:firstLine="480" w:firstLineChars="200"/>
              <w:jc w:val="left"/>
              <w:rPr>
                <w:rFonts w:ascii="仿宋" w:hAnsi="仿宋" w:eastAsia="仿宋" w:cs="宋体"/>
                <w:color w:val="555555"/>
                <w:kern w:val="0"/>
                <w:sz w:val="24"/>
              </w:rPr>
            </w:pPr>
            <w:r>
              <w:rPr>
                <w:rFonts w:hint="eastAsia" w:ascii="仿宋" w:hAnsi="仿宋" w:eastAsia="仿宋" w:cs="宋体"/>
                <w:color w:val="555555"/>
                <w:sz w:val="24"/>
              </w:rPr>
              <w:t>截止2020年12月31日，固定资产27.26万元，按照厉行节约、物尽其用的原则，资产管理采取统一建账，统一核算管理，对每一件固定资产使用，明确保管职责，闲置的资产，由办公室统一调整，合理流动，发挥最大的效益。资产的购置按照规定的程序，报机关事务服务中心批准购置，达到政府采购标准的，报政府采购管理办公室进行政府采购，资产的处置报废，按照财政规定的审批程序，报机关事务服务中心审批后再处置，保证资产的安全高效，防止资产流失。</w:t>
            </w:r>
          </w:p>
          <w:p>
            <w:pPr>
              <w:widowControl/>
              <w:spacing w:line="480" w:lineRule="auto"/>
              <w:rPr>
                <w:rFonts w:ascii="仿宋" w:hAnsi="仿宋" w:eastAsia="仿宋" w:cs="宋体"/>
                <w:kern w:val="0"/>
                <w:sz w:val="24"/>
              </w:rPr>
            </w:pPr>
            <w:r>
              <w:rPr>
                <w:rFonts w:hint="eastAsia" w:ascii="仿宋" w:hAnsi="仿宋" w:eastAsia="仿宋" w:cs="宋体"/>
                <w:kern w:val="0"/>
                <w:sz w:val="24"/>
              </w:rPr>
              <w:t>四</w:t>
            </w:r>
            <w:r>
              <w:rPr>
                <w:rFonts w:ascii="仿宋" w:hAnsi="仿宋" w:eastAsia="仿宋" w:cs="宋体"/>
                <w:kern w:val="0"/>
                <w:sz w:val="24"/>
              </w:rPr>
              <w:t>、存在的主要问题</w:t>
            </w:r>
          </w:p>
          <w:p>
            <w:pPr>
              <w:widowControl/>
              <w:spacing w:line="480" w:lineRule="auto"/>
              <w:ind w:firstLine="960" w:firstLineChars="400"/>
              <w:rPr>
                <w:rFonts w:ascii="仿宋" w:hAnsi="仿宋" w:eastAsia="仿宋" w:cs="宋体"/>
                <w:kern w:val="0"/>
                <w:sz w:val="24"/>
              </w:rPr>
            </w:pPr>
            <w:r>
              <w:rPr>
                <w:rFonts w:ascii="仿宋" w:hAnsi="仿宋" w:eastAsia="仿宋" w:cs="宋体"/>
                <w:kern w:val="0"/>
                <w:sz w:val="24"/>
              </w:rPr>
              <w:t>经过自评，我局在财政预算方面还有一些项目支出应列入而未列入年初预算，需要在年度中间进行调整</w:t>
            </w:r>
            <w:r>
              <w:rPr>
                <w:rFonts w:hint="eastAsia" w:ascii="仿宋" w:hAnsi="仿宋" w:eastAsia="仿宋" w:cs="宋体"/>
                <w:kern w:val="0"/>
                <w:sz w:val="24"/>
              </w:rPr>
              <w:t>，</w:t>
            </w:r>
            <w:r>
              <w:rPr>
                <w:rFonts w:ascii="仿宋" w:hAnsi="仿宋" w:eastAsia="仿宋" w:cs="宋体"/>
                <w:kern w:val="0"/>
                <w:sz w:val="24"/>
              </w:rPr>
              <w:t>预算执行率有待进一步提高，需要整改。</w:t>
            </w:r>
          </w:p>
          <w:p>
            <w:pPr>
              <w:widowControl/>
              <w:spacing w:line="480" w:lineRule="auto"/>
              <w:rPr>
                <w:rFonts w:ascii="仿宋" w:hAnsi="仿宋" w:eastAsia="仿宋" w:cs="宋体"/>
                <w:kern w:val="0"/>
                <w:sz w:val="24"/>
              </w:rPr>
            </w:pPr>
            <w:r>
              <w:rPr>
                <w:rFonts w:hint="eastAsia" w:ascii="仿宋" w:hAnsi="仿宋" w:eastAsia="仿宋" w:cs="宋体"/>
                <w:kern w:val="0"/>
                <w:sz w:val="24"/>
              </w:rPr>
              <w:t>五</w:t>
            </w:r>
            <w:r>
              <w:rPr>
                <w:rFonts w:ascii="仿宋" w:hAnsi="仿宋" w:eastAsia="仿宋" w:cs="宋体"/>
                <w:kern w:val="0"/>
                <w:sz w:val="24"/>
              </w:rPr>
              <w:t>、改进措施和有关建议</w:t>
            </w:r>
          </w:p>
          <w:p>
            <w:pPr>
              <w:widowControl/>
              <w:spacing w:line="480" w:lineRule="auto"/>
              <w:ind w:firstLine="840" w:firstLineChars="350"/>
              <w:rPr>
                <w:rFonts w:ascii="仿宋" w:hAnsi="仿宋" w:eastAsia="仿宋" w:cs="宋体"/>
                <w:kern w:val="0"/>
                <w:sz w:val="24"/>
              </w:rPr>
            </w:pPr>
            <w:r>
              <w:rPr>
                <w:rFonts w:ascii="仿宋" w:hAnsi="仿宋" w:eastAsia="仿宋" w:cs="宋体"/>
                <w:kern w:val="0"/>
                <w:sz w:val="24"/>
              </w:rPr>
              <w:t>按照《预算法》及其实施条例的相关规定，参考上一年的预算执行情况和年度的收支预测</w:t>
            </w:r>
            <w:r>
              <w:rPr>
                <w:rFonts w:hint="eastAsia" w:ascii="仿宋" w:hAnsi="仿宋" w:eastAsia="仿宋" w:cs="宋体"/>
                <w:kern w:val="0"/>
                <w:sz w:val="24"/>
              </w:rPr>
              <w:t>，</w:t>
            </w:r>
            <w:r>
              <w:rPr>
                <w:rFonts w:ascii="仿宋" w:hAnsi="仿宋" w:eastAsia="仿宋" w:cs="宋体"/>
                <w:kern w:val="0"/>
                <w:sz w:val="24"/>
              </w:rPr>
              <w:t>科学编制预算，避免年中大幅追加以及超预算。在预算执行中，严格按照预算科目支出，避免预算科目间的预算资金调剂，确需调剂的，按规定程序报经批准。</w:t>
            </w:r>
          </w:p>
          <w:p>
            <w:pPr>
              <w:rPr>
                <w:rFonts w:eastAsia="楷体_GB2312"/>
                <w:bCs/>
                <w:sz w:val="28"/>
                <w:szCs w:val="28"/>
              </w:rPr>
            </w:pPr>
          </w:p>
        </w:tc>
      </w:tr>
    </w:tbl>
    <w:p>
      <w:pPr>
        <w:spacing w:line="348" w:lineRule="auto"/>
        <w:rPr>
          <w:rFonts w:ascii="黑体" w:hAnsi="黑体" w:eastAsia="黑体"/>
          <w:sz w:val="32"/>
          <w:szCs w:val="32"/>
        </w:rPr>
      </w:pPr>
      <w:r>
        <w:rPr>
          <w:rFonts w:eastAsia="楷体_GB2312"/>
          <w:bCs/>
          <w:sz w:val="28"/>
          <w:szCs w:val="28"/>
        </w:rPr>
        <w:br w:type="page"/>
      </w:r>
      <w:r>
        <w:t xml:space="preserve"> </w:t>
      </w:r>
      <w:r>
        <w:rPr>
          <w:rFonts w:hint="eastAsia" w:ascii="黑体" w:hAnsi="黑体" w:eastAsia="黑体"/>
          <w:sz w:val="32"/>
          <w:szCs w:val="32"/>
        </w:rPr>
        <w:t>附件4-1</w:t>
      </w:r>
    </w:p>
    <w:p>
      <w:pPr>
        <w:spacing w:beforeLines="100" w:afterLines="100"/>
        <w:jc w:val="center"/>
        <w:rPr>
          <w:rFonts w:ascii="方正小标宋简体" w:eastAsia="方正小标宋简体"/>
          <w:sz w:val="36"/>
          <w:szCs w:val="36"/>
        </w:rPr>
      </w:pPr>
      <w:r>
        <w:rPr>
          <w:rFonts w:hint="eastAsia" w:ascii="方正小标宋简体" w:eastAsia="方正小标宋简体"/>
          <w:sz w:val="36"/>
          <w:szCs w:val="36"/>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548"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836"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1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公务卡刷卡率未达到50%以上</w:t>
            </w: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1753"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68"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99</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line="200" w:lineRule="exact"/>
        <w:contextualSpacing/>
        <w:jc w:val="right"/>
        <w:rPr>
          <w:rFonts w:eastAsia="仿宋_GB2312"/>
          <w:sz w:val="32"/>
        </w:rPr>
      </w:pPr>
    </w:p>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1448" w:wrap="around" w:vAnchor="text" w:hAnchor="margin" w:xAlign="outside" w:y="7"/>
      <w:rPr>
        <w:sz w:val="24"/>
      </w:rPr>
    </w:pPr>
    <w:r>
      <w:rPr>
        <w:sz w:val="24"/>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pPr>
                  <w:pStyle w:val="3"/>
                  <w:rPr>
                    <w:rStyle w:val="7"/>
                  </w:rPr>
                </w:pPr>
                <w:r>
                  <w:rPr>
                    <w:rStyle w:val="7"/>
                    <w:rFonts w:hint="eastAsia"/>
                  </w:rPr>
                  <w:t xml:space="preserve">— </w:t>
                </w:r>
                <w:r>
                  <w:fldChar w:fldCharType="begin"/>
                </w:r>
                <w:r>
                  <w:rPr>
                    <w:rStyle w:val="7"/>
                  </w:rPr>
                  <w:instrText xml:space="preserve">PAGE  </w:instrText>
                </w:r>
                <w:r>
                  <w:fldChar w:fldCharType="separate"/>
                </w:r>
                <w:r>
                  <w:rPr>
                    <w:rStyle w:val="7"/>
                  </w:rPr>
                  <w:t>1</w:t>
                </w:r>
                <w:r>
                  <w:fldChar w:fldCharType="end"/>
                </w:r>
                <w:r>
                  <w:rPr>
                    <w:rStyle w:val="7"/>
                    <w:rFonts w:hint="eastAsia"/>
                  </w:rPr>
                  <w:t xml:space="preserve"> —</w:t>
                </w:r>
              </w:p>
            </w:txbxContent>
          </v:textbox>
        </v:shape>
      </w:pic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pPr>
                  <w:pStyle w:val="3"/>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2</w:t>
                </w:r>
                <w:r>
                  <w:rPr>
                    <w:sz w:val="24"/>
                    <w:szCs w:val="24"/>
                  </w:rPr>
                  <w:fldChar w:fldCharType="end"/>
                </w:r>
                <w:r>
                  <w:rPr>
                    <w:rStyle w:val="7"/>
                    <w:rFonts w:hint="eastAsia"/>
                    <w:sz w:val="24"/>
                    <w:szCs w:val="24"/>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end"/>
    </w:r>
  </w:p>
  <w:p>
    <w:pPr>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55A6F26"/>
    <w:rsid w:val="002963EE"/>
    <w:rsid w:val="002E5F25"/>
    <w:rsid w:val="00355194"/>
    <w:rsid w:val="00482182"/>
    <w:rsid w:val="006B792D"/>
    <w:rsid w:val="006F46CB"/>
    <w:rsid w:val="0072770F"/>
    <w:rsid w:val="007B6827"/>
    <w:rsid w:val="008A62C1"/>
    <w:rsid w:val="00975A91"/>
    <w:rsid w:val="009A5D38"/>
    <w:rsid w:val="00BA6BD8"/>
    <w:rsid w:val="00C10853"/>
    <w:rsid w:val="00C32D40"/>
    <w:rsid w:val="00CB67EE"/>
    <w:rsid w:val="00CC18DC"/>
    <w:rsid w:val="00ED73E3"/>
    <w:rsid w:val="00EF3C5C"/>
    <w:rsid w:val="00F232D7"/>
    <w:rsid w:val="00FB20B1"/>
    <w:rsid w:val="00FE0796"/>
    <w:rsid w:val="021F7ACC"/>
    <w:rsid w:val="05000B50"/>
    <w:rsid w:val="055A6F26"/>
    <w:rsid w:val="09950D4D"/>
    <w:rsid w:val="0A507703"/>
    <w:rsid w:val="0DB17DCE"/>
    <w:rsid w:val="0F3C19DC"/>
    <w:rsid w:val="134907CC"/>
    <w:rsid w:val="140D5FCB"/>
    <w:rsid w:val="178B0DF9"/>
    <w:rsid w:val="186F38D5"/>
    <w:rsid w:val="193E1990"/>
    <w:rsid w:val="1A6F2DB8"/>
    <w:rsid w:val="1E0B52D7"/>
    <w:rsid w:val="1E4E1466"/>
    <w:rsid w:val="1ECE3EBD"/>
    <w:rsid w:val="1F290E1C"/>
    <w:rsid w:val="20482FD4"/>
    <w:rsid w:val="23752929"/>
    <w:rsid w:val="23931307"/>
    <w:rsid w:val="28FC074F"/>
    <w:rsid w:val="2A66629F"/>
    <w:rsid w:val="2B185F17"/>
    <w:rsid w:val="2C1535F6"/>
    <w:rsid w:val="2D69692C"/>
    <w:rsid w:val="2EE67DDF"/>
    <w:rsid w:val="2F6C19A9"/>
    <w:rsid w:val="31C64031"/>
    <w:rsid w:val="37035463"/>
    <w:rsid w:val="387A506E"/>
    <w:rsid w:val="391D6E5E"/>
    <w:rsid w:val="39C4528F"/>
    <w:rsid w:val="3A3A1314"/>
    <w:rsid w:val="3B7E060B"/>
    <w:rsid w:val="3BBB1F39"/>
    <w:rsid w:val="3C091E95"/>
    <w:rsid w:val="3C0C5663"/>
    <w:rsid w:val="3D962E2F"/>
    <w:rsid w:val="3F114B68"/>
    <w:rsid w:val="41095FEC"/>
    <w:rsid w:val="42082596"/>
    <w:rsid w:val="426B5C52"/>
    <w:rsid w:val="43B63DEC"/>
    <w:rsid w:val="4414053C"/>
    <w:rsid w:val="44766D22"/>
    <w:rsid w:val="45414B88"/>
    <w:rsid w:val="46602C0D"/>
    <w:rsid w:val="4AA9566D"/>
    <w:rsid w:val="4BA9288D"/>
    <w:rsid w:val="4C4E2AC3"/>
    <w:rsid w:val="4FC33CBA"/>
    <w:rsid w:val="50476111"/>
    <w:rsid w:val="56233027"/>
    <w:rsid w:val="59DF3449"/>
    <w:rsid w:val="5A2E543A"/>
    <w:rsid w:val="5CAC64A4"/>
    <w:rsid w:val="5E010849"/>
    <w:rsid w:val="60EA4316"/>
    <w:rsid w:val="64532612"/>
    <w:rsid w:val="65236B49"/>
    <w:rsid w:val="65AA43C0"/>
    <w:rsid w:val="66161E47"/>
    <w:rsid w:val="68116BFE"/>
    <w:rsid w:val="68CE326F"/>
    <w:rsid w:val="6B2A6AB7"/>
    <w:rsid w:val="6D535020"/>
    <w:rsid w:val="6DD75D47"/>
    <w:rsid w:val="70320DB2"/>
    <w:rsid w:val="703379A9"/>
    <w:rsid w:val="70B962BB"/>
    <w:rsid w:val="71E279DE"/>
    <w:rsid w:val="76BD5E40"/>
    <w:rsid w:val="789B6814"/>
    <w:rsid w:val="78B97743"/>
    <w:rsid w:val="78CF2A94"/>
    <w:rsid w:val="78EE0E45"/>
    <w:rsid w:val="796A69FF"/>
    <w:rsid w:val="7E627FB6"/>
    <w:rsid w:val="7F424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11</Pages>
  <Words>985</Words>
  <Characters>5621</Characters>
  <Lines>46</Lines>
  <Paragraphs>13</Paragraphs>
  <TotalTime>97</TotalTime>
  <ScaleCrop>false</ScaleCrop>
  <LinksUpToDate>false</LinksUpToDate>
  <CharactersWithSpaces>6593</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2018-05-23T02:39:00Z</dcterms:created>
  <dc:creator>Administrator</dc:creator>
  <cp:lastModifiedBy>Administrator</cp:lastModifiedBy>
  <cp:lastPrinted>2021-07-27T08:09:00Z</cp:lastPrinted>
  <dcterms:modified xsi:type="dcterms:W3CDTF">2021-07-28T02:21:47Z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A663EB7C7EEB4B5A912F31B44C557C5F</vt:lpwstr>
  </property>
</Properties>
</file>