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附件3-1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君山区20</w:t>
      </w:r>
      <w:r>
        <w:rPr>
          <w:rFonts w:hint="eastAsia" w:eastAsia="方正小标宋简体"/>
          <w:bCs/>
          <w:sz w:val="46"/>
          <w:szCs w:val="46"/>
          <w:u w:val="single"/>
        </w:rPr>
        <w:t xml:space="preserve">21 </w:t>
      </w:r>
      <w:r>
        <w:rPr>
          <w:rFonts w:hint="eastAsia" w:eastAsia="方正小标宋简体"/>
          <w:bCs/>
          <w:sz w:val="46"/>
          <w:szCs w:val="46"/>
        </w:rPr>
        <w:t>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岳阳市君山区水利局                           </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147001                           </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报告日期：2021年 06月 21日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君山区财政</w:t>
      </w:r>
      <w:r>
        <w:rPr>
          <w:rFonts w:hint="eastAsia" w:eastAsia="仿宋_GB2312"/>
          <w:sz w:val="32"/>
          <w:szCs w:val="32"/>
        </w:rPr>
        <w:t>局（制）</w:t>
      </w:r>
    </w:p>
    <w:tbl>
      <w:tblPr>
        <w:tblStyle w:val="6"/>
        <w:tblW w:w="98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290"/>
        <w:gridCol w:w="1145"/>
        <w:gridCol w:w="1080"/>
        <w:gridCol w:w="1479"/>
        <w:gridCol w:w="226"/>
        <w:gridCol w:w="196"/>
        <w:gridCol w:w="259"/>
        <w:gridCol w:w="1080"/>
        <w:gridCol w:w="265"/>
        <w:gridCol w:w="139"/>
        <w:gridCol w:w="316"/>
        <w:gridCol w:w="625"/>
        <w:gridCol w:w="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567"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张婧</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18073087791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213人</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3"/>
            <w:vAlign w:val="center"/>
          </w:tcPr>
          <w:p>
            <w:pPr>
              <w:tabs>
                <w:tab w:val="left" w:pos="706"/>
              </w:tabs>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君山区水利局的主要职责是负责保障水资源的合理开发利用、负责生活、生产经营和生态环境用水的统筹和保障、按规定制定水利工程建设和运行管理有关制度并组织实施、指导水资源保护工作、组织开展水资源调查评价和水资源承载能力监测预警工作、组织指导水利工程设施、水域、滩涂及其岸线的管理、保护与综合利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任务1：积极应对，全力以赴防汛救灾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任务2：精心组织，强力推进水利工程建设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任务3：整治问题，深入推进河湖长制工作</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3"/>
            <w:vAlign w:val="center"/>
          </w:tcPr>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2020年，我区新中国成立以来第五、本世纪以来第二高洪，江河湖库多线作战，经历了5次洪峰和6次强降雨过程，全区没有出现大的险情，没有发生人员伤亡事件，取得了防汛抗旱“五个确保”的全面胜利。</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加快推进了良心堡，方台湖安全区，分洪闸、长江补水暨华洪运河河湖连通、险工险段整治等工程建设，编制印发了2020-2021年度冬春水利建设计划。</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全区河湖全部落实了区、镇、村三级河（湖）长和警长、保洁员，构建了“河长+警长、乡镇办事员+河湖保洁员”的“两长两员”管理体系。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567"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567"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29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810" w:type="dxa"/>
            <w:gridSpan w:val="11"/>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9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29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25907.03</w:t>
            </w:r>
          </w:p>
        </w:tc>
        <w:tc>
          <w:tcPr>
            <w:tcW w:w="1145" w:type="dxa"/>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24403.83</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1503.2</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29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24117.07</w:t>
            </w:r>
          </w:p>
        </w:tc>
        <w:tc>
          <w:tcPr>
            <w:tcW w:w="1145" w:type="dxa"/>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22613.87</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1503.2</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2、钱南垸水委会</w:t>
            </w:r>
          </w:p>
        </w:tc>
        <w:tc>
          <w:tcPr>
            <w:tcW w:w="129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187.44</w:t>
            </w:r>
          </w:p>
        </w:tc>
        <w:tc>
          <w:tcPr>
            <w:tcW w:w="1145" w:type="dxa"/>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187.44</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3、钱北垸水委会</w:t>
            </w:r>
          </w:p>
        </w:tc>
        <w:tc>
          <w:tcPr>
            <w:tcW w:w="129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109.34</w:t>
            </w:r>
          </w:p>
        </w:tc>
        <w:tc>
          <w:tcPr>
            <w:tcW w:w="1145" w:type="dxa"/>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109.34</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4、君山垸电排</w:t>
            </w:r>
          </w:p>
        </w:tc>
        <w:tc>
          <w:tcPr>
            <w:tcW w:w="129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228.74</w:t>
            </w:r>
          </w:p>
        </w:tc>
        <w:tc>
          <w:tcPr>
            <w:tcW w:w="1145" w:type="dxa"/>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228.74</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5、建设垸水委会</w:t>
            </w:r>
          </w:p>
        </w:tc>
        <w:tc>
          <w:tcPr>
            <w:tcW w:w="129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284.41</w:t>
            </w:r>
          </w:p>
        </w:tc>
        <w:tc>
          <w:tcPr>
            <w:tcW w:w="1145" w:type="dxa"/>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284.41</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6、钱粮湖电排</w:t>
            </w:r>
          </w:p>
        </w:tc>
        <w:tc>
          <w:tcPr>
            <w:tcW w:w="129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421.62</w:t>
            </w:r>
          </w:p>
        </w:tc>
        <w:tc>
          <w:tcPr>
            <w:tcW w:w="1145" w:type="dxa"/>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421.62</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7、建设垸电排总站</w:t>
            </w:r>
          </w:p>
        </w:tc>
        <w:tc>
          <w:tcPr>
            <w:tcW w:w="129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191.23</w:t>
            </w:r>
          </w:p>
        </w:tc>
        <w:tc>
          <w:tcPr>
            <w:tcW w:w="1145" w:type="dxa"/>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191.23</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8、君山垸水利管理委员会</w:t>
            </w:r>
          </w:p>
        </w:tc>
        <w:tc>
          <w:tcPr>
            <w:tcW w:w="129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262.72</w:t>
            </w:r>
          </w:p>
        </w:tc>
        <w:tc>
          <w:tcPr>
            <w:tcW w:w="1145" w:type="dxa"/>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262.72</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9、建设西垸水委会</w:t>
            </w:r>
          </w:p>
        </w:tc>
        <w:tc>
          <w:tcPr>
            <w:tcW w:w="129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104.46</w:t>
            </w:r>
          </w:p>
        </w:tc>
        <w:tc>
          <w:tcPr>
            <w:tcW w:w="1145" w:type="dxa"/>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104.46</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29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465" w:type="dxa"/>
            <w:gridSpan w:val="7"/>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29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4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5"/>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29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4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19822.03</w:t>
            </w:r>
          </w:p>
        </w:tc>
        <w:tc>
          <w:tcPr>
            <w:tcW w:w="11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2271.92</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2163.56</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108.36</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17550.11</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6085</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18032.07</w:t>
            </w:r>
          </w:p>
        </w:tc>
        <w:tc>
          <w:tcPr>
            <w:tcW w:w="11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481.96</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437.59</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44.37</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17550.11</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6085</w:t>
            </w:r>
          </w:p>
        </w:tc>
        <w:tc>
          <w:tcPr>
            <w:tcW w:w="625" w:type="dxa"/>
            <w:tcBorders>
              <w:left w:val="single" w:color="auto" w:sz="4" w:space="0"/>
            </w:tcBorders>
            <w:vAlign w:val="center"/>
          </w:tcPr>
          <w:p>
            <w:pPr>
              <w:tabs>
                <w:tab w:val="left" w:pos="420"/>
              </w:tabs>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2、钱南垸水委会</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186.35</w:t>
            </w:r>
          </w:p>
        </w:tc>
        <w:tc>
          <w:tcPr>
            <w:tcW w:w="11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186.35</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179.79</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6.56</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3、钱北垸水委会</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113.24</w:t>
            </w:r>
          </w:p>
        </w:tc>
        <w:tc>
          <w:tcPr>
            <w:tcW w:w="11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113.24</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105.86</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7.38</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4、君山垸电排</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232.24</w:t>
            </w:r>
          </w:p>
        </w:tc>
        <w:tc>
          <w:tcPr>
            <w:tcW w:w="11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232.24</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222.94</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9.30</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5、建设垸水委会</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283.62</w:t>
            </w:r>
          </w:p>
        </w:tc>
        <w:tc>
          <w:tcPr>
            <w:tcW w:w="11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283.62</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275.42</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8.2</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90"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6、钱粮湖电排</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422.02</w:t>
            </w:r>
          </w:p>
        </w:tc>
        <w:tc>
          <w:tcPr>
            <w:tcW w:w="11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422.02</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407.52</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14.5</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7、建设垸电排总站</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190.56</w:t>
            </w:r>
          </w:p>
        </w:tc>
        <w:tc>
          <w:tcPr>
            <w:tcW w:w="11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190.56</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185.91</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4.65</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8、君山垸水利管理委员会</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265.39</w:t>
            </w:r>
          </w:p>
        </w:tc>
        <w:tc>
          <w:tcPr>
            <w:tcW w:w="11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265.39</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255</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10.39</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9、建设西垸水委会</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96.54</w:t>
            </w:r>
          </w:p>
        </w:tc>
        <w:tc>
          <w:tcPr>
            <w:tcW w:w="11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96.54</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93.53</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3.01</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29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810" w:type="dxa"/>
            <w:gridSpan w:val="11"/>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29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48.68</w:t>
            </w:r>
          </w:p>
        </w:tc>
        <w:tc>
          <w:tcPr>
            <w:tcW w:w="11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4.26</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44.42</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35.85</w:t>
            </w:r>
          </w:p>
        </w:tc>
        <w:tc>
          <w:tcPr>
            <w:tcW w:w="11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4.26</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31.59</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2、钱南垸水委会</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0.6</w:t>
            </w:r>
          </w:p>
        </w:tc>
        <w:tc>
          <w:tcPr>
            <w:tcW w:w="11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0.6</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3、钱北垸水委会</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2.15</w:t>
            </w:r>
          </w:p>
        </w:tc>
        <w:tc>
          <w:tcPr>
            <w:tcW w:w="11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2.15</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4、君山垸电排</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1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5、建设垸水委会</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2.30</w:t>
            </w:r>
          </w:p>
        </w:tc>
        <w:tc>
          <w:tcPr>
            <w:tcW w:w="11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6、钱粮湖电排</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1.65</w:t>
            </w:r>
          </w:p>
        </w:tc>
        <w:tc>
          <w:tcPr>
            <w:tcW w:w="11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1.65</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7、建设垸电排总站</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0.62</w:t>
            </w:r>
          </w:p>
        </w:tc>
        <w:tc>
          <w:tcPr>
            <w:tcW w:w="11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0.62</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8、君山垸水利管理委员会</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3.51</w:t>
            </w:r>
          </w:p>
        </w:tc>
        <w:tc>
          <w:tcPr>
            <w:tcW w:w="11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3.51</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9、建设西垸水委会</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2.00</w:t>
            </w:r>
          </w:p>
        </w:tc>
        <w:tc>
          <w:tcPr>
            <w:tcW w:w="11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29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869" w:type="dxa"/>
            <w:gridSpan w:val="9"/>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29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2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3696.66</w:t>
            </w:r>
          </w:p>
        </w:tc>
        <w:tc>
          <w:tcPr>
            <w:tcW w:w="222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3696.66</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256.36</w:t>
            </w:r>
          </w:p>
        </w:tc>
        <w:tc>
          <w:tcPr>
            <w:tcW w:w="222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256.36</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2、钱南垸水委会</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13.17</w:t>
            </w:r>
          </w:p>
        </w:tc>
        <w:tc>
          <w:tcPr>
            <w:tcW w:w="222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13.17</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3、钱北垸水委会</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2.31</w:t>
            </w:r>
          </w:p>
        </w:tc>
        <w:tc>
          <w:tcPr>
            <w:tcW w:w="222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2.31</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4、君山垸电排</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676.35</w:t>
            </w:r>
          </w:p>
        </w:tc>
        <w:tc>
          <w:tcPr>
            <w:tcW w:w="222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676.35</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5、建设垸水委会</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114.13</w:t>
            </w:r>
          </w:p>
        </w:tc>
        <w:tc>
          <w:tcPr>
            <w:tcW w:w="222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114.13</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6、钱粮湖电排</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966.57</w:t>
            </w:r>
          </w:p>
        </w:tc>
        <w:tc>
          <w:tcPr>
            <w:tcW w:w="222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966.57</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7、建设垸电排总站</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253.9</w:t>
            </w:r>
          </w:p>
        </w:tc>
        <w:tc>
          <w:tcPr>
            <w:tcW w:w="222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253.9</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8、君山垸水利管理委员会</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1406.43</w:t>
            </w:r>
          </w:p>
        </w:tc>
        <w:tc>
          <w:tcPr>
            <w:tcW w:w="222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1406.43</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9、建设西垸水委会</w:t>
            </w:r>
          </w:p>
        </w:tc>
        <w:tc>
          <w:tcPr>
            <w:tcW w:w="129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7.44</w:t>
            </w:r>
          </w:p>
        </w:tc>
        <w:tc>
          <w:tcPr>
            <w:tcW w:w="222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7.44</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567"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目标1：以安全度汛为第一目标，抓防汛抗灾，搞好调度服务。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目标2：以夯实基础为第一要务，抓水利工程，搞好建设监管。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目标3：以依法治水管水位核心，全力整治水生态环境，创建“水清”环境。</w:t>
            </w:r>
          </w:p>
        </w:tc>
        <w:tc>
          <w:tcPr>
            <w:tcW w:w="4585" w:type="dxa"/>
            <w:gridSpan w:val="9"/>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2020年发生了新中国成立以来第五、本世纪以来第二高洪，全区没有出现大的险情，没有发生人员伤亡事件，取得了防汛抗旱“五个确保”的全面胜利。</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2020年，良心堡、方台湖安全区建设已完成土方90万方，分洪闸工程已安装闸门28座，启闭机房已基本完工，长江补水暨华洪运河河湖连通已全面完成。已完工程和险工段整治工程在今年防汛抗灾过程中发挥了良好的作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构建了“河长+警长、乡镇办事员+河湖保洁员”的“两长两员”管理体系。把整改问题作为推进河长制的重点，积极整改中央、省、市交办问题和“洞庭清波”行动问题。整改“清四乱”问题15个，清理长江外滩欧美黑杨400余亩、清理洞庭湖欧美黑杨1800余亩。整改黑臭水体4处等。</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154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412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145"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981"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全区防洪保安全</w:t>
            </w:r>
          </w:p>
        </w:tc>
        <w:tc>
          <w:tcPr>
            <w:tcW w:w="2714" w:type="dxa"/>
            <w:gridSpan w:val="7"/>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145" w:type="dxa"/>
            <w:vMerge w:val="continue"/>
            <w:vAlign w:val="center"/>
          </w:tcPr>
          <w:p>
            <w:pPr>
              <w:spacing w:line="320" w:lineRule="exact"/>
              <w:rPr>
                <w:rFonts w:ascii="仿宋_GB2312" w:hAnsi="仿宋_GB2312" w:eastAsia="仿宋_GB2312" w:cs="仿宋_GB2312"/>
                <w:sz w:val="24"/>
              </w:rPr>
            </w:pPr>
          </w:p>
        </w:tc>
        <w:tc>
          <w:tcPr>
            <w:tcW w:w="2981"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水利工程续期达到安全度汛</w:t>
            </w:r>
          </w:p>
        </w:tc>
        <w:tc>
          <w:tcPr>
            <w:tcW w:w="2714" w:type="dxa"/>
            <w:gridSpan w:val="7"/>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145" w:type="dxa"/>
            <w:vMerge w:val="continue"/>
            <w:vAlign w:val="center"/>
          </w:tcPr>
          <w:p>
            <w:pPr>
              <w:spacing w:line="320" w:lineRule="exact"/>
              <w:rPr>
                <w:rFonts w:ascii="仿宋_GB2312" w:hAnsi="仿宋_GB2312" w:eastAsia="仿宋_GB2312" w:cs="仿宋_GB2312"/>
                <w:sz w:val="24"/>
              </w:rPr>
            </w:pPr>
          </w:p>
        </w:tc>
        <w:tc>
          <w:tcPr>
            <w:tcW w:w="2981"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水利工程建设达到设计标准</w:t>
            </w:r>
          </w:p>
        </w:tc>
        <w:tc>
          <w:tcPr>
            <w:tcW w:w="2714" w:type="dxa"/>
            <w:gridSpan w:val="7"/>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145"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981"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防汛抗旱全区覆盖率</w:t>
            </w:r>
          </w:p>
        </w:tc>
        <w:tc>
          <w:tcPr>
            <w:tcW w:w="2714" w:type="dxa"/>
            <w:gridSpan w:val="7"/>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145" w:type="dxa"/>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981"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完成年度水利工程建设项目</w:t>
            </w:r>
          </w:p>
        </w:tc>
        <w:tc>
          <w:tcPr>
            <w:tcW w:w="2714" w:type="dxa"/>
            <w:gridSpan w:val="7"/>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98</w:t>
            </w:r>
            <w:r>
              <w:rPr>
                <w:rFonts w:hint="eastAsia" w:ascii="仿宋_GB2312" w:hAnsi="仿宋_GB2312" w:eastAsia="仿宋_GB2312" w:cs="仿宋_GB2312"/>
                <w:b/>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145"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981"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指标1：各项工作按计划日程安排</w:t>
            </w:r>
          </w:p>
        </w:tc>
        <w:tc>
          <w:tcPr>
            <w:tcW w:w="2714" w:type="dxa"/>
            <w:gridSpan w:val="7"/>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99</w:t>
            </w:r>
            <w:r>
              <w:rPr>
                <w:rFonts w:hint="eastAsia" w:ascii="仿宋_GB2312" w:hAnsi="仿宋_GB2312" w:eastAsia="仿宋_GB2312" w:cs="仿宋_GB2312"/>
                <w:b/>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145" w:type="dxa"/>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981"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指标2：资金按使用计划下达</w:t>
            </w:r>
          </w:p>
        </w:tc>
        <w:tc>
          <w:tcPr>
            <w:tcW w:w="2714" w:type="dxa"/>
            <w:gridSpan w:val="7"/>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145"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981"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指标1：全年排渍电费</w:t>
            </w:r>
          </w:p>
        </w:tc>
        <w:tc>
          <w:tcPr>
            <w:tcW w:w="2714" w:type="dxa"/>
            <w:gridSpan w:val="7"/>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649.65万元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145" w:type="dxa"/>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981"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人均公用经费支出</w:t>
            </w:r>
          </w:p>
        </w:tc>
        <w:tc>
          <w:tcPr>
            <w:tcW w:w="2714" w:type="dxa"/>
            <w:gridSpan w:val="7"/>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0.56万元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14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981"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防汛抗旱效果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指标2：营造全民爱水护水好氛围</w:t>
            </w:r>
          </w:p>
        </w:tc>
        <w:tc>
          <w:tcPr>
            <w:tcW w:w="2714" w:type="dxa"/>
            <w:gridSpan w:val="7"/>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优秀</w:t>
            </w:r>
          </w:p>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14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981"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年非税收入32万元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汛期开机运行小时数</w:t>
            </w:r>
          </w:p>
        </w:tc>
        <w:tc>
          <w:tcPr>
            <w:tcW w:w="2714" w:type="dxa"/>
            <w:gridSpan w:val="7"/>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146.77万元</w:t>
            </w:r>
          </w:p>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4.35万小时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14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981"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指标1：维护良好水事秩序</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指标2：创建良好水生态环境</w:t>
            </w:r>
          </w:p>
        </w:tc>
        <w:tc>
          <w:tcPr>
            <w:tcW w:w="2714" w:type="dxa"/>
            <w:gridSpan w:val="7"/>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优秀</w:t>
            </w:r>
          </w:p>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5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14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981"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水利发展资金项目区收益群众满意度调查</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河长制</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工作</w:t>
            </w:r>
            <w:r>
              <w:rPr>
                <w:rFonts w:hint="eastAsia" w:ascii="仿宋_GB2312" w:hAnsi="仿宋_GB2312" w:eastAsia="仿宋_GB2312" w:cs="仿宋_GB2312"/>
                <w:color w:val="000000"/>
                <w:sz w:val="24"/>
              </w:rPr>
              <w:t>满意度</w:t>
            </w:r>
            <w:r>
              <w:rPr>
                <w:rFonts w:hint="eastAsia" w:ascii="仿宋_GB2312" w:hAnsi="仿宋_GB2312" w:eastAsia="仿宋_GB2312" w:cs="仿宋_GB2312"/>
                <w:color w:val="000000"/>
                <w:sz w:val="24"/>
                <w:lang w:val="en-US" w:eastAsia="zh-CN"/>
              </w:rPr>
              <w:t>调查</w:t>
            </w:r>
          </w:p>
        </w:tc>
        <w:tc>
          <w:tcPr>
            <w:tcW w:w="2714" w:type="dxa"/>
            <w:gridSpan w:val="7"/>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99分</w:t>
            </w:r>
          </w:p>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99分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567" w:hRule="atLeast"/>
          <w:jc w:val="center"/>
        </w:trPr>
        <w:tc>
          <w:tcPr>
            <w:tcW w:w="299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1"/>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567" w:hRule="atLeast"/>
          <w:jc w:val="center"/>
        </w:trPr>
        <w:tc>
          <w:tcPr>
            <w:tcW w:w="299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1"/>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80"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133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370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万越</w:t>
            </w:r>
          </w:p>
        </w:tc>
        <w:tc>
          <w:tcPr>
            <w:tcW w:w="133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局长</w:t>
            </w:r>
          </w:p>
        </w:tc>
        <w:tc>
          <w:tcPr>
            <w:tcW w:w="370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岳阳市君山区水利局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白帮红</w:t>
            </w:r>
          </w:p>
        </w:tc>
        <w:tc>
          <w:tcPr>
            <w:tcW w:w="133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副局长</w:t>
            </w:r>
          </w:p>
        </w:tc>
        <w:tc>
          <w:tcPr>
            <w:tcW w:w="370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岳阳市君山区水利局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陈力</w:t>
            </w:r>
          </w:p>
        </w:tc>
        <w:tc>
          <w:tcPr>
            <w:tcW w:w="133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计财股股长</w:t>
            </w:r>
          </w:p>
        </w:tc>
        <w:tc>
          <w:tcPr>
            <w:tcW w:w="370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岳阳市君山区水利局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2722" w:hRule="atLeast"/>
          <w:jc w:val="center"/>
        </w:trPr>
        <w:tc>
          <w:tcPr>
            <w:tcW w:w="9800"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2722" w:hRule="atLeast"/>
          <w:jc w:val="center"/>
        </w:trPr>
        <w:tc>
          <w:tcPr>
            <w:tcW w:w="9800"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30" w:type="dxa"/>
          <w:trHeight w:val="2794" w:hRule="atLeast"/>
          <w:jc w:val="center"/>
        </w:trPr>
        <w:tc>
          <w:tcPr>
            <w:tcW w:w="9800" w:type="dxa"/>
            <w:gridSpan w:val="15"/>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财政部门归口业务股室负责人（签章）：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君山区水利局的主要职责是负责保障水资源的合理开发利用、负责生活、生产经营和生态环境用水的统筹和保障、按规定制定水利工程建设和运行管理有关制度并组织实施、指导水资源保护工作、组织开展水资源调查评价和水资源承载能力监测预警工作、组织指导水利工程设施、水域、滩涂及其岸线的管理、保护与综合利用等。下设水旱灾害防御事务中心、水政大队等2个副科级单位及5个水委会3个电排站。现人数372人，其中：在职192人，退休180人。</w:t>
            </w:r>
          </w:p>
          <w:p>
            <w:pPr>
              <w:numPr>
                <w:ilvl w:val="0"/>
                <w:numId w:val="2"/>
              </w:num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w:t>
            </w:r>
            <w:r>
              <w:rPr>
                <w:rFonts w:ascii="仿宋_GB2312" w:hAnsi="仿宋_GB2312" w:eastAsia="仿宋_GB2312" w:cs="仿宋_GB2312"/>
                <w:bCs/>
                <w:sz w:val="28"/>
                <w:szCs w:val="28"/>
              </w:rPr>
              <w:t>年我局全年收入总计</w:t>
            </w:r>
            <w:r>
              <w:rPr>
                <w:rFonts w:hint="eastAsia" w:ascii="仿宋_GB2312" w:hAnsi="仿宋_GB2312" w:eastAsia="仿宋_GB2312" w:cs="仿宋_GB2312"/>
                <w:bCs/>
                <w:sz w:val="28"/>
                <w:szCs w:val="28"/>
              </w:rPr>
              <w:t>25907.03</w:t>
            </w:r>
            <w:r>
              <w:rPr>
                <w:rFonts w:ascii="仿宋_GB2312" w:hAnsi="仿宋_GB2312" w:eastAsia="仿宋_GB2312" w:cs="仿宋_GB2312"/>
                <w:bCs/>
                <w:sz w:val="28"/>
                <w:szCs w:val="28"/>
              </w:rPr>
              <w:t>万元。其中</w:t>
            </w:r>
            <w:r>
              <w:rPr>
                <w:rFonts w:hint="eastAsia" w:ascii="仿宋_GB2312" w:hAnsi="仿宋_GB2312" w:eastAsia="仿宋_GB2312" w:cs="仿宋_GB2312"/>
                <w:bCs/>
                <w:sz w:val="28"/>
                <w:szCs w:val="28"/>
              </w:rPr>
              <w:t>一般公共预算</w:t>
            </w:r>
            <w:r>
              <w:rPr>
                <w:rFonts w:ascii="仿宋_GB2312" w:hAnsi="仿宋_GB2312" w:eastAsia="仿宋_GB2312" w:cs="仿宋_GB2312"/>
                <w:bCs/>
                <w:sz w:val="28"/>
                <w:szCs w:val="28"/>
              </w:rPr>
              <w:t>财政拨款收入</w:t>
            </w:r>
            <w:r>
              <w:rPr>
                <w:rFonts w:hint="eastAsia" w:ascii="仿宋_GB2312" w:hAnsi="仿宋_GB2312" w:eastAsia="仿宋_GB2312" w:cs="仿宋_GB2312"/>
                <w:bCs/>
                <w:sz w:val="28"/>
                <w:szCs w:val="28"/>
              </w:rPr>
              <w:t>24403.83</w:t>
            </w:r>
            <w:r>
              <w:rPr>
                <w:rFonts w:ascii="仿宋_GB2312" w:hAnsi="仿宋_GB2312" w:eastAsia="仿宋_GB2312" w:cs="仿宋_GB2312"/>
                <w:bCs/>
                <w:sz w:val="28"/>
                <w:szCs w:val="28"/>
              </w:rPr>
              <w:t>万元，</w:t>
            </w:r>
            <w:r>
              <w:rPr>
                <w:rFonts w:hint="eastAsia" w:ascii="仿宋_GB2312" w:hAnsi="仿宋_GB2312" w:eastAsia="仿宋_GB2312" w:cs="仿宋_GB2312"/>
                <w:bCs/>
                <w:sz w:val="28"/>
                <w:szCs w:val="28"/>
              </w:rPr>
              <w:t>政府性基金预算财政拨款收入1503.20万元</w:t>
            </w:r>
            <w:r>
              <w:rPr>
                <w:rFonts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w:t>
            </w:r>
            <w:r>
              <w:rPr>
                <w:rFonts w:ascii="仿宋_GB2312" w:hAnsi="仿宋_GB2312" w:eastAsia="仿宋_GB2312" w:cs="仿宋_GB2312"/>
                <w:bCs/>
                <w:sz w:val="28"/>
                <w:szCs w:val="28"/>
              </w:rPr>
              <w:t>年我局全年支出总计</w:t>
            </w:r>
            <w:r>
              <w:rPr>
                <w:rFonts w:hint="eastAsia" w:ascii="仿宋_GB2312" w:hAnsi="仿宋_GB2312" w:eastAsia="仿宋_GB2312" w:cs="仿宋_GB2312"/>
                <w:bCs/>
                <w:sz w:val="28"/>
                <w:szCs w:val="28"/>
              </w:rPr>
              <w:t>25907.03</w:t>
            </w:r>
            <w:r>
              <w:rPr>
                <w:rFonts w:ascii="仿宋_GB2312" w:hAnsi="仿宋_GB2312" w:eastAsia="仿宋_GB2312" w:cs="仿宋_GB2312"/>
                <w:bCs/>
                <w:sz w:val="28"/>
                <w:szCs w:val="28"/>
              </w:rPr>
              <w:t>万元。其中：1．一般公共服务支出</w:t>
            </w:r>
            <w:r>
              <w:rPr>
                <w:rFonts w:hint="eastAsia" w:ascii="仿宋_GB2312" w:hAnsi="仿宋_GB2312" w:eastAsia="仿宋_GB2312" w:cs="仿宋_GB2312"/>
                <w:bCs/>
                <w:sz w:val="28"/>
                <w:szCs w:val="28"/>
              </w:rPr>
              <w:t>134.38</w:t>
            </w:r>
            <w:r>
              <w:rPr>
                <w:rFonts w:ascii="仿宋_GB2312" w:hAnsi="仿宋_GB2312" w:eastAsia="仿宋_GB2312" w:cs="仿宋_GB2312"/>
                <w:bCs/>
                <w:sz w:val="28"/>
                <w:szCs w:val="28"/>
              </w:rPr>
              <w:t>万元，主要用于单位业务发展而发生的项目支出和为保证日常运转发生的基本支出。2．社会保障和就业支出</w:t>
            </w:r>
            <w:r>
              <w:rPr>
                <w:rFonts w:hint="eastAsia" w:ascii="仿宋_GB2312" w:hAnsi="仿宋_GB2312" w:eastAsia="仿宋_GB2312" w:cs="仿宋_GB2312"/>
                <w:bCs/>
                <w:sz w:val="28"/>
                <w:szCs w:val="28"/>
              </w:rPr>
              <w:t>484.17</w:t>
            </w:r>
            <w:r>
              <w:rPr>
                <w:rFonts w:ascii="仿宋_GB2312" w:hAnsi="仿宋_GB2312" w:eastAsia="仿宋_GB2312" w:cs="仿宋_GB2312"/>
                <w:bCs/>
                <w:sz w:val="28"/>
                <w:szCs w:val="28"/>
              </w:rPr>
              <w:t>万元，主要用于社会保障和就业的人员经费、公用经费和项目支出。</w:t>
            </w:r>
            <w:r>
              <w:rPr>
                <w:rFonts w:hint="eastAsia" w:ascii="仿宋_GB2312" w:hAnsi="仿宋_GB2312" w:eastAsia="仿宋_GB2312" w:cs="仿宋_GB2312"/>
                <w:bCs/>
                <w:sz w:val="28"/>
                <w:szCs w:val="28"/>
              </w:rPr>
              <w:t>3、卫生健康支出114.10万元，主要用于行政事业单位交纳医疗保险金。4、节能环保支出265.37万元。5、城乡社区支出333万元。6、农林水支出16928.12万元。7、住房保障支出152.68万元，主要用于交纳住房公积金支出。8、灾害防治及应急管理支出240万元。9、抗疫特别国债安排支出1170.2万元。</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w:t>
            </w:r>
            <w:r>
              <w:rPr>
                <w:rFonts w:ascii="仿宋_GB2312" w:hAnsi="仿宋_GB2312" w:eastAsia="仿宋_GB2312" w:cs="仿宋_GB2312"/>
                <w:bCs/>
                <w:sz w:val="28"/>
                <w:szCs w:val="28"/>
              </w:rPr>
              <w:t>年我局全年基本支出</w:t>
            </w:r>
            <w:r>
              <w:rPr>
                <w:rFonts w:hint="eastAsia" w:ascii="仿宋_GB2312" w:hAnsi="仿宋_GB2312" w:eastAsia="仿宋_GB2312" w:cs="仿宋_GB2312"/>
                <w:bCs/>
                <w:sz w:val="28"/>
                <w:szCs w:val="28"/>
              </w:rPr>
              <w:t>2271.91</w:t>
            </w:r>
            <w:r>
              <w:rPr>
                <w:rFonts w:ascii="仿宋_GB2312" w:hAnsi="仿宋_GB2312" w:eastAsia="仿宋_GB2312" w:cs="仿宋_GB2312"/>
                <w:bCs/>
                <w:sz w:val="28"/>
                <w:szCs w:val="28"/>
              </w:rPr>
              <w:t>万元，其中：人员经费</w:t>
            </w:r>
            <w:r>
              <w:rPr>
                <w:rFonts w:hint="eastAsia" w:ascii="仿宋_GB2312" w:hAnsi="仿宋_GB2312" w:eastAsia="仿宋_GB2312" w:cs="仿宋_GB2312"/>
                <w:bCs/>
                <w:sz w:val="28"/>
                <w:szCs w:val="28"/>
              </w:rPr>
              <w:t>2163.55</w:t>
            </w:r>
            <w:r>
              <w:rPr>
                <w:rFonts w:ascii="仿宋_GB2312" w:hAnsi="仿宋_GB2312" w:eastAsia="仿宋_GB2312" w:cs="仿宋_GB2312"/>
                <w:bCs/>
                <w:sz w:val="28"/>
                <w:szCs w:val="28"/>
              </w:rPr>
              <w:t>万元，主要包括：基本工资、津贴补贴、奖金、社会保障缴费、其他工资福利支出、退休费、生活补助、抚恤金、医疗费、奖励金、住房公积金、其他对个人和家庭的补助支出；日常公用支出</w:t>
            </w:r>
            <w:r>
              <w:rPr>
                <w:rFonts w:hint="eastAsia" w:ascii="仿宋_GB2312" w:hAnsi="仿宋_GB2312" w:eastAsia="仿宋_GB2312" w:cs="仿宋_GB2312"/>
                <w:bCs/>
                <w:sz w:val="28"/>
                <w:szCs w:val="28"/>
              </w:rPr>
              <w:t>108.36</w:t>
            </w:r>
            <w:r>
              <w:rPr>
                <w:rFonts w:ascii="仿宋_GB2312" w:hAnsi="仿宋_GB2312" w:eastAsia="仿宋_GB2312" w:cs="仿宋_GB2312"/>
                <w:bCs/>
                <w:sz w:val="28"/>
                <w:szCs w:val="28"/>
              </w:rPr>
              <w:t>万元，主要包括：办公费、电费、邮电费、差旅费、维修（护）费、培训费、公务接待费、劳务费、工会经费、公务用车运行维护费、其他商品和服务支出等。</w:t>
            </w:r>
            <w:r>
              <w:rPr>
                <w:rFonts w:hint="eastAsia" w:ascii="仿宋_GB2312" w:hAnsi="仿宋_GB2312" w:eastAsia="仿宋_GB2312" w:cs="仿宋_GB2312"/>
                <w:bCs/>
                <w:sz w:val="28"/>
                <w:szCs w:val="28"/>
              </w:rPr>
              <w:t>三公经费总支出48.68万元，其中：公务接待费4.26万元，公务用车运维费44.42万元。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2020年我局专项资金安排金额17550.12万元，全部按预算安排项目落实并投入使用，其中：</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其他发展与改革事务支出1001.84万元；2、审计业务支出24万元；3、其他环境保护管理事务支出79.64万元；4、水体支出100万元；5、其他节能环保支出85.73万元；6、其他国有土地使用权出让收入安排的支出333万元；7、行政运行支出73.29；8、机关服务39.02万元；9、水利行业业务管理28万元；10、水利工程建设支出10407.2万元；11、水利工程286万元；12、水资源节约管理与保护13万元；13、防汛支出98.8万元；14、农村水利支出4409万元；15、其他水利支出63.05万元；16、自然灾害救灾补助240万元；17、其他抗灾相关支出1170.2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rPr>
              <w:t>20</w:t>
            </w:r>
            <w:r>
              <w:rPr>
                <w:rFonts w:ascii="仿宋_GB2312" w:hAnsi="仿宋_GB2312" w:eastAsia="仿宋_GB2312" w:cs="仿宋_GB2312"/>
                <w:bCs/>
                <w:sz w:val="28"/>
                <w:szCs w:val="28"/>
              </w:rPr>
              <w:t>年我局</w:t>
            </w:r>
            <w:r>
              <w:rPr>
                <w:rFonts w:hint="eastAsia" w:ascii="仿宋_GB2312" w:hAnsi="仿宋_GB2312" w:eastAsia="仿宋_GB2312" w:cs="仿宋_GB2312"/>
                <w:bCs/>
                <w:sz w:val="28"/>
                <w:szCs w:val="28"/>
              </w:rPr>
              <w:t>专项</w:t>
            </w:r>
            <w:r>
              <w:rPr>
                <w:rFonts w:ascii="仿宋_GB2312" w:hAnsi="仿宋_GB2312" w:eastAsia="仿宋_GB2312" w:cs="仿宋_GB2312"/>
                <w:bCs/>
                <w:sz w:val="28"/>
                <w:szCs w:val="28"/>
              </w:rPr>
              <w:t>支出为</w:t>
            </w:r>
            <w:r>
              <w:rPr>
                <w:rFonts w:hint="eastAsia" w:ascii="仿宋_GB2312" w:hAnsi="仿宋_GB2312" w:eastAsia="仿宋_GB2312" w:cs="仿宋_GB2312"/>
                <w:bCs/>
                <w:sz w:val="28"/>
                <w:szCs w:val="28"/>
              </w:rPr>
              <w:t>17550.12</w:t>
            </w:r>
            <w:r>
              <w:rPr>
                <w:rFonts w:ascii="仿宋_GB2312" w:hAnsi="仿宋_GB2312" w:eastAsia="仿宋_GB2312" w:cs="仿宋_GB2312"/>
                <w:bCs/>
                <w:sz w:val="28"/>
                <w:szCs w:val="28"/>
              </w:rPr>
              <w:t>万元，其中：1</w:t>
            </w:r>
            <w:r>
              <w:rPr>
                <w:rFonts w:hint="eastAsia" w:ascii="仿宋_GB2312" w:hAnsi="仿宋_GB2312" w:eastAsia="仿宋_GB2312" w:cs="仿宋_GB2312"/>
                <w:bCs/>
                <w:sz w:val="28"/>
                <w:szCs w:val="28"/>
              </w:rPr>
              <w:t>、其他发展与改革事务支出1001.84万元；2、审计业务支出24万元；3、其他环境保护管理事务支出79.64万元；4、水体支出100万元；5、其他节能环保支出85.73万元；6、其他国有土地使用权出让收入安排的支出333万元；7、行政运行支出73.29；8、机关服务39.02万元；9、水利行业业务管理28万元；10、水利工程建设支出10407.2万元；11、水利工程286万元；12、水资源节约管理与保护13万元；13、防汛支出98.8万元；14、农村水利支出4409万元；15、其他水利支出63.05万元；16、自然灾害救灾补助240万元；17、其他抗灾相关支出1170.2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为了加强专项资金管理，严格按照规定要求，建设项目单独建账，单独核算，专人负责，专款专用。在资金使用过程中，严把监督审核关，建立健全内部审批制度。</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严格执行《君山区水利工程项目建设管理中心责任制度》、《君山区水利工程质量管理制度》、《水利项目安全管理制度》。</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项目实施计划，未经批准，不得随意变更建设内容。在项目建设过程中，主动协调建设工地上各施工企业与配套单位之间的关系，使他们都能在各自的工作范围内行使各自的工作职责；工程监理人员按“四控制”“两管理”“一协调”工作规范执行；根据项目监督和工作计划规定，进行定期和不定期检查，对出现的问题立即进行处理，确保了工程质量和工程进度。</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w:t>
            </w:r>
            <w:r>
              <w:rPr>
                <w:rFonts w:ascii="仿宋_GB2312" w:hAnsi="仿宋_GB2312" w:eastAsia="仿宋_GB2312" w:cs="仿宋_GB2312"/>
                <w:bCs/>
                <w:sz w:val="28"/>
                <w:szCs w:val="28"/>
              </w:rPr>
              <w:t>年，根据局年初工作规划和重点性工作安排，各</w:t>
            </w:r>
            <w:r>
              <w:rPr>
                <w:rFonts w:hint="eastAsia" w:ascii="仿宋_GB2312" w:hAnsi="仿宋_GB2312" w:eastAsia="仿宋_GB2312" w:cs="仿宋_GB2312"/>
                <w:bCs/>
                <w:sz w:val="28"/>
                <w:szCs w:val="28"/>
              </w:rPr>
              <w:t>单位</w:t>
            </w:r>
            <w:r>
              <w:rPr>
                <w:rFonts w:ascii="仿宋_GB2312" w:hAnsi="仿宋_GB2312" w:eastAsia="仿宋_GB2312" w:cs="仿宋_GB2312"/>
                <w:bCs/>
                <w:sz w:val="28"/>
                <w:szCs w:val="28"/>
              </w:rPr>
              <w:t>和科室积极履职，强化管理，很好的完成了年度工作目标。通过加强预算收支管理，不断建立健全内部管理制度，梳理内部管理流程，部门整体支出管理情况得到提升。</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pPr>
              <w:spacing w:line="56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2、财务管理上，按照国家相关法律法规，制定了机关财务、公物购置使用、接待、会务、因公出国、车辆使用等管理制度，并严格按照制度管理和执行，防范风险，保证财政资金的安全和高效运行。</w:t>
            </w:r>
          </w:p>
          <w:p>
            <w:pPr>
              <w:numPr>
                <w:ilvl w:val="0"/>
                <w:numId w:val="3"/>
              </w:num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存在的主要问题</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1、预算编制有待更严格执行。预算编制与实际支出项目有的存在差异。</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2、预算拨付资金滞后。2020年度财政预算事业单位30%绩效部分，在年末才拨付到位，资金拨付滞后，以至年终资金结存过大。</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ascii="仿宋_GB2312" w:hAnsi="仿宋_GB2312" w:eastAsia="仿宋_GB2312" w:cs="仿宋_GB2312"/>
                <w:bCs/>
                <w:sz w:val="28"/>
                <w:szCs w:val="28"/>
              </w:rPr>
              <w:t>内部管理</w:t>
            </w:r>
            <w:r>
              <w:rPr>
                <w:rFonts w:hint="eastAsia" w:ascii="仿宋_GB2312" w:hAnsi="仿宋_GB2312" w:eastAsia="仿宋_GB2312" w:cs="仿宋_GB2312"/>
                <w:bCs/>
                <w:sz w:val="28"/>
                <w:szCs w:val="28"/>
              </w:rPr>
              <w:t>中</w:t>
            </w:r>
            <w:r>
              <w:rPr>
                <w:rFonts w:ascii="仿宋_GB2312" w:hAnsi="仿宋_GB2312" w:eastAsia="仿宋_GB2312" w:cs="仿宋_GB2312"/>
                <w:bCs/>
                <w:sz w:val="28"/>
                <w:szCs w:val="28"/>
              </w:rPr>
              <w:t>人员较少，有些人身兼多个岗位。</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ascii="仿宋_GB2312" w:hAnsi="仿宋_GB2312" w:eastAsia="仿宋_GB2312" w:cs="仿宋_GB2312"/>
                <w:bCs/>
                <w:sz w:val="28"/>
                <w:szCs w:val="28"/>
              </w:rPr>
              <w:t>资产核算</w:t>
            </w:r>
            <w:r>
              <w:rPr>
                <w:rFonts w:hint="eastAsia" w:ascii="仿宋_GB2312" w:hAnsi="仿宋_GB2312" w:eastAsia="仿宋_GB2312" w:cs="仿宋_GB2312"/>
                <w:bCs/>
                <w:sz w:val="28"/>
                <w:szCs w:val="28"/>
              </w:rPr>
              <w:t>实际操作中</w:t>
            </w:r>
            <w:r>
              <w:rPr>
                <w:rFonts w:ascii="仿宋_GB2312" w:hAnsi="仿宋_GB2312" w:eastAsia="仿宋_GB2312" w:cs="仿宋_GB2312"/>
                <w:bCs/>
                <w:sz w:val="28"/>
                <w:szCs w:val="28"/>
              </w:rPr>
              <w:t>不能使用的资产不能及时报废核销。</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Cs/>
                <w:sz w:val="28"/>
                <w:szCs w:val="28"/>
              </w:rPr>
              <w:t>1、按照预算规定的项目和用途严格财务审核，经费支出严格按预算规定项目的财务支出内容进行财务核算，在预算金额内严格控制费用的支出。</w:t>
            </w:r>
          </w:p>
          <w:p>
            <w:pPr>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Cs/>
                <w:sz w:val="28"/>
                <w:szCs w:val="28"/>
              </w:rPr>
              <w:t>2、严格控制“三公经费”支出，杜绝挪用和挤占其他预算资金；进一步细化“三公经费”管理，压缩“三公经费”支出。</w:t>
            </w:r>
          </w:p>
          <w:p>
            <w:pPr>
              <w:spacing w:line="560" w:lineRule="exact"/>
              <w:ind w:firstLine="560" w:firstLineChars="200"/>
              <w:rPr>
                <w:rFonts w:eastAsia="楷体_GB2312"/>
                <w:bCs/>
                <w:sz w:val="28"/>
                <w:szCs w:val="28"/>
              </w:rPr>
            </w:pPr>
            <w:r>
              <w:rPr>
                <w:rFonts w:hint="eastAsia" w:ascii="仿宋_GB2312" w:hAnsi="仿宋_GB2312" w:eastAsia="仿宋_GB2312" w:cs="仿宋_GB2312"/>
                <w:bCs/>
                <w:sz w:val="28"/>
                <w:szCs w:val="28"/>
              </w:rPr>
              <w:t>3、预算财务分析常态化，定期做好预算支出财务分析，做好部门整体支出预算评价工作。</w:t>
            </w:r>
          </w:p>
        </w:tc>
      </w:tr>
    </w:tbl>
    <w:p>
      <w:r>
        <w:rPr>
          <w:rFonts w:eastAsia="楷体_GB2312"/>
          <w:bCs/>
          <w:sz w:val="28"/>
          <w:szCs w:val="28"/>
        </w:rPr>
        <w:br w:type="page"/>
      </w:r>
    </w:p>
    <w:p/>
    <w:p>
      <w:pPr>
        <w:rPr>
          <w:rFonts w:ascii="黑体" w:hAnsi="黑体" w:eastAsia="黑体"/>
          <w:sz w:val="32"/>
          <w:szCs w:val="32"/>
        </w:rPr>
      </w:pPr>
      <w:r>
        <w:rPr>
          <w:rFonts w:hint="eastAsia" w:ascii="黑体" w:hAnsi="黑体" w:eastAsia="黑体"/>
          <w:sz w:val="32"/>
          <w:szCs w:val="32"/>
        </w:rPr>
        <w:t>附件4-1</w:t>
      </w:r>
    </w:p>
    <w:p>
      <w:pPr>
        <w:spacing w:before="312" w:beforeLines="100" w:after="312" w:afterLines="100"/>
        <w:jc w:val="center"/>
        <w:rPr>
          <w:rFonts w:ascii="方正小标宋简体" w:eastAsia="方正小标宋简体"/>
          <w:sz w:val="36"/>
          <w:szCs w:val="36"/>
        </w:rPr>
      </w:pPr>
      <w:r>
        <w:rPr>
          <w:rFonts w:hint="eastAsia" w:ascii="方正小标宋简体" w:eastAsia="方正小标宋简体"/>
          <w:sz w:val="36"/>
          <w:szCs w:val="36"/>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tabs>
                <w:tab w:val="left" w:pos="330"/>
              </w:tabs>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政府采购率未达到100%</w:t>
            </w: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公务卡刷卡率未达到50%</w:t>
            </w: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bookmarkStart w:id="0" w:name="_GoBack"/>
            <w:bookmarkEnd w:id="0"/>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adjustRightInd w:val="0"/>
        <w:snapToGrid w:val="0"/>
        <w:spacing w:line="200" w:lineRule="exact"/>
        <w:contextualSpacing/>
        <w:jc w:val="right"/>
        <w:rPr>
          <w:rFonts w:eastAsia="仿宋_GB2312"/>
          <w:sz w:val="32"/>
        </w:rPr>
      </w:pPr>
    </w:p>
    <w:p>
      <w:pPr>
        <w:spacing w:line="160" w:lineRule="exact"/>
        <w:ind w:firstLine="504" w:firstLineChars="200"/>
        <w:jc w:val="right"/>
        <w:rPr>
          <w:rFonts w:eastAsia="仿宋_GB2312"/>
          <w:w w:val="90"/>
          <w:sz w:val="28"/>
        </w:rPr>
      </w:pPr>
    </w:p>
    <w:p>
      <w:pPr>
        <w:spacing w:line="160" w:lineRule="exact"/>
        <w:ind w:firstLine="504" w:firstLineChars="200"/>
        <w:jc w:val="right"/>
        <w:rPr>
          <w:rFonts w:eastAsia="仿宋_GB2312"/>
          <w:w w:val="90"/>
          <w:sz w:val="28"/>
        </w:rPr>
      </w:pPr>
    </w:p>
    <w:p>
      <w:pPr>
        <w:spacing w:line="160" w:lineRule="exact"/>
        <w:ind w:firstLine="504" w:firstLineChars="200"/>
        <w:jc w:val="right"/>
        <w:rPr>
          <w:rFonts w:eastAsia="仿宋_GB2312"/>
          <w:w w:val="90"/>
          <w:sz w:val="28"/>
        </w:rPr>
      </w:pPr>
    </w:p>
    <w:p>
      <w:pPr>
        <w:spacing w:line="160" w:lineRule="exact"/>
        <w:ind w:firstLine="504" w:firstLineChars="200"/>
        <w:jc w:val="right"/>
        <w:rPr>
          <w:rFonts w:eastAsia="仿宋_GB2312"/>
          <w:w w:val="90"/>
          <w:sz w:val="28"/>
        </w:rPr>
      </w:pPr>
    </w:p>
    <w:p>
      <w:pPr>
        <w:spacing w:line="160" w:lineRule="exact"/>
        <w:ind w:firstLine="504" w:firstLineChars="200"/>
        <w:jc w:val="right"/>
        <w:rPr>
          <w:rFonts w:eastAsia="仿宋_GB2312"/>
          <w:w w:val="90"/>
          <w:sz w:val="28"/>
        </w:rPr>
      </w:pPr>
    </w:p>
    <w:p>
      <w:pPr>
        <w:spacing w:line="160" w:lineRule="exact"/>
        <w:ind w:firstLine="504" w:firstLineChars="200"/>
        <w:jc w:val="right"/>
        <w:rPr>
          <w:rFonts w:eastAsia="仿宋_GB2312"/>
          <w:w w:val="90"/>
          <w:sz w:val="28"/>
        </w:rPr>
      </w:pPr>
    </w:p>
    <w:p>
      <w:pPr>
        <w:spacing w:line="160" w:lineRule="exact"/>
        <w:ind w:firstLine="504" w:firstLineChars="200"/>
        <w:jc w:val="right"/>
        <w:rPr>
          <w:rFonts w:eastAsia="仿宋_GB2312"/>
          <w:w w:val="90"/>
          <w:sz w:val="28"/>
        </w:rPr>
      </w:pPr>
    </w:p>
    <w:p>
      <w:pPr>
        <w:spacing w:line="160" w:lineRule="exact"/>
        <w:ind w:firstLine="504" w:firstLineChars="200"/>
        <w:jc w:val="right"/>
        <w:rPr>
          <w:rFonts w:eastAsia="仿宋_GB2312"/>
          <w:w w:val="90"/>
          <w:sz w:val="28"/>
        </w:rPr>
      </w:pPr>
    </w:p>
    <w:p>
      <w:pPr>
        <w:spacing w:line="160" w:lineRule="exact"/>
        <w:ind w:firstLine="504" w:firstLineChars="200"/>
        <w:jc w:val="right"/>
        <w:rPr>
          <w:rFonts w:eastAsia="仿宋_GB2312"/>
          <w:w w:val="90"/>
          <w:sz w:val="28"/>
        </w:rPr>
      </w:pPr>
    </w:p>
    <w:p>
      <w:pPr>
        <w:spacing w:line="160" w:lineRule="exact"/>
        <w:ind w:firstLine="504" w:firstLineChars="200"/>
        <w:jc w:val="right"/>
        <w:rPr>
          <w:rFonts w:eastAsia="仿宋_GB2312"/>
          <w:w w:val="90"/>
          <w:sz w:val="28"/>
        </w:rPr>
      </w:pPr>
    </w:p>
    <w:p>
      <w:pPr>
        <w:spacing w:line="160" w:lineRule="exact"/>
        <w:ind w:firstLine="504" w:firstLineChars="200"/>
        <w:jc w:val="right"/>
        <w:rPr>
          <w:rFonts w:eastAsia="仿宋_GB2312"/>
          <w:w w:val="90"/>
          <w:sz w:val="28"/>
        </w:rPr>
      </w:pPr>
    </w:p>
    <w:p>
      <w:pPr>
        <w:spacing w:line="160" w:lineRule="exact"/>
        <w:ind w:firstLine="504" w:firstLineChars="200"/>
        <w:jc w:val="right"/>
        <w:rPr>
          <w:rFonts w:eastAsia="仿宋_GB2312"/>
          <w:w w:val="90"/>
          <w:sz w:val="28"/>
        </w:rPr>
      </w:pPr>
    </w:p>
    <w:p>
      <w:pPr>
        <w:spacing w:line="160" w:lineRule="exact"/>
        <w:ind w:firstLine="504" w:firstLineChars="200"/>
        <w:jc w:val="right"/>
        <w:rPr>
          <w:rFonts w:eastAsia="仿宋_GB2312"/>
          <w:w w:val="90"/>
          <w:sz w:val="28"/>
        </w:rPr>
      </w:pPr>
    </w:p>
    <w:p>
      <w:pPr>
        <w:spacing w:line="160" w:lineRule="exact"/>
        <w:ind w:firstLine="504" w:firstLineChars="200"/>
        <w:jc w:val="right"/>
        <w:rPr>
          <w:rFonts w:eastAsia="仿宋_GB2312"/>
          <w:w w:val="90"/>
          <w:sz w:val="28"/>
        </w:rPr>
      </w:pPr>
    </w:p>
    <w:p>
      <w:pPr>
        <w:spacing w:line="160" w:lineRule="exact"/>
        <w:ind w:firstLine="504" w:firstLineChars="200"/>
        <w:jc w:val="right"/>
        <w:rPr>
          <w:rFonts w:eastAsia="仿宋_GB2312"/>
          <w:w w:val="90"/>
          <w:sz w:val="28"/>
        </w:rPr>
      </w:pPr>
    </w:p>
    <w:p>
      <w:pPr>
        <w:spacing w:line="160" w:lineRule="exact"/>
        <w:ind w:firstLine="504" w:firstLineChars="200"/>
        <w:jc w:val="right"/>
        <w:rPr>
          <w:rFonts w:eastAsia="仿宋_GB2312"/>
          <w:w w:val="90"/>
          <w:sz w:val="28"/>
        </w:rPr>
      </w:pPr>
    </w:p>
    <w:p>
      <w:pPr>
        <w:spacing w:line="160" w:lineRule="exact"/>
        <w:ind w:firstLine="504" w:firstLineChars="200"/>
        <w:jc w:val="right"/>
        <w:rPr>
          <w:rFonts w:eastAsia="仿宋_GB2312"/>
          <w:w w:val="90"/>
          <w:sz w:val="28"/>
        </w:rPr>
      </w:pPr>
    </w:p>
    <w:p>
      <w:pPr>
        <w:spacing w:line="160" w:lineRule="exact"/>
        <w:ind w:firstLine="504" w:firstLineChars="200"/>
        <w:jc w:val="right"/>
        <w:rPr>
          <w:rFonts w:eastAsia="仿宋_GB2312"/>
          <w:w w:val="90"/>
          <w:sz w:val="28"/>
        </w:rPr>
      </w:pPr>
    </w:p>
    <w:p>
      <w:pPr>
        <w:pBdr>
          <w:top w:val="single" w:color="auto" w:sz="6" w:space="4"/>
          <w:bottom w:val="single" w:color="auto" w:sz="6" w:space="1"/>
        </w:pBdr>
        <w:spacing w:before="62" w:beforeLines="20" w:line="440" w:lineRule="exact"/>
        <w:rPr>
          <w:rFonts w:eastAsia="仿宋_GB2312"/>
          <w:sz w:val="28"/>
          <w:szCs w:val="28"/>
        </w:rPr>
      </w:pPr>
    </w:p>
    <w:p>
      <w:pPr>
        <w:adjustRightInd w:val="0"/>
        <w:snapToGrid w:val="0"/>
        <w:spacing w:line="200" w:lineRule="exact"/>
        <w:ind w:right="560"/>
        <w:contextualSpacing/>
        <w:rPr>
          <w:rFonts w:ascii="仿宋_GB2312"/>
          <w:sz w:val="28"/>
          <w:szCs w:val="28"/>
        </w:rPr>
      </w:pPr>
      <w:r>
        <w:rPr>
          <w:rFonts w:hint="eastAsia" w:eastAsia="仿宋_GB2312"/>
          <w:sz w:val="28"/>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110490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25pt;margin-top:8.7pt;height:0pt;width:441pt;z-index:251660288;mso-width-relative:page;mso-height-relative:page;" filled="f" stroked="t" coordsize="21600,21600" o:gfxdata="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0Cc&#10;eNUAAAAIAQAADwAAAAAAAAABACAAAAAiAAAAZHJzL2Rvd25yZXYueG1sUEsBAhQAFAAAAAgAh07i&#10;QBPC7bDsAQAA2AMAAA4AAAAAAAAAAQAgAAAAJAEAAGRycy9lMm9Eb2MueG1sUEsFBgAAAAAGAAYA&#10;WQEAAIIFAAAAAA==&#10;">
                <v:fill on="f" focussize="0,0"/>
                <v:stroke color="#000000" joinstyle="round"/>
                <v:imagedata o:title=""/>
                <o:lock v:ext="edit" aspectratio="f"/>
              </v:line>
            </w:pict>
          </mc:Fallback>
        </mc:AlternateContent>
      </w:r>
    </w:p>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8"/>
                            </w:rPr>
                          </w:pPr>
                          <w:r>
                            <w:rPr>
                              <w:rStyle w:val="8"/>
                              <w:rFonts w:hint="eastAsia"/>
                            </w:rPr>
                            <w:t xml:space="preserve">— </w:t>
                          </w:r>
                          <w:r>
                            <w:fldChar w:fldCharType="begin"/>
                          </w:r>
                          <w:r>
                            <w:rPr>
                              <w:rStyle w:val="8"/>
                            </w:rPr>
                            <w:instrText xml:space="preserve">PAGE  </w:instrText>
                          </w:r>
                          <w:r>
                            <w:fldChar w:fldCharType="separate"/>
                          </w:r>
                          <w:r>
                            <w:rPr>
                              <w:rStyle w:val="8"/>
                            </w:rPr>
                            <w:t>1</w:t>
                          </w:r>
                          <w:r>
                            <w:fldChar w:fldCharType="end"/>
                          </w:r>
                          <w:r>
                            <w:rPr>
                              <w:rStyle w:val="8"/>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3"/>
                      <w:rPr>
                        <w:rStyle w:val="8"/>
                      </w:rPr>
                    </w:pPr>
                    <w:r>
                      <w:rPr>
                        <w:rStyle w:val="8"/>
                        <w:rFonts w:hint="eastAsia"/>
                      </w:rPr>
                      <w:t xml:space="preserve">— </w:t>
                    </w:r>
                    <w:r>
                      <w:fldChar w:fldCharType="begin"/>
                    </w:r>
                    <w:r>
                      <w:rPr>
                        <w:rStyle w:val="8"/>
                      </w:rPr>
                      <w:instrText xml:space="preserve">PAGE  </w:instrText>
                    </w:r>
                    <w:r>
                      <w:fldChar w:fldCharType="separate"/>
                    </w:r>
                    <w:r>
                      <w:rPr>
                        <w:rStyle w:val="8"/>
                      </w:rPr>
                      <w:t>1</w:t>
                    </w:r>
                    <w:r>
                      <w:fldChar w:fldCharType="end"/>
                    </w:r>
                    <w:r>
                      <w:rPr>
                        <w:rStyle w:val="8"/>
                        <w:rFonts w:hint="eastAsia"/>
                      </w:rPr>
                      <w:t xml:space="preserve"> —</w:t>
                    </w:r>
                  </w:p>
                </w:txbxContent>
              </v:textbox>
            </v:shape>
          </w:pict>
        </mc:Fallback>
      </mc:AlternateConten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6</w:t>
                          </w:r>
                          <w:r>
                            <w:rPr>
                              <w:sz w:val="24"/>
                              <w:szCs w:val="24"/>
                            </w:rPr>
                            <w:fldChar w:fldCharType="end"/>
                          </w:r>
                          <w:r>
                            <w:rPr>
                              <w:rStyle w:val="8"/>
                              <w:rFonts w:hint="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3"/>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6</w:t>
                    </w:r>
                    <w:r>
                      <w:rPr>
                        <w:sz w:val="24"/>
                        <w:szCs w:val="24"/>
                      </w:rPr>
                      <w:fldChar w:fldCharType="end"/>
                    </w:r>
                    <w:r>
                      <w:rPr>
                        <w:rStyle w:val="8"/>
                        <w:rFonts w:hint="eastAsia"/>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E0F82"/>
    <w:multiLevelType w:val="singleLevel"/>
    <w:tmpl w:val="F5EE0F82"/>
    <w:lvl w:ilvl="0" w:tentative="0">
      <w:start w:val="5"/>
      <w:numFmt w:val="chineseCounting"/>
      <w:suff w:val="nothing"/>
      <w:lvlText w:val="%1、"/>
      <w:lvlJc w:val="left"/>
      <w:rPr>
        <w:rFonts w:hint="eastAsia"/>
      </w:rPr>
    </w:lvl>
  </w:abstractNum>
  <w:abstractNum w:abstractNumId="1">
    <w:nsid w:val="07E40E74"/>
    <w:multiLevelType w:val="singleLevel"/>
    <w:tmpl w:val="07E40E74"/>
    <w:lvl w:ilvl="0" w:tentative="0">
      <w:start w:val="2"/>
      <w:numFmt w:val="chineseCounting"/>
      <w:suff w:val="nothing"/>
      <w:lvlText w:val="（%1）"/>
      <w:lvlJc w:val="left"/>
      <w:rPr>
        <w:rFonts w:hint="eastAsia"/>
      </w:rPr>
    </w:lvl>
  </w:abstractNum>
  <w:abstractNum w:abstractNumId="2">
    <w:nsid w:val="0B10B12A"/>
    <w:multiLevelType w:val="singleLevel"/>
    <w:tmpl w:val="0B10B12A"/>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A6F26"/>
    <w:rsid w:val="0046582C"/>
    <w:rsid w:val="004662AE"/>
    <w:rsid w:val="009D461C"/>
    <w:rsid w:val="00E66667"/>
    <w:rsid w:val="00E95F62"/>
    <w:rsid w:val="021F7ACC"/>
    <w:rsid w:val="02B07A61"/>
    <w:rsid w:val="05000B50"/>
    <w:rsid w:val="055A6F26"/>
    <w:rsid w:val="09950D4D"/>
    <w:rsid w:val="0A507703"/>
    <w:rsid w:val="0ADE1E17"/>
    <w:rsid w:val="0C3E12CB"/>
    <w:rsid w:val="0D424407"/>
    <w:rsid w:val="0DB17DCE"/>
    <w:rsid w:val="0F3C19DC"/>
    <w:rsid w:val="101A3B93"/>
    <w:rsid w:val="103F4698"/>
    <w:rsid w:val="134907CC"/>
    <w:rsid w:val="140D5FCB"/>
    <w:rsid w:val="148E73CE"/>
    <w:rsid w:val="158A10B7"/>
    <w:rsid w:val="16C351B1"/>
    <w:rsid w:val="178B0DF9"/>
    <w:rsid w:val="186F38D5"/>
    <w:rsid w:val="18FB0CAC"/>
    <w:rsid w:val="1A230EFB"/>
    <w:rsid w:val="1A6F2DB8"/>
    <w:rsid w:val="1AD153C4"/>
    <w:rsid w:val="1E004CAE"/>
    <w:rsid w:val="1E0B52D7"/>
    <w:rsid w:val="1E4E1466"/>
    <w:rsid w:val="1ECE3EBD"/>
    <w:rsid w:val="1F290E1C"/>
    <w:rsid w:val="1F91362A"/>
    <w:rsid w:val="201F5120"/>
    <w:rsid w:val="20482FD4"/>
    <w:rsid w:val="23752929"/>
    <w:rsid w:val="23931307"/>
    <w:rsid w:val="279E0789"/>
    <w:rsid w:val="280535ED"/>
    <w:rsid w:val="28FC074F"/>
    <w:rsid w:val="2A66629F"/>
    <w:rsid w:val="2B185F17"/>
    <w:rsid w:val="2C1535F6"/>
    <w:rsid w:val="2D69692C"/>
    <w:rsid w:val="2EAF0FA1"/>
    <w:rsid w:val="2EE67DDF"/>
    <w:rsid w:val="2F6C19A9"/>
    <w:rsid w:val="305D38C7"/>
    <w:rsid w:val="319A5E17"/>
    <w:rsid w:val="31C64031"/>
    <w:rsid w:val="320F2019"/>
    <w:rsid w:val="33BF0DB7"/>
    <w:rsid w:val="340F34DA"/>
    <w:rsid w:val="36276D18"/>
    <w:rsid w:val="37035463"/>
    <w:rsid w:val="387A506E"/>
    <w:rsid w:val="38B2572E"/>
    <w:rsid w:val="38F50F82"/>
    <w:rsid w:val="391D6E5E"/>
    <w:rsid w:val="39C4528F"/>
    <w:rsid w:val="39EE09D5"/>
    <w:rsid w:val="3A3A1314"/>
    <w:rsid w:val="3B7E060B"/>
    <w:rsid w:val="3BBB1F39"/>
    <w:rsid w:val="3C091E95"/>
    <w:rsid w:val="3C0C5663"/>
    <w:rsid w:val="3C69747B"/>
    <w:rsid w:val="3C6C6017"/>
    <w:rsid w:val="3E6171AA"/>
    <w:rsid w:val="3F114B68"/>
    <w:rsid w:val="3F5C52B4"/>
    <w:rsid w:val="41095FEC"/>
    <w:rsid w:val="41E457EB"/>
    <w:rsid w:val="42082596"/>
    <w:rsid w:val="42401347"/>
    <w:rsid w:val="426B5C52"/>
    <w:rsid w:val="43E240D2"/>
    <w:rsid w:val="44766D22"/>
    <w:rsid w:val="45062F3F"/>
    <w:rsid w:val="45193437"/>
    <w:rsid w:val="45414B88"/>
    <w:rsid w:val="45E543CD"/>
    <w:rsid w:val="46602C0D"/>
    <w:rsid w:val="47BF595D"/>
    <w:rsid w:val="4AA9566D"/>
    <w:rsid w:val="4B5B44BC"/>
    <w:rsid w:val="4BA9288D"/>
    <w:rsid w:val="4C2864E8"/>
    <w:rsid w:val="4C4E2AC3"/>
    <w:rsid w:val="4C580EBD"/>
    <w:rsid w:val="4C7420F8"/>
    <w:rsid w:val="4D5957AB"/>
    <w:rsid w:val="4F244FA0"/>
    <w:rsid w:val="4FC33CBA"/>
    <w:rsid w:val="50476111"/>
    <w:rsid w:val="5080626F"/>
    <w:rsid w:val="50DD2A91"/>
    <w:rsid w:val="51937E7C"/>
    <w:rsid w:val="52BC4D1A"/>
    <w:rsid w:val="52E65FF8"/>
    <w:rsid w:val="5347501F"/>
    <w:rsid w:val="53F33CC6"/>
    <w:rsid w:val="56233027"/>
    <w:rsid w:val="57DC1B4F"/>
    <w:rsid w:val="59DF3449"/>
    <w:rsid w:val="5B82434D"/>
    <w:rsid w:val="5BD215E2"/>
    <w:rsid w:val="5CAC64A4"/>
    <w:rsid w:val="5CC760C8"/>
    <w:rsid w:val="5D043940"/>
    <w:rsid w:val="5E010849"/>
    <w:rsid w:val="5ED17496"/>
    <w:rsid w:val="5EDB7055"/>
    <w:rsid w:val="60EA4316"/>
    <w:rsid w:val="61D86ACE"/>
    <w:rsid w:val="62615F03"/>
    <w:rsid w:val="632B26EA"/>
    <w:rsid w:val="65032D41"/>
    <w:rsid w:val="65236B49"/>
    <w:rsid w:val="659C27A1"/>
    <w:rsid w:val="65AA43C0"/>
    <w:rsid w:val="66161E47"/>
    <w:rsid w:val="68116BFE"/>
    <w:rsid w:val="68930DE5"/>
    <w:rsid w:val="68CE326F"/>
    <w:rsid w:val="69035836"/>
    <w:rsid w:val="6AD64CEF"/>
    <w:rsid w:val="6AE11B46"/>
    <w:rsid w:val="6B2A6AB7"/>
    <w:rsid w:val="6C8D5617"/>
    <w:rsid w:val="6CEB08A1"/>
    <w:rsid w:val="6D535020"/>
    <w:rsid w:val="6DA331F6"/>
    <w:rsid w:val="70320DB2"/>
    <w:rsid w:val="703379A9"/>
    <w:rsid w:val="70B962BB"/>
    <w:rsid w:val="71E279DE"/>
    <w:rsid w:val="74A24D5D"/>
    <w:rsid w:val="76171BF7"/>
    <w:rsid w:val="76BD5E40"/>
    <w:rsid w:val="77E16071"/>
    <w:rsid w:val="781F0E99"/>
    <w:rsid w:val="7859442F"/>
    <w:rsid w:val="78606542"/>
    <w:rsid w:val="789B6814"/>
    <w:rsid w:val="78B97743"/>
    <w:rsid w:val="78CF2A94"/>
    <w:rsid w:val="78EE0E45"/>
    <w:rsid w:val="796A69FF"/>
    <w:rsid w:val="7E0947B7"/>
    <w:rsid w:val="7E627FB6"/>
    <w:rsid w:val="7EC45E9E"/>
    <w:rsid w:val="7F424064"/>
    <w:rsid w:val="7FA32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Microsoft</Company>
  <Pages>14</Pages>
  <Words>1288</Words>
  <Characters>7348</Characters>
  <Lines>61</Lines>
  <Paragraphs>17</Paragraphs>
  <TotalTime>29</TotalTime>
  <ScaleCrop>false</ScaleCrop>
  <LinksUpToDate>false</LinksUpToDate>
  <CharactersWithSpaces>8619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2018-05-23T02:39:00Z</dcterms:created>
  <dc:creator>Administrator</dc:creator>
  <cp:lastModifiedBy>岁月婧好</cp:lastModifiedBy>
  <cp:lastPrinted>2020-06-16T08:24:00Z</cp:lastPrinted>
  <dcterms:modified xsi:type="dcterms:W3CDTF">2021-06-23T01:58:16Z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A4CE2C3F7D6C4AA4B2CEC97C1E6D60E2</vt:lpwstr>
  </property>
</Properties>
</file>