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380" w:lineRule="exact"/>
        <w:contextualSpacing/>
        <w:rPr>
          <w:rFonts w:ascii="仿宋_GB2312" w:eastAsia="仿宋_GB2312"/>
          <w:sz w:val="32"/>
          <w:szCs w:val="32"/>
        </w:rPr>
      </w:pPr>
    </w:p>
    <w:p>
      <w:pPr>
        <w:spacing w:line="348" w:lineRule="auto"/>
        <w:jc w:val="center"/>
        <w:rPr>
          <w:rFonts w:eastAsia="方正小标宋简体"/>
          <w:bCs/>
          <w:sz w:val="42"/>
          <w:szCs w:val="42"/>
        </w:rPr>
      </w:pPr>
    </w:p>
    <w:p>
      <w:pPr>
        <w:spacing w:line="800" w:lineRule="exact"/>
        <w:jc w:val="center"/>
        <w:rPr>
          <w:rFonts w:eastAsia="方正小标宋简体"/>
          <w:bCs/>
          <w:sz w:val="46"/>
          <w:szCs w:val="46"/>
        </w:rPr>
      </w:pPr>
      <w:r>
        <w:rPr>
          <w:rFonts w:hint="eastAsia" w:eastAsia="方正小标宋简体"/>
          <w:bCs/>
          <w:sz w:val="46"/>
          <w:szCs w:val="46"/>
        </w:rPr>
        <w:t>君山区20</w:t>
      </w:r>
      <w:r>
        <w:rPr>
          <w:rFonts w:hint="eastAsia" w:eastAsia="方正小标宋简体"/>
          <w:bCs/>
          <w:sz w:val="46"/>
          <w:szCs w:val="46"/>
          <w:lang w:val="en-US" w:eastAsia="zh-CN"/>
        </w:rPr>
        <w:t>20</w:t>
      </w:r>
      <w:r>
        <w:rPr>
          <w:rFonts w:hint="eastAsia" w:eastAsia="方正小标宋简体"/>
          <w:bCs/>
          <w:sz w:val="46"/>
          <w:szCs w:val="46"/>
        </w:rPr>
        <w:t>年度部门（单位）整体支出</w:t>
      </w:r>
    </w:p>
    <w:p>
      <w:pPr>
        <w:spacing w:line="800" w:lineRule="exact"/>
        <w:jc w:val="center"/>
        <w:rPr>
          <w:rFonts w:eastAsia="方正小标宋简体"/>
          <w:bCs/>
          <w:sz w:val="46"/>
          <w:szCs w:val="46"/>
        </w:rPr>
      </w:pPr>
      <w:r>
        <w:rPr>
          <w:rFonts w:hint="eastAsia" w:eastAsia="方正小标宋简体"/>
          <w:bCs/>
          <w:sz w:val="46"/>
          <w:szCs w:val="46"/>
        </w:rPr>
        <w:t>绩效评价自评报告</w:t>
      </w:r>
    </w:p>
    <w:p>
      <w:pPr>
        <w:rPr>
          <w:rFonts w:eastAsia="仿宋_GB2312"/>
          <w:b/>
          <w:sz w:val="32"/>
        </w:rPr>
      </w:pPr>
    </w:p>
    <w:p>
      <w:pPr>
        <w:rPr>
          <w:rFonts w:eastAsia="仿宋_GB2312"/>
          <w:b/>
          <w:sz w:val="32"/>
        </w:rPr>
      </w:pPr>
    </w:p>
    <w:p>
      <w:pPr>
        <w:rPr>
          <w:rFonts w:eastAsia="仿宋_GB2312"/>
          <w:b/>
          <w:sz w:val="32"/>
        </w:rPr>
      </w:pPr>
    </w:p>
    <w:p>
      <w:pPr>
        <w:spacing w:beforeLines="50" w:line="348" w:lineRule="auto"/>
        <w:ind w:firstLine="476" w:firstLineChars="150"/>
        <w:rPr>
          <w:rFonts w:eastAsia="仿宋_GB2312"/>
          <w:sz w:val="32"/>
          <w:szCs w:val="32"/>
          <w:u w:val="single"/>
        </w:rPr>
      </w:pPr>
      <w:r>
        <w:rPr>
          <w:rFonts w:hint="eastAsia" w:eastAsia="仿宋_GB2312"/>
          <w:sz w:val="32"/>
          <w:szCs w:val="32"/>
        </w:rPr>
        <w:t>部门(单位)名称：君山区行政审批服务局</w:t>
      </w:r>
    </w:p>
    <w:p>
      <w:pPr>
        <w:spacing w:beforeLines="50" w:line="348" w:lineRule="auto"/>
        <w:ind w:firstLine="476" w:firstLineChars="150"/>
        <w:rPr>
          <w:rFonts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码：111001</w:t>
      </w:r>
    </w:p>
    <w:p>
      <w:pPr>
        <w:spacing w:beforeLines="50" w:line="348" w:lineRule="auto"/>
        <w:ind w:firstLine="476" w:firstLineChars="150"/>
        <w:rPr>
          <w:rFonts w:eastAsia="仿宋_GB2312"/>
          <w:sz w:val="32"/>
          <w:szCs w:val="32"/>
        </w:rPr>
      </w:pPr>
      <w:r>
        <w:rPr>
          <w:rFonts w:hint="eastAsia" w:eastAsia="仿宋_GB2312"/>
          <w:sz w:val="32"/>
          <w:szCs w:val="32"/>
        </w:rPr>
        <w:t>评价方式：君山区行政审批服务局绩效自评</w:t>
      </w:r>
    </w:p>
    <w:p>
      <w:pPr>
        <w:spacing w:beforeLines="50" w:line="348" w:lineRule="auto"/>
        <w:ind w:firstLine="476" w:firstLineChars="150"/>
        <w:rPr>
          <w:rFonts w:eastAsia="仿宋_GB2312"/>
          <w:sz w:val="32"/>
          <w:szCs w:val="32"/>
        </w:rPr>
      </w:pPr>
      <w:r>
        <w:rPr>
          <w:rFonts w:hint="eastAsia" w:eastAsia="仿宋_GB2312"/>
          <w:sz w:val="32"/>
          <w:szCs w:val="32"/>
        </w:rPr>
        <w:t xml:space="preserve">评价机构：君山区行政审批服务局评价组   </w:t>
      </w:r>
    </w:p>
    <w:p>
      <w:pPr>
        <w:spacing w:line="348" w:lineRule="auto"/>
        <w:ind w:firstLine="2188" w:firstLineChars="690"/>
        <w:rPr>
          <w:rFonts w:eastAsia="仿宋_GB2312"/>
          <w:sz w:val="32"/>
        </w:rPr>
      </w:pPr>
    </w:p>
    <w:p>
      <w:pPr>
        <w:spacing w:line="348" w:lineRule="auto"/>
        <w:ind w:firstLine="2188" w:firstLineChars="690"/>
        <w:rPr>
          <w:rFonts w:eastAsia="仿宋_GB2312"/>
          <w:sz w:val="32"/>
        </w:rPr>
      </w:pPr>
    </w:p>
    <w:p>
      <w:pPr>
        <w:spacing w:line="348" w:lineRule="auto"/>
        <w:jc w:val="center"/>
        <w:rPr>
          <w:rFonts w:eastAsia="仿宋_GB2312"/>
          <w:sz w:val="32"/>
        </w:rPr>
      </w:pPr>
      <w:r>
        <w:rPr>
          <w:rFonts w:hint="eastAsia" w:eastAsia="仿宋_GB2312"/>
          <w:sz w:val="32"/>
        </w:rPr>
        <w:t>报告日期：2021年7月 2日</w:t>
      </w:r>
    </w:p>
    <w:p>
      <w:pPr>
        <w:autoSpaceDN w:val="0"/>
        <w:jc w:val="center"/>
        <w:textAlignment w:val="center"/>
        <w:rPr>
          <w:rFonts w:eastAsia="仿宋_GB2312"/>
          <w:sz w:val="32"/>
          <w:szCs w:val="32"/>
        </w:rPr>
        <w:sectPr>
          <w:headerReference r:id="rId5" w:type="first"/>
          <w:footerReference r:id="rId8" w:type="first"/>
          <w:headerReference r:id="rId3" w:type="default"/>
          <w:footerReference r:id="rId6" w:type="default"/>
          <w:headerReference r:id="rId4" w:type="even"/>
          <w:footerReference r:id="rId7" w:type="even"/>
          <w:pgSz w:w="11906" w:h="16838"/>
          <w:pgMar w:top="1588" w:right="1588" w:bottom="1588" w:left="1588" w:header="851" w:footer="992" w:gutter="0"/>
          <w:pgNumType w:start="1"/>
          <w:cols w:space="720" w:num="1"/>
          <w:docGrid w:type="linesAndChars" w:linePitch="602" w:charSpace="-782"/>
        </w:sectPr>
      </w:pPr>
      <w:r>
        <w:rPr>
          <w:rFonts w:hint="eastAsia" w:eastAsia="仿宋_GB2312"/>
          <w:sz w:val="32"/>
        </w:rPr>
        <w:t>君山区财政</w:t>
      </w:r>
      <w:r>
        <w:rPr>
          <w:rFonts w:hint="eastAsia" w:eastAsia="仿宋_GB2312"/>
          <w:sz w:val="32"/>
          <w:szCs w:val="32"/>
        </w:rPr>
        <w:t>局（制）</w:t>
      </w:r>
    </w:p>
    <w:tbl>
      <w:tblPr>
        <w:tblStyle w:val="6"/>
        <w:tblW w:w="98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46"/>
        <w:gridCol w:w="1080"/>
        <w:gridCol w:w="210"/>
        <w:gridCol w:w="1089"/>
        <w:gridCol w:w="328"/>
        <w:gridCol w:w="948"/>
        <w:gridCol w:w="1339"/>
        <w:gridCol w:w="220"/>
        <w:gridCol w:w="6"/>
        <w:gridCol w:w="136"/>
        <w:gridCol w:w="709"/>
        <w:gridCol w:w="425"/>
        <w:gridCol w:w="530"/>
        <w:gridCol w:w="455"/>
        <w:gridCol w:w="6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2425"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刘为</w:t>
            </w:r>
          </w:p>
        </w:tc>
        <w:tc>
          <w:tcPr>
            <w:tcW w:w="2615"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0730-8177768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2425"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18</w:t>
            </w:r>
          </w:p>
        </w:tc>
        <w:tc>
          <w:tcPr>
            <w:tcW w:w="2615"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38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50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46" w:type="dxa"/>
            <w:gridSpan w:val="15"/>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主要承担全区行政审批制度改革、政务公开、政务服务、“12345”热线和市（区）长信箱办理、电子政务、政府门户网站、镇(街道)便民服务中心、村（社区）便民服务平台、现场勘查的组织协调、指导管理等工作和职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464"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46" w:type="dxa"/>
            <w:gridSpan w:val="15"/>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任务1：大力推进“三集中、三到位”改革。</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任务2：不断优化政务服务。</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任务3：基层公共服务（一门式）全覆盖。</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任务4：持续提升政务公开水平。</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任务5：热线工作创先争优。</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任务6：优化营商工作环境稳居一流。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260"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rPr>
              <w:t>年度部门（单位）总体运行情况及取得的成绩</w:t>
            </w:r>
          </w:p>
        </w:tc>
        <w:tc>
          <w:tcPr>
            <w:tcW w:w="8146" w:type="dxa"/>
            <w:gridSpan w:val="15"/>
            <w:vAlign w:val="center"/>
          </w:tcPr>
          <w:p>
            <w:pPr>
              <w:ind w:firstLine="456" w:firstLineChars="200"/>
              <w:rPr>
                <w:rFonts w:ascii="仿宋_GB2312" w:hAnsi="仿宋_GB2312" w:eastAsia="仿宋_GB2312" w:cs="仿宋_GB2312"/>
                <w:color w:val="000000"/>
                <w:sz w:val="24"/>
              </w:rPr>
            </w:pPr>
            <w:r>
              <w:rPr>
                <w:rFonts w:hint="eastAsia" w:ascii="仿宋_GB2312" w:hAnsi="仿宋_GB2312" w:eastAsia="仿宋_GB2312" w:cs="仿宋_GB2312"/>
                <w:color w:val="000000"/>
                <w:spacing w:val="-6"/>
                <w:sz w:val="24"/>
              </w:rPr>
              <w:t>（</w:t>
            </w:r>
            <w:r>
              <w:rPr>
                <w:rFonts w:hint="eastAsia" w:ascii="仿宋_GB2312" w:hAnsi="仿宋_GB2312" w:eastAsia="仿宋_GB2312" w:cs="仿宋_GB2312"/>
                <w:color w:val="000000"/>
                <w:sz w:val="24"/>
              </w:rPr>
              <w:t>一）大力推进“三集中、三到位”改革。目前已有11家单位设立行政审批股，明确了首席代表，对进驻事项充分授权。全区16家单位启用了“行政审批专用章”，实现部门“一枚印章管审批”。推进部门审批服务标准化。按照省政务管理服务局和市行政审批服务局工作要求，组织相关部门人员按照“四级四同”审批事项标准化要求，对全区1745项行政权力事项和132项公共服务事项与国家和省目录库进行逐一比对，审核完善审批事项目录比对和实施清单填报，填报率和发布率均为100%。完善各部门权责清单填报和乡镇赋权清单填报工作。完善“一窗受理、集成服务”运行机制。出台了《君山区“一窗受理、集成服务”工作实施方案》。实行证照联办、并联审批、容缺受理、全程代办、邮寄送达等配套制度建设，完善内部协作机制，打造“闭合的工作链”。全市率先实行了一窗受理系统区、镇、村三级同部署，开展业务培训进一步提升窗口受理人员、帮代办员的业务能力和综合素质，提高服务群众、企业的能力和水平。</w:t>
            </w:r>
          </w:p>
          <w:p>
            <w:pPr>
              <w:ind w:firstLine="470" w:firstLineChars="196"/>
              <w:jc w:val="left"/>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二）不断优化政务服务。1.抓集中服务，夯实政务服务基础。按照“应进必进、进必授权”的要求，大力推行“一窗受理、集成服务”办事模式。一是设立工改综合窗口,政务中心按工程建设项目审批流程在大厅设立四个综合受理窗口，大大提高企业办事效率，共办理业务433件。二是设立公用报装综合窗口。中心安排专人对企业在自来水、燃气、电力、有线、通信等方面的报装业务实行“一窗受理”，共受理企业报装业务42件。三是设立复工复产综合窗口。在大厅设立“复工复产综合窗口”，并制作了宣传卡片和办事指南，为企业园区复工复产顺利实施提供便利。四是设立部门综合窗口。在医保、不动产办事专区分别设立综合窗口，逐步实现由过去的各自设立窗口受理各自业务的形式向“一窗”综合受理转变。五是实现“无差别”综合受理。按照上级行政审批改革“前台综合受理、后台分类审批、统一窗口出件”的工作要求，目前已将14个部门近300个审批事项纳入“无差别”一窗受理，今年共受理审批业务1843件。</w:t>
            </w:r>
          </w:p>
          <w:p>
            <w:pPr>
              <w:ind w:firstLine="480" w:firstLineChars="200"/>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抓服务方式创新，提升政务服务质量。一是试行“容缺受理”“承诺制”。市场监管窗口积极支持企业复工复产和扩大产能，推行行政审批容缺受理。对企业疫情防控所需药品、医疗器械等经营范围增加的变更登记一律特事特办、急事急办；对其他企业非关键性材料欠缺的行政审批事项，在申请人做出承诺后先行予以受理。二是推行“5+2”延时服务。5月11日，政务服务中心正式推行“5+2”延时服务，即政务服务中心全部窗口实行法定工作日延时服务，部分窗口在公休日周六周日(法定节假日除外)实行预约服务。实行周末预约服务的不动产、市场监管、医保等三个窗口单位共能办理各类服务事项93项。三是开展企业、项目帮代办。今年共受理13个工程建设项目的“一票制”规费缴纳事项，共代收缴报建规费935.89万元。按照复工复产相关要求，集中协调解决涉园区项目的审批问题,其中国泰食品新厂区报建规费缴纳事项，为企业减免相关报建规费330余万元。帮代企业办理市政公用服务报装42件。四是推进“全域通办”“跨省通办”工作。通过宣传推广，全域通办办理事项呈现多元化，且办件量不断增加，今年共办理业务1090件，其中办理区直部门业务970件、市直部门业务120件。</w:t>
            </w:r>
          </w:p>
          <w:p>
            <w:pPr>
              <w:ind w:firstLine="480" w:firstLineChars="200"/>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（三）基层公共服务（一门式）全覆盖。</w:t>
            </w:r>
            <w:r>
              <w:rPr>
                <w:rFonts w:ascii="仿宋_GB2312" w:hAnsi="仿宋_GB2312" w:eastAsia="仿宋_GB2312" w:cs="仿宋_GB2312"/>
                <w:color w:val="000000"/>
                <w:sz w:val="24"/>
              </w:rPr>
              <w:t>四镇一办政务服务中心通过改扩建，面积</w:t>
            </w:r>
            <w:r>
              <w:rPr>
                <w:rFonts w:hint="eastAsia" w:ascii="仿宋_GB2312" w:hAnsi="仿宋_GB2312" w:eastAsia="仿宋_GB2312" w:cs="仿宋_GB2312"/>
                <w:color w:val="000000"/>
                <w:sz w:val="24"/>
              </w:rPr>
              <w:t>均</w:t>
            </w:r>
            <w:r>
              <w:rPr>
                <w:rFonts w:ascii="仿宋_GB2312" w:hAnsi="仿宋_GB2312" w:eastAsia="仿宋_GB2312" w:cs="仿宋_GB2312"/>
                <w:color w:val="000000"/>
                <w:sz w:val="24"/>
              </w:rPr>
              <w:t>在150㎡以上，内部设施基本做到了办公设施“九有”、服务设施“七有”，村（社区）便民服务中心基本做到了“七个一”。并且投资48万元为每个镇（办）、村（社区）安装了云视频会议系统。根据5月13日市政务中心组织召开的镇、村事项梳理业务会议要求，在落实《湖南省赋予乡镇（街道）经济社会管理权限指导目录》的基础上，由市政务中心牵头按照全市一个标准的要求梳理政务服务和公共服务事项，现已完成镇级71个、村级45个事项清单的办理，并赋权到位。在区政务服务中心大厅设置有“镇村业务专窗”窗口；镇（办）政务服务中心设置有5个必设窗口：党务窗口、社会事务窗口、社会民生窗口、经济发展窗口、综合窗口，2个选进窗口：农业综合窗口、市场监管窗口。所有乡镇都制定了政务服务大厅工作制度和管理制度，建立了窗口绩效考核办法，有帮办代办服务流程，有规范工作人员服务行为、各种文明用语上墙。</w:t>
            </w:r>
          </w:p>
          <w:p>
            <w:pPr>
              <w:pStyle w:val="5"/>
              <w:widowControl/>
              <w:spacing w:beforeAutospacing="0" w:afterAutospacing="0"/>
              <w:ind w:firstLine="470" w:firstLineChars="196"/>
              <w:jc w:val="both"/>
              <w:rPr>
                <w:rFonts w:ascii="仿宋_GB2312" w:hAnsi="仿宋_GB2312" w:eastAsia="仿宋_GB2312" w:cs="仿宋_GB2312"/>
                <w:color w:val="000000"/>
                <w:kern w:val="2"/>
              </w:rPr>
            </w:pPr>
            <w:r>
              <w:rPr>
                <w:rFonts w:hint="eastAsia" w:ascii="仿宋_GB2312" w:hAnsi="仿宋_GB2312" w:eastAsia="仿宋_GB2312" w:cs="仿宋_GB2312"/>
                <w:color w:val="000000"/>
                <w:kern w:val="2"/>
              </w:rPr>
              <w:t>（四）持续提升政务公开水平。2020年，全区主动公开政府信息23709条，其中公开发布政府规范性文件12件，政府网站公开信息22905条，政府网官方微博公开信息792条。重点领域信息公开情况：开设“新型冠状病毒感染的肺炎疫情防控”专题，及时发布社会各界爱心单位和爱心人士捐赠的抗击新型冠状病毒肺炎疫情资金、物资信息共26条。围绕优化营商环境加强政务信息公开。增设“优化营商环境”专题，及时发布营商动态、营商政策制定及解读、市场监管规则和标准、企业办事、经济政策解读培训等方面信息，全方位助力我区营商环境改革。围绕“六稳”“六保”加强政策发布解读。开设《“六稳”“六保”政策兑现》专题，全面发布“六稳”“六保”相关办事指南信息数18条。重大项目建设批准和实施领域信息：主动公开君山区投资项目情况，通过门户网站查询君山区项目审批、核准、备案、实施等公开项目信息数19条。公共资源配置领域信息：围绕房屋征收与补偿、土地管理、土地交易出让广告、土地交易结果，公开公共资源配置领域信息数186条。社会公益事业建设领域信息：集中公开脱贫攻坚、社会救助和福利信息43条；环境事件与执法信息33条；食品药品安全信息数19条；教育信息7条。</w:t>
            </w:r>
          </w:p>
          <w:p>
            <w:pPr>
              <w:ind w:firstLine="470" w:firstLineChars="196"/>
              <w:jc w:val="left"/>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五）热线工作创先争优。2020年，我区12345公众服务热线共受理工单11204件；市（区）长信箱办301件。其中，应办理工单11303件，已办理11303件，办结率100%；按期办理11297件，按期办结率率99.95%；紧急工单派发并处理235件，全部第一时间按期办结。全年加强回访力度，共抽查回访工单2037件，其中，不满意工单25件，不满意率为1.23%。全年全区报送典型案例工单65篇，选报送市热线办典型材料24篇。市热线办对我区2020年工单办理综合考核结果为：综合指标值全市考核等级为A类，在县市区综合排名中位居第一，连续九年荣获“岳阳市12345公众服务热线工作先进单位”。</w:t>
            </w:r>
          </w:p>
          <w:p>
            <w:pPr>
              <w:ind w:firstLine="480" w:firstLineChars="200"/>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六）优化营商工作环境稳居一流。夯实优化营商环境工作基础。一是强化组织领导。成立了由区长任组长，常务副区长为副组长，30多个区直责任单位一把手为成员的优化经济发展环境领导小组。二是细化责任分工。根据国家和省市营商环境评价要求，区委、区政府下发了《君山区进一步优化营商环境任务分解表》《君山区营商环境评价指标责任单位和责任人汇总表》，将相关区直部门和乡镇（街道）及其主要负责人的工作职责进行了明确，形成齐抓共管、层层落实的工作机制。三是深化宣传造势。对国务院《优化营商环境条例》《湖南省优化经济发展环境规定》和一系列优化营商环境政策措施进行广泛宣传学习，强力营造“优化营商环境，人人参与其中”的工作氛围。</w:t>
            </w:r>
          </w:p>
          <w:p>
            <w:pPr>
              <w:ind w:firstLine="480" w:firstLineChars="200"/>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系群，通过监测网络的反馈对重点服务部门进行综合评价。</w:t>
            </w:r>
          </w:p>
          <w:p>
            <w:pPr>
              <w:ind w:firstLine="480" w:firstLineChars="200"/>
              <w:rPr>
                <w:rFonts w:ascii="仿宋_GB2312" w:hAnsi="仿宋_GB2312" w:eastAsia="仿宋_GB2312" w:cs="仿宋_GB2312"/>
                <w:color w:val="000000"/>
                <w:sz w:val="24"/>
              </w:rPr>
            </w:pPr>
          </w:p>
          <w:p>
            <w:pPr>
              <w:ind w:firstLine="480" w:firstLineChars="200"/>
              <w:rPr>
                <w:rFonts w:ascii="仿宋_GB2312" w:hAnsi="仿宋_GB2312" w:eastAsia="仿宋_GB2312" w:cs="仿宋_GB2312"/>
                <w:color w:val="000000"/>
                <w:sz w:val="24"/>
              </w:rPr>
            </w:pPr>
          </w:p>
          <w:p>
            <w:pPr>
              <w:ind w:firstLine="480" w:firstLineChars="200"/>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020" w:type="dxa"/>
            <w:gridSpan w:val="13"/>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014" w:hRule="atLeast"/>
          <w:jc w:val="center"/>
        </w:trPr>
        <w:tc>
          <w:tcPr>
            <w:tcW w:w="1700" w:type="dxa"/>
            <w:gridSpan w:val="3"/>
            <w:vMerge w:val="continue"/>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299"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276"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565"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80"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72" w:hRule="atLeast"/>
          <w:jc w:val="center"/>
        </w:trPr>
        <w:tc>
          <w:tcPr>
            <w:tcW w:w="1700"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1595.33</w:t>
            </w:r>
          </w:p>
        </w:tc>
        <w:tc>
          <w:tcPr>
            <w:tcW w:w="1299" w:type="dxa"/>
            <w:gridSpan w:val="2"/>
            <w:tcBorders>
              <w:lef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276"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797.73</w:t>
            </w:r>
          </w:p>
        </w:tc>
        <w:tc>
          <w:tcPr>
            <w:tcW w:w="1565"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797.6</w:t>
            </w:r>
          </w:p>
        </w:tc>
        <w:tc>
          <w:tcPr>
            <w:tcW w:w="18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Align w:val="center"/>
          </w:tcPr>
          <w:p>
            <w:pPr>
              <w:spacing w:line="320" w:lineRule="exact"/>
              <w:rPr>
                <w:rFonts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1595.33</w:t>
            </w:r>
          </w:p>
        </w:tc>
        <w:tc>
          <w:tcPr>
            <w:tcW w:w="1299" w:type="dxa"/>
            <w:gridSpan w:val="2"/>
            <w:tcBorders>
              <w:lef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276"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797.73</w:t>
            </w:r>
          </w:p>
        </w:tc>
        <w:tc>
          <w:tcPr>
            <w:tcW w:w="1565"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797.6</w:t>
            </w:r>
          </w:p>
        </w:tc>
        <w:tc>
          <w:tcPr>
            <w:tcW w:w="18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Align w:val="center"/>
          </w:tcPr>
          <w:p>
            <w:pPr>
              <w:spacing w:line="320" w:lineRule="exact"/>
              <w:rPr>
                <w:rFonts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299" w:type="dxa"/>
            <w:gridSpan w:val="2"/>
            <w:tcBorders>
              <w:lef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276"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565"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8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Align w:val="center"/>
          </w:tcPr>
          <w:p>
            <w:pPr>
              <w:spacing w:line="320" w:lineRule="exact"/>
              <w:rPr>
                <w:rFonts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299" w:type="dxa"/>
            <w:gridSpan w:val="2"/>
            <w:tcBorders>
              <w:left w:val="single" w:color="auto" w:sz="4" w:space="0"/>
            </w:tcBorders>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276"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565" w:type="dxa"/>
            <w:gridSpan w:val="3"/>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800"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2"/>
            <w:vAlign w:val="center"/>
          </w:tcPr>
          <w:p>
            <w:pPr>
              <w:autoSpaceDN w:val="0"/>
              <w:spacing w:line="320" w:lineRule="exact"/>
              <w:jc w:val="left"/>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vAlign w:val="center"/>
          </w:tcPr>
          <w:p>
            <w:pPr>
              <w:snapToGrid w:val="0"/>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410" w:type="dxa"/>
            <w:gridSpan w:val="10"/>
            <w:tcBorders>
              <w:left w:val="single" w:color="auto" w:sz="4" w:space="0"/>
              <w:bottom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610" w:type="dxa"/>
            <w:gridSpan w:val="3"/>
            <w:tcBorders>
              <w:left w:val="single" w:color="auto" w:sz="4" w:space="0"/>
              <w:bottom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299" w:type="dxa"/>
            <w:gridSpan w:val="2"/>
            <w:vMerge w:val="restart"/>
            <w:tcBorders>
              <w:top w:val="single" w:color="auto" w:sz="4" w:space="0"/>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2977" w:type="dxa"/>
            <w:gridSpan w:val="6"/>
            <w:tcBorders>
              <w:top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134" w:type="dxa"/>
            <w:gridSpan w:val="2"/>
            <w:vMerge w:val="restart"/>
            <w:tcBorders>
              <w:top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985" w:type="dxa"/>
            <w:gridSpan w:val="2"/>
            <w:vMerge w:val="restart"/>
            <w:tcBorders>
              <w:top w:val="single" w:color="auto" w:sz="4" w:space="0"/>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625" w:type="dxa"/>
            <w:vMerge w:val="restart"/>
            <w:tcBorders>
              <w:top w:val="single" w:color="auto" w:sz="4" w:space="0"/>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299" w:type="dxa"/>
            <w:gridSpan w:val="2"/>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276"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1701"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134" w:type="dxa"/>
            <w:gridSpan w:val="2"/>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85" w:type="dxa"/>
            <w:gridSpan w:val="2"/>
            <w:vMerge w:val="continue"/>
            <w:tcBorders>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625" w:type="dxa"/>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77"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1125.76</w:t>
            </w:r>
          </w:p>
        </w:tc>
        <w:tc>
          <w:tcPr>
            <w:tcW w:w="1299"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135.36</w:t>
            </w:r>
          </w:p>
        </w:tc>
        <w:tc>
          <w:tcPr>
            <w:tcW w:w="1276"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112.53</w:t>
            </w:r>
          </w:p>
        </w:tc>
        <w:tc>
          <w:tcPr>
            <w:tcW w:w="1701"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22.83</w:t>
            </w:r>
          </w:p>
        </w:tc>
        <w:tc>
          <w:tcPr>
            <w:tcW w:w="113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990.4</w:t>
            </w:r>
          </w:p>
        </w:tc>
        <w:tc>
          <w:tcPr>
            <w:tcW w:w="985" w:type="dxa"/>
            <w:gridSpan w:val="2"/>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469.57</w:t>
            </w:r>
          </w:p>
        </w:tc>
        <w:tc>
          <w:tcPr>
            <w:tcW w:w="625" w:type="dxa"/>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color w:val="000000"/>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1125.76</w:t>
            </w:r>
          </w:p>
        </w:tc>
        <w:tc>
          <w:tcPr>
            <w:tcW w:w="1299"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135.36</w:t>
            </w:r>
          </w:p>
        </w:tc>
        <w:tc>
          <w:tcPr>
            <w:tcW w:w="1276"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112.53</w:t>
            </w:r>
          </w:p>
        </w:tc>
        <w:tc>
          <w:tcPr>
            <w:tcW w:w="1701"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22.83</w:t>
            </w:r>
          </w:p>
        </w:tc>
        <w:tc>
          <w:tcPr>
            <w:tcW w:w="113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990.4</w:t>
            </w:r>
          </w:p>
        </w:tc>
        <w:tc>
          <w:tcPr>
            <w:tcW w:w="985" w:type="dxa"/>
            <w:gridSpan w:val="2"/>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469.57</w:t>
            </w:r>
          </w:p>
        </w:tc>
        <w:tc>
          <w:tcPr>
            <w:tcW w:w="625" w:type="dxa"/>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color w:val="000000"/>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299"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276"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701"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13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85" w:type="dxa"/>
            <w:gridSpan w:val="2"/>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625" w:type="dxa"/>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color w:val="000000"/>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299"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276"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701"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13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85" w:type="dxa"/>
            <w:gridSpan w:val="2"/>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625" w:type="dxa"/>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vAlign w:val="center"/>
          </w:tcPr>
          <w:p>
            <w:pPr>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020" w:type="dxa"/>
            <w:gridSpan w:val="13"/>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299"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276"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1701"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744"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58"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16.65</w:t>
            </w:r>
          </w:p>
        </w:tc>
        <w:tc>
          <w:tcPr>
            <w:tcW w:w="1299" w:type="dxa"/>
            <w:gridSpan w:val="2"/>
            <w:tcBorders>
              <w:left w:val="single" w:color="auto"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8</w:t>
            </w:r>
          </w:p>
        </w:tc>
        <w:tc>
          <w:tcPr>
            <w:tcW w:w="1276" w:type="dxa"/>
            <w:gridSpan w:val="2"/>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8.65</w:t>
            </w:r>
          </w:p>
        </w:tc>
        <w:tc>
          <w:tcPr>
            <w:tcW w:w="1701"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744"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16.65</w:t>
            </w:r>
          </w:p>
        </w:tc>
        <w:tc>
          <w:tcPr>
            <w:tcW w:w="1299" w:type="dxa"/>
            <w:gridSpan w:val="2"/>
            <w:tcBorders>
              <w:left w:val="single" w:color="auto" w:sz="4" w:space="0"/>
            </w:tcBorders>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8</w:t>
            </w:r>
          </w:p>
        </w:tc>
        <w:tc>
          <w:tcPr>
            <w:tcW w:w="1276" w:type="dxa"/>
            <w:gridSpan w:val="2"/>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8.65</w:t>
            </w:r>
          </w:p>
        </w:tc>
        <w:tc>
          <w:tcPr>
            <w:tcW w:w="1701"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744"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299"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276"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701"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744"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299"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276"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701"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744"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vAlign w:val="center"/>
          </w:tcPr>
          <w:p>
            <w:pPr>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4985" w:type="dxa"/>
            <w:gridSpan w:val="9"/>
            <w:tcBorders>
              <w:left w:val="single" w:color="auto" w:sz="4" w:space="0"/>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2035" w:type="dxa"/>
            <w:gridSpan w:val="4"/>
            <w:vMerge w:val="restart"/>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299"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686" w:type="dxa"/>
            <w:gridSpan w:val="7"/>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2035" w:type="dxa"/>
            <w:gridSpan w:val="4"/>
            <w:vMerge w:val="continue"/>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55"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482.02</w:t>
            </w:r>
          </w:p>
        </w:tc>
        <w:tc>
          <w:tcPr>
            <w:tcW w:w="1299"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482.02</w:t>
            </w:r>
          </w:p>
        </w:tc>
        <w:tc>
          <w:tcPr>
            <w:tcW w:w="3686"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035"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482.02</w:t>
            </w:r>
          </w:p>
        </w:tc>
        <w:tc>
          <w:tcPr>
            <w:tcW w:w="1299"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482.02</w:t>
            </w:r>
          </w:p>
        </w:tc>
        <w:tc>
          <w:tcPr>
            <w:tcW w:w="3686"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035"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2、二级机构1</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299"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686"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035"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0" w:hRule="atLeast"/>
          <w:jc w:val="center"/>
        </w:trPr>
        <w:tc>
          <w:tcPr>
            <w:tcW w:w="1700" w:type="dxa"/>
            <w:gridSpan w:val="3"/>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3、二级机构2</w:t>
            </w:r>
          </w:p>
        </w:tc>
        <w:tc>
          <w:tcPr>
            <w:tcW w:w="1080" w:type="dxa"/>
            <w:tcBorders>
              <w:righ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299" w:type="dxa"/>
            <w:gridSpan w:val="2"/>
            <w:tcBorders>
              <w:left w:val="single" w:color="auto" w:sz="4" w:space="0"/>
            </w:tcBorders>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3686"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035"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2638"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5721" w:type="dxa"/>
            <w:gridSpan w:val="11"/>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72"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2638" w:type="dxa"/>
            <w:gridSpan w:val="5"/>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目标1：持续提升政务公开水平。</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目标2：热线工作创先争优。</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目标3：优化营商工作环境稳居一流。</w:t>
            </w:r>
          </w:p>
        </w:tc>
        <w:tc>
          <w:tcPr>
            <w:tcW w:w="5721" w:type="dxa"/>
            <w:gridSpan w:val="11"/>
            <w:vAlign w:val="center"/>
          </w:tcPr>
          <w:p>
            <w:pPr>
              <w:autoSpaceDN w:val="0"/>
              <w:spacing w:line="400" w:lineRule="exact"/>
              <w:jc w:val="left"/>
              <w:textAlignment w:val="center"/>
              <w:rPr>
                <w:rFonts w:ascii="仿宋_GB2312" w:hAnsi="仿宋_GB2312" w:eastAsia="仿宋_GB2312" w:cs="仿宋_GB2312"/>
                <w:color w:val="000000"/>
                <w:szCs w:val="21"/>
              </w:rPr>
            </w:pPr>
            <w:r>
              <w:rPr>
                <w:rFonts w:hint="eastAsia" w:ascii="仿宋_GB2312" w:hAnsi="仿宋_GB2312" w:eastAsia="仿宋_GB2312" w:cs="仿宋_GB2312"/>
                <w:color w:val="000000"/>
                <w:szCs w:val="21"/>
              </w:rPr>
              <w:t>1、2020年，全区主动公开政府信息23709条，其中公开发布政府规范性文件12件，政府网站公开信息22905条，政府网官方微博公开信息792条。</w:t>
            </w:r>
          </w:p>
          <w:p>
            <w:pPr>
              <w:autoSpaceDN w:val="0"/>
              <w:spacing w:line="400" w:lineRule="exact"/>
              <w:jc w:val="left"/>
              <w:textAlignment w:val="center"/>
              <w:rPr>
                <w:rFonts w:ascii="仿宋_GB2312" w:hAnsi="仿宋_GB2312" w:eastAsia="仿宋_GB2312" w:cs="仿宋_GB2312"/>
                <w:color w:val="000000"/>
                <w:szCs w:val="21"/>
              </w:rPr>
            </w:pPr>
            <w:r>
              <w:rPr>
                <w:rFonts w:hint="eastAsia" w:ascii="仿宋_GB2312" w:hAnsi="仿宋_GB2312" w:eastAsia="仿宋_GB2312" w:cs="仿宋_GB2312"/>
                <w:color w:val="000000"/>
                <w:szCs w:val="21"/>
              </w:rPr>
              <w:t>2、2020年，我区12345公众服务热线共受理工单11204件；市（区）长信箱办301件。其中，应办理工单11303件，已办理11303件，办结率100%；按期办理11297件，按期办结率率99.95%；紧急工单派发并处理235件，全部第一时间按期办结。</w:t>
            </w:r>
          </w:p>
          <w:p>
            <w:pPr>
              <w:spacing w:line="560" w:lineRule="exact"/>
              <w:rPr>
                <w:rFonts w:ascii="仿宋_GB2312" w:hAnsi="仿宋_GB2312" w:eastAsia="仿宋_GB2312" w:cs="仿宋_GB2312"/>
                <w:color w:val="000000"/>
                <w:szCs w:val="21"/>
              </w:rPr>
            </w:pPr>
            <w:r>
              <w:rPr>
                <w:rFonts w:hint="eastAsia" w:ascii="仿宋_GB2312" w:hAnsi="仿宋_GB2312" w:eastAsia="仿宋_GB2312" w:cs="仿宋_GB2312"/>
                <w:color w:val="000000"/>
                <w:szCs w:val="21"/>
              </w:rPr>
              <w:t>3、营商环境“以评促优”。推动“好差评”制度落地，投入84台评价器到区政务大厅、镇（办）政务中心及村（社区）便民服务中心，办事企业和群众在当前事项办理完毕后，可对办件情况进行评价，形成“全闭环”式服务评价，推动部门不断优化办事流程，提升服务水平，优化营商环境，2020年共收到服务评价34874条，满意率达99.97%。</w:t>
            </w:r>
          </w:p>
          <w:p>
            <w:pPr>
              <w:autoSpaceDN w:val="0"/>
              <w:spacing w:line="400" w:lineRule="exact"/>
              <w:jc w:val="left"/>
              <w:textAlignment w:val="center"/>
              <w:rPr>
                <w:rFonts w:ascii="仿宋_GB2312" w:hAnsi="仿宋_GB2312" w:eastAsia="仿宋_GB2312" w:cs="仿宋_GB2312"/>
                <w:color w:val="000000"/>
                <w:szCs w:val="21"/>
              </w:rPr>
            </w:pPr>
          </w:p>
          <w:p>
            <w:pPr>
              <w:autoSpaceDN w:val="0"/>
              <w:spacing w:line="320" w:lineRule="exact"/>
              <w:jc w:val="center"/>
              <w:textAlignment w:val="center"/>
              <w:rPr>
                <w:rFonts w:ascii="仿宋_GB2312" w:hAnsi="仿宋_GB2312" w:eastAsia="仿宋_GB2312" w:cs="仿宋_GB2312"/>
                <w:color w:val="000000"/>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66" w:type="dxa"/>
            <w:gridSpan w:val="6"/>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2507"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886" w:type="dxa"/>
            <w:gridSpan w:val="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（部门工作实绩，包含上级部门和市委市政府布置的重点工作、实事任务等，根据部门实际进行调整细化）</w:t>
            </w:r>
          </w:p>
        </w:tc>
        <w:tc>
          <w:tcPr>
            <w:tcW w:w="1417" w:type="dxa"/>
            <w:gridSpan w:val="2"/>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2649" w:type="dxa"/>
            <w:gridSpan w:val="5"/>
            <w:vAlign w:val="center"/>
          </w:tcPr>
          <w:p>
            <w:pPr>
              <w:autoSpaceDN w:val="0"/>
              <w:spacing w:line="400" w:lineRule="exact"/>
              <w:jc w:val="left"/>
              <w:textAlignment w:val="center"/>
              <w:rPr>
                <w:rFonts w:ascii="仿宋_GB2312" w:hAnsi="仿宋_GB2312" w:eastAsia="仿宋_GB2312" w:cs="仿宋_GB2312"/>
                <w:color w:val="000000"/>
                <w:szCs w:val="21"/>
              </w:rPr>
            </w:pPr>
            <w:r>
              <w:rPr>
                <w:rFonts w:hint="eastAsia" w:ascii="仿宋_GB2312" w:hAnsi="仿宋_GB2312" w:eastAsia="仿宋_GB2312" w:cs="仿宋_GB2312"/>
                <w:color w:val="000000"/>
                <w:szCs w:val="21"/>
              </w:rPr>
              <w:t>指标1：服务事项按时办结率100%</w:t>
            </w:r>
          </w:p>
        </w:tc>
        <w:tc>
          <w:tcPr>
            <w:tcW w:w="2744" w:type="dxa"/>
            <w:gridSpan w:val="5"/>
            <w:vAlign w:val="center"/>
          </w:tcPr>
          <w:p>
            <w:pPr>
              <w:autoSpaceDN w:val="0"/>
              <w:spacing w:line="400" w:lineRule="exact"/>
              <w:jc w:val="center"/>
              <w:textAlignment w:val="center"/>
              <w:rPr>
                <w:rFonts w:ascii="仿宋_GB2312" w:hAnsi="仿宋_GB2312" w:eastAsia="仿宋_GB2312" w:cs="仿宋_GB2312"/>
                <w:color w:val="000000"/>
                <w:szCs w:val="21"/>
              </w:rPr>
            </w:pPr>
            <w:r>
              <w:rPr>
                <w:rFonts w:hint="eastAsia" w:ascii="仿宋_GB2312" w:hAnsi="仿宋_GB2312" w:eastAsia="仿宋_GB2312" w:cs="仿宋_GB2312"/>
                <w:color w:val="000000"/>
                <w:szCs w:val="21"/>
              </w:rPr>
              <w:t>按时办结率100%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spacing w:line="320" w:lineRule="exact"/>
              <w:rPr>
                <w:rFonts w:ascii="仿宋_GB2312" w:hAnsi="仿宋_GB2312" w:eastAsia="仿宋_GB2312" w:cs="仿宋_GB2312"/>
                <w:sz w:val="24"/>
              </w:rPr>
            </w:pPr>
          </w:p>
        </w:tc>
        <w:tc>
          <w:tcPr>
            <w:tcW w:w="2649" w:type="dxa"/>
            <w:gridSpan w:val="5"/>
            <w:vAlign w:val="center"/>
          </w:tcPr>
          <w:p>
            <w:pPr>
              <w:autoSpaceDN w:val="0"/>
              <w:spacing w:line="400" w:lineRule="exact"/>
              <w:jc w:val="left"/>
              <w:textAlignment w:val="center"/>
              <w:rPr>
                <w:rFonts w:ascii="仿宋_GB2312" w:hAnsi="仿宋_GB2312" w:eastAsia="仿宋_GB2312" w:cs="仿宋_GB2312"/>
                <w:color w:val="000000"/>
                <w:szCs w:val="21"/>
              </w:rPr>
            </w:pPr>
            <w:r>
              <w:rPr>
                <w:rFonts w:hint="eastAsia" w:ascii="仿宋_GB2312" w:hAnsi="仿宋_GB2312" w:eastAsia="仿宋_GB2312" w:cs="仿宋_GB2312"/>
                <w:color w:val="000000"/>
                <w:szCs w:val="21"/>
              </w:rPr>
              <w:t>指标2：服务对象满意率95%</w:t>
            </w:r>
          </w:p>
        </w:tc>
        <w:tc>
          <w:tcPr>
            <w:tcW w:w="2744" w:type="dxa"/>
            <w:gridSpan w:val="5"/>
            <w:vAlign w:val="center"/>
          </w:tcPr>
          <w:p>
            <w:pPr>
              <w:autoSpaceDN w:val="0"/>
              <w:spacing w:line="400" w:lineRule="exact"/>
              <w:jc w:val="center"/>
              <w:textAlignment w:val="center"/>
              <w:rPr>
                <w:rFonts w:ascii="仿宋_GB2312" w:hAnsi="仿宋_GB2312" w:eastAsia="仿宋_GB2312" w:cs="仿宋_GB2312"/>
                <w:color w:val="000000"/>
                <w:szCs w:val="21"/>
              </w:rPr>
            </w:pPr>
            <w:r>
              <w:rPr>
                <w:rFonts w:hint="eastAsia" w:ascii="仿宋_GB2312" w:hAnsi="仿宋_GB2312" w:eastAsia="仿宋_GB2312" w:cs="仿宋_GB2312"/>
                <w:color w:val="000000"/>
                <w:szCs w:val="21"/>
              </w:rPr>
              <w:t>满意率99.97%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spacing w:line="320" w:lineRule="exact"/>
              <w:rPr>
                <w:rFonts w:ascii="仿宋_GB2312" w:hAnsi="仿宋_GB2312" w:eastAsia="仿宋_GB2312" w:cs="仿宋_GB2312"/>
                <w:sz w:val="24"/>
              </w:rPr>
            </w:pPr>
          </w:p>
        </w:tc>
        <w:tc>
          <w:tcPr>
            <w:tcW w:w="2649" w:type="dxa"/>
            <w:gridSpan w:val="5"/>
            <w:vAlign w:val="center"/>
          </w:tcPr>
          <w:p>
            <w:pPr>
              <w:autoSpaceDN w:val="0"/>
              <w:spacing w:line="400" w:lineRule="exact"/>
              <w:jc w:val="left"/>
              <w:textAlignment w:val="center"/>
              <w:rPr>
                <w:rFonts w:ascii="仿宋_GB2312" w:hAnsi="仿宋_GB2312" w:eastAsia="仿宋_GB2312" w:cs="仿宋_GB2312"/>
                <w:color w:val="000000"/>
                <w:szCs w:val="21"/>
              </w:rPr>
            </w:pPr>
            <w:r>
              <w:rPr>
                <w:rFonts w:hint="eastAsia" w:ascii="仿宋_GB2312" w:hAnsi="仿宋_GB2312" w:eastAsia="仿宋_GB2312" w:cs="仿宋_GB2312"/>
                <w:color w:val="000000"/>
                <w:szCs w:val="21"/>
              </w:rPr>
              <w:t>指标3：12345热线工单满意率96%</w:t>
            </w:r>
          </w:p>
        </w:tc>
        <w:tc>
          <w:tcPr>
            <w:tcW w:w="2744" w:type="dxa"/>
            <w:gridSpan w:val="5"/>
            <w:vAlign w:val="center"/>
          </w:tcPr>
          <w:p>
            <w:pPr>
              <w:autoSpaceDN w:val="0"/>
              <w:spacing w:line="400" w:lineRule="exact"/>
              <w:jc w:val="center"/>
              <w:textAlignment w:val="center"/>
              <w:rPr>
                <w:rFonts w:ascii="仿宋_GB2312" w:hAnsi="仿宋_GB2312" w:eastAsia="仿宋_GB2312" w:cs="仿宋_GB2312"/>
                <w:color w:val="000000"/>
                <w:szCs w:val="21"/>
              </w:rPr>
            </w:pPr>
            <w:r>
              <w:rPr>
                <w:rFonts w:hint="eastAsia" w:ascii="仿宋_GB2312" w:hAnsi="仿宋_GB2312" w:eastAsia="仿宋_GB2312" w:cs="仿宋_GB2312"/>
                <w:color w:val="000000"/>
                <w:szCs w:val="21"/>
              </w:rPr>
              <w:t>满意率98.77%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2507" w:type="dxa"/>
            <w:gridSpan w:val="3"/>
            <w:vAlign w:val="center"/>
          </w:tcPr>
          <w:p>
            <w:pPr>
              <w:autoSpaceDN w:val="0"/>
              <w:spacing w:line="400" w:lineRule="exact"/>
              <w:jc w:val="left"/>
              <w:textAlignment w:val="center"/>
              <w:rPr>
                <w:rFonts w:ascii="仿宋_GB2312" w:hAnsi="仿宋_GB2312" w:eastAsia="仿宋_GB2312" w:cs="仿宋_GB2312"/>
                <w:color w:val="000000"/>
                <w:szCs w:val="21"/>
              </w:rPr>
            </w:pPr>
            <w:r>
              <w:rPr>
                <w:rFonts w:hint="eastAsia" w:ascii="仿宋_GB2312" w:hAnsi="仿宋_GB2312" w:eastAsia="仿宋_GB2312" w:cs="仿宋_GB2312"/>
                <w:color w:val="000000"/>
                <w:szCs w:val="21"/>
              </w:rPr>
              <w:t>指标1：政务公开全年督查四次</w:t>
            </w:r>
          </w:p>
        </w:tc>
        <w:tc>
          <w:tcPr>
            <w:tcW w:w="2886" w:type="dxa"/>
            <w:gridSpan w:val="7"/>
            <w:vAlign w:val="center"/>
          </w:tcPr>
          <w:p>
            <w:pPr>
              <w:autoSpaceDN w:val="0"/>
              <w:spacing w:line="400" w:lineRule="exact"/>
              <w:jc w:val="center"/>
              <w:textAlignment w:val="center"/>
              <w:rPr>
                <w:rFonts w:ascii="仿宋_GB2312" w:hAnsi="仿宋_GB2312" w:eastAsia="仿宋_GB2312" w:cs="仿宋_GB2312"/>
                <w:color w:val="000000"/>
                <w:szCs w:val="21"/>
              </w:rPr>
            </w:pPr>
            <w:r>
              <w:rPr>
                <w:rFonts w:hint="eastAsia" w:ascii="仿宋_GB2312" w:hAnsi="仿宋_GB2312" w:eastAsia="仿宋_GB2312" w:cs="仿宋_GB2312"/>
                <w:color w:val="000000"/>
                <w:szCs w:val="21"/>
              </w:rPr>
              <w:t>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1"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sz w:val="24"/>
              </w:rPr>
            </w:pPr>
          </w:p>
        </w:tc>
        <w:tc>
          <w:tcPr>
            <w:tcW w:w="2507" w:type="dxa"/>
            <w:gridSpan w:val="3"/>
            <w:vAlign w:val="center"/>
          </w:tcPr>
          <w:p>
            <w:pPr>
              <w:autoSpaceDN w:val="0"/>
              <w:spacing w:line="400" w:lineRule="exact"/>
              <w:jc w:val="left"/>
              <w:textAlignment w:val="center"/>
              <w:rPr>
                <w:rFonts w:ascii="仿宋_GB2312" w:hAnsi="仿宋_GB2312" w:eastAsia="仿宋_GB2312" w:cs="仿宋_GB2312"/>
                <w:color w:val="000000"/>
                <w:szCs w:val="21"/>
              </w:rPr>
            </w:pPr>
            <w:r>
              <w:rPr>
                <w:rFonts w:hint="eastAsia" w:ascii="仿宋_GB2312" w:hAnsi="仿宋_GB2312" w:eastAsia="仿宋_GB2312" w:cs="仿宋_GB2312"/>
                <w:color w:val="000000"/>
                <w:szCs w:val="21"/>
              </w:rPr>
              <w:t>指标2：乡镇便民服务中心全年督查四次</w:t>
            </w:r>
          </w:p>
        </w:tc>
        <w:tc>
          <w:tcPr>
            <w:tcW w:w="2886" w:type="dxa"/>
            <w:gridSpan w:val="7"/>
            <w:vAlign w:val="center"/>
          </w:tcPr>
          <w:p>
            <w:pPr>
              <w:autoSpaceDN w:val="0"/>
              <w:spacing w:line="400" w:lineRule="exact"/>
              <w:jc w:val="center"/>
              <w:textAlignment w:val="center"/>
              <w:rPr>
                <w:rFonts w:ascii="仿宋_GB2312" w:hAnsi="仿宋_GB2312" w:eastAsia="仿宋_GB2312" w:cs="仿宋_GB2312"/>
                <w:color w:val="000000"/>
                <w:szCs w:val="21"/>
              </w:rPr>
            </w:pPr>
            <w:r>
              <w:rPr>
                <w:rFonts w:hint="eastAsia" w:ascii="仿宋_GB2312" w:hAnsi="仿宋_GB2312" w:eastAsia="仿宋_GB2312" w:cs="仿宋_GB2312"/>
                <w:color w:val="000000"/>
                <w:szCs w:val="21"/>
              </w:rPr>
              <w:t>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2507" w:type="dxa"/>
            <w:gridSpan w:val="3"/>
            <w:vAlign w:val="center"/>
          </w:tcPr>
          <w:p>
            <w:pPr>
              <w:autoSpaceDN w:val="0"/>
              <w:spacing w:line="400" w:lineRule="exact"/>
              <w:jc w:val="left"/>
              <w:textAlignment w:val="center"/>
              <w:rPr>
                <w:rFonts w:ascii="仿宋_GB2312" w:hAnsi="仿宋_GB2312" w:eastAsia="仿宋_GB2312" w:cs="仿宋_GB2312"/>
                <w:color w:val="000000"/>
                <w:szCs w:val="21"/>
              </w:rPr>
            </w:pPr>
            <w:r>
              <w:rPr>
                <w:rFonts w:hint="eastAsia" w:ascii="仿宋_GB2312" w:hAnsi="仿宋_GB2312" w:eastAsia="仿宋_GB2312" w:cs="仿宋_GB2312"/>
                <w:color w:val="000000"/>
                <w:szCs w:val="21"/>
              </w:rPr>
              <w:t>指标1：政务公开更新</w:t>
            </w:r>
          </w:p>
        </w:tc>
        <w:tc>
          <w:tcPr>
            <w:tcW w:w="2886" w:type="dxa"/>
            <w:gridSpan w:val="7"/>
            <w:vAlign w:val="center"/>
          </w:tcPr>
          <w:p>
            <w:pPr>
              <w:autoSpaceDN w:val="0"/>
              <w:spacing w:line="400" w:lineRule="exact"/>
              <w:jc w:val="left"/>
              <w:textAlignment w:val="center"/>
              <w:rPr>
                <w:rFonts w:ascii="仿宋_GB2312" w:hAnsi="仿宋_GB2312" w:eastAsia="仿宋_GB2312" w:cs="仿宋_GB2312"/>
                <w:color w:val="000000"/>
                <w:szCs w:val="21"/>
              </w:rPr>
            </w:pPr>
            <w:r>
              <w:rPr>
                <w:rFonts w:hint="eastAsia" w:ascii="仿宋_GB2312" w:hAnsi="仿宋_GB2312" w:eastAsia="仿宋_GB2312" w:cs="仿宋_GB2312"/>
                <w:color w:val="000000"/>
                <w:szCs w:val="21"/>
              </w:rPr>
              <w:t>公开政府信息23709条，其中公开发布政府规范性文件12件，政府网站公开信息22905条，政府网官方微博公开信息792条。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119"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Merge w:val="continue"/>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507" w:type="dxa"/>
            <w:gridSpan w:val="3"/>
            <w:vAlign w:val="center"/>
          </w:tcPr>
          <w:p>
            <w:pPr>
              <w:autoSpaceDN w:val="0"/>
              <w:spacing w:line="400" w:lineRule="exact"/>
              <w:jc w:val="left"/>
              <w:textAlignment w:val="center"/>
              <w:rPr>
                <w:rFonts w:ascii="仿宋_GB2312" w:hAnsi="仿宋_GB2312" w:eastAsia="仿宋_GB2312" w:cs="仿宋_GB2312"/>
                <w:color w:val="000000"/>
                <w:szCs w:val="21"/>
              </w:rPr>
            </w:pPr>
            <w:r>
              <w:rPr>
                <w:rFonts w:hint="eastAsia" w:ascii="仿宋_GB2312" w:hAnsi="仿宋_GB2312" w:eastAsia="仿宋_GB2312" w:cs="仿宋_GB2312"/>
                <w:color w:val="000000"/>
                <w:szCs w:val="21"/>
              </w:rPr>
              <w:t>指标2：12345按时办结率100%</w:t>
            </w:r>
          </w:p>
        </w:tc>
        <w:tc>
          <w:tcPr>
            <w:tcW w:w="2886" w:type="dxa"/>
            <w:gridSpan w:val="7"/>
            <w:vAlign w:val="center"/>
          </w:tcPr>
          <w:p>
            <w:pPr>
              <w:autoSpaceDN w:val="0"/>
              <w:spacing w:line="400" w:lineRule="exact"/>
              <w:jc w:val="left"/>
              <w:textAlignment w:val="center"/>
              <w:rPr>
                <w:rFonts w:ascii="仿宋_GB2312" w:hAnsi="仿宋_GB2312" w:eastAsia="仿宋_GB2312" w:cs="仿宋_GB2312"/>
                <w:color w:val="000000"/>
                <w:szCs w:val="21"/>
              </w:rPr>
            </w:pPr>
            <w:r>
              <w:rPr>
                <w:rFonts w:hint="eastAsia" w:ascii="仿宋_GB2312" w:hAnsi="仿宋_GB2312" w:eastAsia="仿宋_GB2312" w:cs="仿宋_GB2312"/>
                <w:color w:val="000000"/>
                <w:szCs w:val="21"/>
              </w:rPr>
              <w:t>我区12345公众服务热线共受理工单11204件；市（区）长信箱办301件。其中，应办理工单11303件，已办理11303件，办结率100%办结</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73"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2507" w:type="dxa"/>
            <w:gridSpan w:val="3"/>
            <w:vAlign w:val="center"/>
          </w:tcPr>
          <w:p>
            <w:pPr>
              <w:autoSpaceDN w:val="0"/>
              <w:spacing w:line="400" w:lineRule="exact"/>
              <w:jc w:val="left"/>
              <w:textAlignment w:val="center"/>
              <w:rPr>
                <w:rFonts w:ascii="仿宋_GB2312" w:hAnsi="仿宋_GB2312" w:eastAsia="仿宋_GB2312" w:cs="仿宋_GB2312"/>
                <w:color w:val="000000"/>
                <w:szCs w:val="21"/>
              </w:rPr>
            </w:pPr>
            <w:r>
              <w:rPr>
                <w:rFonts w:hint="eastAsia" w:ascii="仿宋_GB2312" w:hAnsi="仿宋_GB2312" w:eastAsia="仿宋_GB2312" w:cs="仿宋_GB2312"/>
                <w:color w:val="000000"/>
                <w:szCs w:val="21"/>
              </w:rPr>
              <w:t>指标1：控制在预算内</w:t>
            </w:r>
          </w:p>
        </w:tc>
        <w:tc>
          <w:tcPr>
            <w:tcW w:w="2886" w:type="dxa"/>
            <w:gridSpan w:val="7"/>
            <w:vAlign w:val="center"/>
          </w:tcPr>
          <w:p>
            <w:pPr>
              <w:autoSpaceDN w:val="0"/>
              <w:spacing w:line="400" w:lineRule="exact"/>
              <w:jc w:val="left"/>
              <w:textAlignment w:val="center"/>
              <w:rPr>
                <w:rFonts w:ascii="仿宋_GB2312" w:hAnsi="仿宋_GB2312" w:eastAsia="仿宋_GB2312" w:cs="仿宋_GB2312"/>
                <w:color w:val="000000"/>
                <w:szCs w:val="21"/>
              </w:rPr>
            </w:pPr>
            <w:r>
              <w:rPr>
                <w:rFonts w:hint="eastAsia" w:ascii="仿宋_GB2312" w:hAnsi="仿宋_GB2312" w:eastAsia="仿宋_GB2312" w:cs="仿宋_GB2312"/>
                <w:color w:val="000000"/>
                <w:szCs w:val="21"/>
              </w:rPr>
              <w:t>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427"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2507" w:type="dxa"/>
            <w:gridSpan w:val="3"/>
            <w:vAlign w:val="center"/>
          </w:tcPr>
          <w:p>
            <w:pPr>
              <w:autoSpaceDN w:val="0"/>
              <w:spacing w:line="400" w:lineRule="exact"/>
              <w:jc w:val="left"/>
              <w:textAlignment w:val="center"/>
              <w:rPr>
                <w:rFonts w:ascii="仿宋_GB2312" w:hAnsi="仿宋_GB2312" w:eastAsia="仿宋_GB2312" w:cs="仿宋_GB2312"/>
                <w:color w:val="000000"/>
                <w:szCs w:val="21"/>
              </w:rPr>
            </w:pPr>
            <w:r>
              <w:rPr>
                <w:rFonts w:hint="eastAsia" w:ascii="仿宋_GB2312" w:hAnsi="仿宋_GB2312" w:eastAsia="仿宋_GB2312" w:cs="仿宋_GB2312"/>
                <w:color w:val="000000"/>
                <w:szCs w:val="21"/>
              </w:rPr>
              <w:t>指标1：阳光施政，有效预防腐败</w:t>
            </w:r>
          </w:p>
          <w:p>
            <w:pPr>
              <w:autoSpaceDN w:val="0"/>
              <w:spacing w:line="400" w:lineRule="exact"/>
              <w:jc w:val="left"/>
              <w:textAlignment w:val="center"/>
              <w:rPr>
                <w:rFonts w:ascii="仿宋_GB2312" w:hAnsi="仿宋_GB2312" w:eastAsia="仿宋_GB2312" w:cs="仿宋_GB2312"/>
                <w:color w:val="000000"/>
                <w:szCs w:val="21"/>
              </w:rPr>
            </w:pPr>
            <w:r>
              <w:rPr>
                <w:rFonts w:hint="eastAsia" w:ascii="仿宋_GB2312" w:hAnsi="仿宋_GB2312" w:eastAsia="仿宋_GB2312" w:cs="仿宋_GB2312"/>
                <w:color w:val="000000"/>
                <w:szCs w:val="21"/>
              </w:rPr>
              <w:t>指标2：监督行政权力，更好服务人民群众</w:t>
            </w:r>
          </w:p>
        </w:tc>
        <w:tc>
          <w:tcPr>
            <w:tcW w:w="2886" w:type="dxa"/>
            <w:gridSpan w:val="7"/>
            <w:vAlign w:val="center"/>
          </w:tcPr>
          <w:p>
            <w:pPr>
              <w:autoSpaceDN w:val="0"/>
              <w:spacing w:line="400" w:lineRule="exact"/>
              <w:jc w:val="left"/>
              <w:textAlignment w:val="center"/>
              <w:rPr>
                <w:rFonts w:ascii="仿宋_GB2312" w:hAnsi="仿宋_GB2312" w:eastAsia="仿宋_GB2312" w:cs="仿宋_GB2312"/>
                <w:color w:val="000000"/>
                <w:szCs w:val="21"/>
              </w:rPr>
            </w:pPr>
            <w:r>
              <w:rPr>
                <w:rFonts w:hint="eastAsia" w:ascii="仿宋_GB2312" w:hAnsi="仿宋_GB2312" w:eastAsia="仿宋_GB2312" w:cs="仿宋_GB2312"/>
                <w:color w:val="000000"/>
                <w:szCs w:val="21"/>
              </w:rPr>
              <w:t>坚持以深化行政审批改革、优化营商环境为全年工作的主线，助力君山打造审批服务最优、营商环境最好城区，统筹疫情防控和经济社会高质量发展双胜利</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19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2507" w:type="dxa"/>
            <w:gridSpan w:val="3"/>
            <w:vAlign w:val="center"/>
          </w:tcPr>
          <w:p>
            <w:pPr>
              <w:autoSpaceDN w:val="0"/>
              <w:spacing w:line="400" w:lineRule="exact"/>
              <w:jc w:val="left"/>
              <w:textAlignment w:val="center"/>
              <w:rPr>
                <w:rFonts w:ascii="仿宋_GB2312" w:hAnsi="仿宋_GB2312" w:eastAsia="仿宋_GB2312" w:cs="仿宋_GB2312"/>
                <w:color w:val="000000"/>
                <w:szCs w:val="21"/>
              </w:rPr>
            </w:pPr>
            <w:r>
              <w:rPr>
                <w:rFonts w:hint="eastAsia" w:ascii="仿宋_GB2312" w:hAnsi="仿宋_GB2312" w:eastAsia="仿宋_GB2312" w:cs="仿宋_GB2312"/>
                <w:color w:val="000000"/>
                <w:szCs w:val="21"/>
              </w:rPr>
              <w:t>指标1：规范各单位行政审批流程</w:t>
            </w:r>
          </w:p>
          <w:p>
            <w:pPr>
              <w:autoSpaceDN w:val="0"/>
              <w:spacing w:line="400" w:lineRule="exact"/>
              <w:jc w:val="left"/>
              <w:textAlignment w:val="center"/>
              <w:rPr>
                <w:rFonts w:ascii="仿宋_GB2312" w:hAnsi="仿宋_GB2312" w:eastAsia="仿宋_GB2312" w:cs="仿宋_GB2312"/>
                <w:color w:val="000000"/>
                <w:szCs w:val="21"/>
              </w:rPr>
            </w:pPr>
            <w:r>
              <w:rPr>
                <w:rFonts w:hint="eastAsia" w:ascii="仿宋_GB2312" w:hAnsi="仿宋_GB2312" w:eastAsia="仿宋_GB2312" w:cs="仿宋_GB2312"/>
                <w:color w:val="000000"/>
                <w:szCs w:val="21"/>
              </w:rPr>
              <w:t>指标2：建设工程项目一票制联合审批</w:t>
            </w:r>
          </w:p>
        </w:tc>
        <w:tc>
          <w:tcPr>
            <w:tcW w:w="2886" w:type="dxa"/>
            <w:gridSpan w:val="7"/>
            <w:vAlign w:val="center"/>
          </w:tcPr>
          <w:p>
            <w:pPr>
              <w:autoSpaceDN w:val="0"/>
              <w:spacing w:line="400" w:lineRule="exact"/>
              <w:jc w:val="left"/>
              <w:textAlignment w:val="center"/>
              <w:rPr>
                <w:rFonts w:ascii="仿宋_GB2312" w:hAnsi="仿宋_GB2312" w:eastAsia="仿宋_GB2312" w:cs="仿宋_GB2312"/>
                <w:color w:val="000000"/>
                <w:szCs w:val="21"/>
              </w:rPr>
            </w:pPr>
            <w:r>
              <w:rPr>
                <w:rFonts w:hint="eastAsia" w:ascii="仿宋_GB2312" w:hAnsi="仿宋_GB2312" w:eastAsia="仿宋_GB2312" w:cs="仿宋_GB2312"/>
                <w:color w:val="000000"/>
                <w:szCs w:val="21"/>
              </w:rPr>
              <w:t>已将14个部门近300个审批事项纳入“无差别”一窗受理，今年共受理审批业务1843件大大提高群众及企业办事效率。开展企业、项目帮代办。今年共受理13个工程建设项目的“一票制”规费缴纳事项，共代收缴报建规费935.89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277"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2507" w:type="dxa"/>
            <w:gridSpan w:val="3"/>
            <w:vAlign w:val="center"/>
          </w:tcPr>
          <w:p>
            <w:pPr>
              <w:autoSpaceDN w:val="0"/>
              <w:spacing w:line="320" w:lineRule="exact"/>
              <w:jc w:val="left"/>
              <w:textAlignment w:val="center"/>
              <w:rPr>
                <w:rFonts w:ascii="仿宋_GB2312" w:hAnsi="仿宋_GB2312" w:eastAsia="仿宋_GB2312" w:cs="仿宋_GB2312"/>
                <w:color w:val="000000"/>
                <w:szCs w:val="21"/>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Cs w:val="21"/>
              </w:rPr>
              <w:t>最多跑一次</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Cs w:val="21"/>
              </w:rPr>
              <w:t>指标2：一窗式受理</w:t>
            </w:r>
          </w:p>
        </w:tc>
        <w:tc>
          <w:tcPr>
            <w:tcW w:w="2886" w:type="dxa"/>
            <w:gridSpan w:val="7"/>
            <w:vAlign w:val="center"/>
          </w:tcPr>
          <w:p>
            <w:pPr>
              <w:autoSpaceDN w:val="0"/>
              <w:spacing w:line="320" w:lineRule="exact"/>
              <w:jc w:val="left"/>
              <w:textAlignment w:val="center"/>
              <w:rPr>
                <w:rFonts w:ascii="仿宋_GB2312" w:hAnsi="仿宋_GB2312" w:eastAsia="仿宋_GB2312" w:cs="仿宋_GB2312"/>
                <w:color w:val="000000"/>
                <w:szCs w:val="21"/>
              </w:rPr>
            </w:pPr>
            <w:r>
              <w:rPr>
                <w:rFonts w:hint="eastAsia" w:ascii="仿宋_GB2312" w:hAnsi="仿宋_GB2312" w:eastAsia="仿宋_GB2312" w:cs="仿宋_GB2312"/>
                <w:color w:val="000000"/>
                <w:szCs w:val="21"/>
              </w:rPr>
              <w:t>资料线上跑闭合式工作链避免了资源浪费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254" w:hRule="atLeast"/>
          <w:jc w:val="center"/>
        </w:trPr>
        <w:tc>
          <w:tcPr>
            <w:tcW w:w="1441" w:type="dxa"/>
            <w:vMerge w:val="continue"/>
            <w:vAlign w:val="center"/>
          </w:tcPr>
          <w:p>
            <w:pPr>
              <w:spacing w:line="320" w:lineRule="exact"/>
              <w:rPr>
                <w:rFonts w:ascii="仿宋_GB2312" w:hAnsi="仿宋_GB2312" w:eastAsia="仿宋_GB2312" w:cs="仿宋_GB2312"/>
                <w:sz w:val="24"/>
              </w:rPr>
            </w:pPr>
          </w:p>
        </w:tc>
        <w:tc>
          <w:tcPr>
            <w:tcW w:w="1549" w:type="dxa"/>
            <w:gridSpan w:val="4"/>
            <w:vMerge w:val="continue"/>
            <w:vAlign w:val="center"/>
          </w:tcPr>
          <w:p>
            <w:pPr>
              <w:autoSpaceDN w:val="0"/>
              <w:spacing w:line="320" w:lineRule="exact"/>
              <w:rPr>
                <w:rFonts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2507" w:type="dxa"/>
            <w:gridSpan w:val="3"/>
            <w:vAlign w:val="center"/>
          </w:tcPr>
          <w:p>
            <w:pPr>
              <w:autoSpaceDN w:val="0"/>
              <w:spacing w:line="400" w:lineRule="exact"/>
              <w:jc w:val="left"/>
              <w:textAlignment w:val="center"/>
              <w:rPr>
                <w:rFonts w:ascii="仿宋_GB2312" w:hAnsi="仿宋_GB2312" w:eastAsia="仿宋_GB2312" w:cs="仿宋_GB2312"/>
                <w:color w:val="000000"/>
                <w:szCs w:val="21"/>
              </w:rPr>
            </w:pPr>
            <w:r>
              <w:rPr>
                <w:rFonts w:hint="eastAsia" w:ascii="仿宋_GB2312" w:hAnsi="仿宋_GB2312" w:eastAsia="仿宋_GB2312" w:cs="仿宋_GB2312"/>
                <w:color w:val="000000"/>
                <w:szCs w:val="21"/>
              </w:rPr>
              <w:t>指标1：优化环境指数测评</w:t>
            </w:r>
          </w:p>
          <w:p>
            <w:pPr>
              <w:autoSpaceDN w:val="0"/>
              <w:spacing w:line="400" w:lineRule="exact"/>
              <w:jc w:val="left"/>
              <w:textAlignment w:val="center"/>
              <w:rPr>
                <w:rFonts w:ascii="仿宋_GB2312" w:hAnsi="仿宋_GB2312" w:eastAsia="仿宋_GB2312" w:cs="仿宋_GB2312"/>
                <w:color w:val="000000"/>
                <w:szCs w:val="21"/>
              </w:rPr>
            </w:pPr>
            <w:r>
              <w:rPr>
                <w:rFonts w:hint="eastAsia" w:ascii="仿宋_GB2312" w:hAnsi="仿宋_GB2312" w:eastAsia="仿宋_GB2312" w:cs="仿宋_GB2312"/>
                <w:color w:val="000000"/>
                <w:szCs w:val="21"/>
              </w:rPr>
              <w:t>指标2：文明指数测评</w:t>
            </w:r>
          </w:p>
        </w:tc>
        <w:tc>
          <w:tcPr>
            <w:tcW w:w="2886" w:type="dxa"/>
            <w:gridSpan w:val="7"/>
            <w:vAlign w:val="center"/>
          </w:tcPr>
          <w:p>
            <w:pPr>
              <w:autoSpaceDN w:val="0"/>
              <w:spacing w:line="400" w:lineRule="exact"/>
              <w:jc w:val="left"/>
              <w:textAlignment w:val="center"/>
              <w:rPr>
                <w:rFonts w:ascii="仿宋_GB2312" w:hAnsi="仿宋_GB2312" w:eastAsia="仿宋_GB2312" w:cs="仿宋_GB2312"/>
                <w:color w:val="000000"/>
                <w:szCs w:val="21"/>
              </w:rPr>
            </w:pPr>
            <w:r>
              <w:rPr>
                <w:rFonts w:hint="eastAsia" w:ascii="仿宋_GB2312" w:hAnsi="仿宋_GB2312" w:eastAsia="仿宋_GB2312" w:cs="仿宋_GB2312"/>
                <w:color w:val="000000"/>
                <w:szCs w:val="21"/>
              </w:rPr>
              <w:t>2020年，成功创建省级“文明窗口”单位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01" w:hRule="atLeast"/>
          <w:jc w:val="center"/>
        </w:trPr>
        <w:tc>
          <w:tcPr>
            <w:tcW w:w="2990"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810" w:type="dxa"/>
            <w:gridSpan w:val="12"/>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72" w:hRule="atLeast"/>
          <w:jc w:val="center"/>
        </w:trPr>
        <w:tc>
          <w:tcPr>
            <w:tcW w:w="2990" w:type="dxa"/>
            <w:gridSpan w:val="5"/>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810" w:type="dxa"/>
            <w:gridSpan w:val="1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优秀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31" w:hRule="atLeast"/>
          <w:jc w:val="center"/>
        </w:trPr>
        <w:tc>
          <w:tcPr>
            <w:tcW w:w="9800" w:type="dxa"/>
            <w:gridSpan w:val="17"/>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2425" w:type="dxa"/>
            <w:gridSpan w:val="4"/>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2615" w:type="dxa"/>
            <w:gridSpan w:val="3"/>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朱运行</w:t>
            </w:r>
          </w:p>
        </w:tc>
        <w:tc>
          <w:tcPr>
            <w:tcW w:w="2425" w:type="dxa"/>
            <w:gridSpan w:val="4"/>
            <w:vAlign w:val="center"/>
          </w:tcPr>
          <w:p>
            <w:pPr>
              <w:autoSpaceDN w:val="0"/>
              <w:spacing w:line="400" w:lineRule="exact"/>
              <w:jc w:val="center"/>
              <w:textAlignment w:val="center"/>
              <w:rPr>
                <w:rFonts w:ascii="仿宋_GB2312" w:hAnsi="仿宋_GB2312" w:eastAsia="仿宋_GB2312" w:cs="仿宋_GB2312"/>
                <w:color w:val="000000"/>
                <w:szCs w:val="21"/>
              </w:rPr>
            </w:pPr>
            <w:r>
              <w:rPr>
                <w:rFonts w:hint="eastAsia" w:ascii="仿宋_GB2312" w:hAnsi="仿宋_GB2312" w:eastAsia="仿宋_GB2312" w:cs="仿宋_GB2312"/>
                <w:color w:val="000000"/>
                <w:szCs w:val="21"/>
              </w:rPr>
              <w:t>局长</w:t>
            </w:r>
          </w:p>
        </w:tc>
        <w:tc>
          <w:tcPr>
            <w:tcW w:w="2615" w:type="dxa"/>
            <w:gridSpan w:val="3"/>
            <w:vAlign w:val="center"/>
          </w:tcPr>
          <w:p>
            <w:pPr>
              <w:autoSpaceDN w:val="0"/>
              <w:spacing w:line="400" w:lineRule="exact"/>
              <w:jc w:val="center"/>
              <w:textAlignment w:val="center"/>
              <w:rPr>
                <w:rFonts w:ascii="仿宋_GB2312" w:hAnsi="仿宋_GB2312" w:eastAsia="仿宋_GB2312" w:cs="仿宋_GB2312"/>
                <w:color w:val="000000"/>
                <w:szCs w:val="21"/>
              </w:rPr>
            </w:pPr>
            <w:r>
              <w:rPr>
                <w:rFonts w:hint="eastAsia" w:ascii="仿宋_GB2312" w:hAnsi="仿宋_GB2312" w:eastAsia="仿宋_GB2312" w:cs="仿宋_GB2312"/>
                <w:color w:val="000000"/>
                <w:szCs w:val="21"/>
              </w:rPr>
              <w:t>区行政审批服务局</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阳芳</w:t>
            </w:r>
          </w:p>
        </w:tc>
        <w:tc>
          <w:tcPr>
            <w:tcW w:w="2425" w:type="dxa"/>
            <w:gridSpan w:val="4"/>
            <w:vAlign w:val="center"/>
          </w:tcPr>
          <w:p>
            <w:pPr>
              <w:autoSpaceDN w:val="0"/>
              <w:spacing w:line="400" w:lineRule="exact"/>
              <w:jc w:val="center"/>
              <w:textAlignment w:val="center"/>
              <w:rPr>
                <w:rFonts w:ascii="仿宋_GB2312" w:hAnsi="仿宋_GB2312" w:eastAsia="仿宋_GB2312" w:cs="仿宋_GB2312"/>
                <w:color w:val="000000"/>
                <w:szCs w:val="21"/>
              </w:rPr>
            </w:pPr>
            <w:r>
              <w:rPr>
                <w:rFonts w:hint="eastAsia" w:ascii="仿宋_GB2312" w:hAnsi="仿宋_GB2312" w:eastAsia="仿宋_GB2312" w:cs="仿宋_GB2312"/>
                <w:color w:val="000000"/>
                <w:szCs w:val="21"/>
              </w:rPr>
              <w:t>副局长</w:t>
            </w:r>
          </w:p>
        </w:tc>
        <w:tc>
          <w:tcPr>
            <w:tcW w:w="2615" w:type="dxa"/>
            <w:gridSpan w:val="3"/>
            <w:vAlign w:val="center"/>
          </w:tcPr>
          <w:p>
            <w:pPr>
              <w:autoSpaceDN w:val="0"/>
              <w:spacing w:line="400" w:lineRule="exact"/>
              <w:jc w:val="center"/>
              <w:textAlignment w:val="center"/>
              <w:rPr>
                <w:rFonts w:ascii="仿宋_GB2312" w:hAnsi="仿宋_GB2312" w:eastAsia="仿宋_GB2312" w:cs="仿宋_GB2312"/>
                <w:color w:val="000000"/>
                <w:szCs w:val="21"/>
              </w:rPr>
            </w:pPr>
            <w:r>
              <w:rPr>
                <w:rFonts w:hint="eastAsia" w:ascii="仿宋_GB2312" w:hAnsi="仿宋_GB2312" w:eastAsia="仿宋_GB2312" w:cs="仿宋_GB2312"/>
                <w:color w:val="000000"/>
                <w:szCs w:val="21"/>
              </w:rPr>
              <w:t>区行政审批服务局</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张焱根</w:t>
            </w:r>
          </w:p>
        </w:tc>
        <w:tc>
          <w:tcPr>
            <w:tcW w:w="2425" w:type="dxa"/>
            <w:gridSpan w:val="4"/>
            <w:vAlign w:val="center"/>
          </w:tcPr>
          <w:p>
            <w:pPr>
              <w:autoSpaceDN w:val="0"/>
              <w:spacing w:line="400" w:lineRule="exact"/>
              <w:jc w:val="center"/>
              <w:textAlignment w:val="center"/>
              <w:rPr>
                <w:rFonts w:ascii="仿宋_GB2312" w:hAnsi="仿宋_GB2312" w:eastAsia="仿宋_GB2312" w:cs="仿宋_GB2312"/>
                <w:color w:val="000000"/>
                <w:szCs w:val="21"/>
              </w:rPr>
            </w:pPr>
            <w:r>
              <w:rPr>
                <w:rFonts w:hint="eastAsia" w:ascii="仿宋_GB2312" w:hAnsi="仿宋_GB2312" w:eastAsia="仿宋_GB2312" w:cs="仿宋_GB2312"/>
                <w:color w:val="000000"/>
                <w:szCs w:val="21"/>
              </w:rPr>
              <w:t>政务中心副科级干部</w:t>
            </w:r>
          </w:p>
        </w:tc>
        <w:tc>
          <w:tcPr>
            <w:tcW w:w="2615" w:type="dxa"/>
            <w:gridSpan w:val="3"/>
            <w:vAlign w:val="center"/>
          </w:tcPr>
          <w:p>
            <w:pPr>
              <w:autoSpaceDN w:val="0"/>
              <w:spacing w:line="400" w:lineRule="exact"/>
              <w:jc w:val="center"/>
              <w:textAlignment w:val="center"/>
              <w:rPr>
                <w:rFonts w:ascii="仿宋_GB2312" w:hAnsi="仿宋_GB2312" w:eastAsia="仿宋_GB2312" w:cs="仿宋_GB2312"/>
                <w:color w:val="000000"/>
                <w:szCs w:val="21"/>
              </w:rPr>
            </w:pPr>
            <w:r>
              <w:rPr>
                <w:rFonts w:hint="eastAsia" w:ascii="仿宋_GB2312" w:hAnsi="仿宋_GB2312" w:eastAsia="仿宋_GB2312" w:cs="仿宋_GB2312"/>
                <w:color w:val="000000"/>
                <w:szCs w:val="21"/>
              </w:rPr>
              <w:t>政务中心</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vAlign w:val="center"/>
          </w:tcPr>
          <w:p>
            <w:pPr>
              <w:autoSpaceDN w:val="0"/>
              <w:spacing w:line="40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李晋</w:t>
            </w:r>
          </w:p>
        </w:tc>
        <w:tc>
          <w:tcPr>
            <w:tcW w:w="2425" w:type="dxa"/>
            <w:gridSpan w:val="4"/>
            <w:vAlign w:val="center"/>
          </w:tcPr>
          <w:p>
            <w:pPr>
              <w:autoSpaceDN w:val="0"/>
              <w:spacing w:line="400" w:lineRule="exact"/>
              <w:jc w:val="center"/>
              <w:textAlignment w:val="center"/>
              <w:rPr>
                <w:rFonts w:ascii="仿宋_GB2312" w:hAnsi="仿宋_GB2312" w:eastAsia="仿宋_GB2312" w:cs="仿宋_GB2312"/>
                <w:color w:val="000000"/>
                <w:szCs w:val="21"/>
              </w:rPr>
            </w:pPr>
            <w:r>
              <w:rPr>
                <w:rFonts w:hint="eastAsia" w:ascii="仿宋_GB2312" w:hAnsi="仿宋_GB2312" w:eastAsia="仿宋_GB2312" w:cs="仿宋_GB2312"/>
                <w:color w:val="000000"/>
                <w:szCs w:val="21"/>
              </w:rPr>
              <w:t>政务中心主任</w:t>
            </w:r>
          </w:p>
        </w:tc>
        <w:tc>
          <w:tcPr>
            <w:tcW w:w="2615" w:type="dxa"/>
            <w:gridSpan w:val="3"/>
            <w:vAlign w:val="center"/>
          </w:tcPr>
          <w:p>
            <w:pPr>
              <w:autoSpaceDN w:val="0"/>
              <w:spacing w:line="400" w:lineRule="exact"/>
              <w:jc w:val="center"/>
              <w:textAlignment w:val="center"/>
              <w:rPr>
                <w:rFonts w:ascii="仿宋_GB2312" w:hAnsi="仿宋_GB2312" w:eastAsia="仿宋_GB2312" w:cs="仿宋_GB2312"/>
                <w:color w:val="000000"/>
                <w:szCs w:val="21"/>
              </w:rPr>
            </w:pPr>
            <w:r>
              <w:rPr>
                <w:rFonts w:hint="eastAsia" w:ascii="仿宋_GB2312" w:hAnsi="仿宋_GB2312" w:eastAsia="仿宋_GB2312" w:cs="仿宋_GB2312"/>
                <w:color w:val="000000"/>
                <w:szCs w:val="21"/>
              </w:rPr>
              <w:t>政务中心</w:t>
            </w:r>
          </w:p>
        </w:tc>
        <w:tc>
          <w:tcPr>
            <w:tcW w:w="3106" w:type="dxa"/>
            <w:gridSpan w:val="8"/>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94" w:hRule="atLeast"/>
          <w:jc w:val="center"/>
        </w:trPr>
        <w:tc>
          <w:tcPr>
            <w:tcW w:w="9800" w:type="dxa"/>
            <w:gridSpan w:val="17"/>
            <w:vAlign w:val="center"/>
          </w:tcPr>
          <w:p>
            <w:pPr>
              <w:spacing w:line="320" w:lineRule="exact"/>
              <w:rPr>
                <w:rFonts w:eastAsia="仿宋_GB2312"/>
                <w:sz w:val="24"/>
              </w:rPr>
            </w:pPr>
            <w:r>
              <w:rPr>
                <w:rFonts w:hint="eastAsia" w:eastAsia="仿宋_GB2312"/>
                <w:sz w:val="24"/>
              </w:rPr>
              <w:t>财政部门归口业务科室意见：</w:t>
            </w: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r>
              <w:rPr>
                <w:rFonts w:hint="eastAsia" w:eastAsia="仿宋_GB2312"/>
                <w:sz w:val="24"/>
              </w:rPr>
              <w:t xml:space="preserve">                                  财政部门归口业务股室负责人（签章）：</w:t>
            </w:r>
          </w:p>
          <w:p>
            <w:pPr>
              <w:autoSpaceDN w:val="0"/>
              <w:spacing w:line="320" w:lineRule="exact"/>
              <w:jc w:val="left"/>
              <w:textAlignment w:val="center"/>
              <w:rPr>
                <w:rFonts w:ascii="仿宋_GB2312" w:hAnsi="仿宋_GB2312" w:eastAsia="仿宋_GB2312" w:cs="仿宋_GB2312"/>
                <w:color w:val="000000"/>
                <w:sz w:val="24"/>
              </w:rPr>
            </w:pPr>
            <w:r>
              <w:rPr>
                <w:rFonts w:hint="eastAsia" w:eastAsia="仿宋_GB2312"/>
                <w:sz w:val="24"/>
              </w:rPr>
              <w:t xml:space="preserve">                                                                 年    月   日</w:t>
            </w:r>
          </w:p>
        </w:tc>
      </w:tr>
    </w:tbl>
    <w:p>
      <w:pPr>
        <w:rPr>
          <w:rFonts w:eastAsia="仿宋_GB2312" w:cs="仿宋_GB2312"/>
          <w:bCs/>
          <w:sz w:val="28"/>
          <w:szCs w:val="28"/>
        </w:rPr>
      </w:pPr>
      <w:r>
        <w:rPr>
          <w:rFonts w:hint="eastAsia" w:eastAsia="仿宋_GB2312" w:cs="仿宋_GB2312"/>
          <w:bCs/>
          <w:sz w:val="28"/>
          <w:szCs w:val="28"/>
        </w:rPr>
        <w:t>填报人（签名）：                          联系电话：</w:t>
      </w:r>
    </w:p>
    <w:tbl>
      <w:tblPr>
        <w:tblStyle w:val="6"/>
        <w:tblW w:w="95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8" w:hRule="atLeast"/>
          <w:jc w:val="center"/>
        </w:trPr>
        <w:tc>
          <w:tcPr>
            <w:tcW w:w="9558" w:type="dxa"/>
          </w:tcPr>
          <w:p>
            <w:pPr>
              <w:jc w:val="center"/>
              <w:rPr>
                <w:rFonts w:ascii="黑体" w:hAnsi="黑体" w:eastAsia="黑体" w:cs="黑体"/>
                <w:bCs/>
                <w:sz w:val="28"/>
                <w:szCs w:val="28"/>
              </w:rPr>
            </w:pPr>
            <w:r>
              <w:rPr>
                <w:rFonts w:hint="eastAsia" w:ascii="黑体" w:hAnsi="黑体" w:eastAsia="黑体" w:cs="黑体"/>
                <w:bCs/>
                <w:sz w:val="28"/>
                <w:szCs w:val="28"/>
              </w:rPr>
              <w:t>五、评价报告综述（文字部分）</w:t>
            </w:r>
          </w:p>
          <w:p>
            <w:pPr>
              <w:spacing w:line="440" w:lineRule="exact"/>
              <w:ind w:firstLine="640" w:firstLineChars="200"/>
              <w:rPr>
                <w:rFonts w:eastAsia="仿宋_GB2312"/>
                <w:sz w:val="32"/>
                <w:szCs w:val="32"/>
              </w:rPr>
            </w:pP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一、部门（单位）概况</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（一）部门（单位）基本情况</w:t>
            </w:r>
          </w:p>
          <w:p>
            <w:pPr>
              <w:ind w:firstLine="560" w:firstLineChars="200"/>
              <w:rPr>
                <w:rFonts w:ascii="仿宋_GB2312" w:hAnsi="仿宋_GB2312" w:eastAsia="仿宋_GB2312" w:cs="仿宋_GB2312"/>
                <w:sz w:val="28"/>
                <w:szCs w:val="28"/>
              </w:rPr>
            </w:pPr>
            <w:r>
              <w:rPr>
                <w:rFonts w:hint="eastAsia" w:ascii="仿宋_GB2312" w:hAnsi="仿宋_GB2312" w:eastAsia="仿宋_GB2312" w:cs="仿宋_GB2312"/>
                <w:sz w:val="28"/>
                <w:szCs w:val="28"/>
              </w:rPr>
              <w:t>区行政审批服务局成立于2019年3月，为区人民政府组成部门，下设2个副科级事业单位（区政务中心和现场勘查中心）。内设有办公室、优化办、行政审批制度改革股、政务公开股、政务服务股、电子政务办、热线办7个股室。主要承担全区行政审批制度改革、政务公开、政务服务、“12345”热线和市（区）长信箱办理、电子政务、政府门户网站、镇(街道)便民服务中心、村（社区）便民服务平台、现场勘查的组织协调、指导管理等工作和职能。</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（二）部门（单位）整体支出规模、使用方向和主要内容、涉及范围等</w:t>
            </w:r>
          </w:p>
          <w:p>
            <w:pPr>
              <w:spacing w:line="560" w:lineRule="exact"/>
              <w:ind w:firstLine="460" w:firstLineChars="200"/>
              <w:rPr>
                <w:rFonts w:ascii="仿宋_GB2312" w:hAnsi="仿宋_GB2312" w:eastAsia="仿宋_GB2312" w:cs="仿宋_GB2312"/>
                <w:bCs/>
                <w:sz w:val="28"/>
                <w:szCs w:val="28"/>
              </w:rPr>
            </w:pPr>
            <w:r>
              <w:rPr>
                <w:rFonts w:hint="eastAsia" w:ascii="微软雅黑" w:hAnsi="微软雅黑" w:eastAsia="微软雅黑"/>
                <w:color w:val="555555"/>
                <w:sz w:val="23"/>
                <w:szCs w:val="23"/>
                <w:shd w:val="clear" w:color="auto" w:fill="FFFFFF"/>
              </w:rPr>
              <w:t>20</w:t>
            </w:r>
            <w:r>
              <w:rPr>
                <w:rFonts w:hint="eastAsia" w:ascii="仿宋_GB2312" w:hAnsi="仿宋_GB2312" w:eastAsia="仿宋_GB2312" w:cs="仿宋_GB2312"/>
                <w:sz w:val="28"/>
                <w:szCs w:val="28"/>
              </w:rPr>
              <w:t>20年度局机关及二级机构支出合计1125.76万元，基本支出135.36万元，其中人员经费支出112.53万元，公用经费22.83万元；项目专项支出990.4万元。专项支出主要政府门户网站和电子政务外网运行经费、政务服务专项经费、二级机构工作经费及新大厅建设经费。</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二、部门（单位）整体支出管理及使用情况</w:t>
            </w:r>
          </w:p>
          <w:p>
            <w:pPr>
              <w:pStyle w:val="10"/>
              <w:numPr>
                <w:ilvl w:val="0"/>
                <w:numId w:val="1"/>
              </w:numPr>
              <w:spacing w:line="560" w:lineRule="exact"/>
              <w:ind w:firstLineChars="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基本支出</w:t>
            </w:r>
          </w:p>
          <w:p>
            <w:pPr>
              <w:spacing w:line="560" w:lineRule="exact"/>
              <w:ind w:left="21" w:leftChars="10" w:firstLine="420" w:firstLineChars="15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2020年度局机关及二级机构基本支出合计135.35万元，其中人员经费支出112.52万元，公用经费22.83万元，主要用于人员和机关运行开支。</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（二）专项支出</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1、专项资金安排落实、总投入等情况分析</w:t>
            </w:r>
          </w:p>
          <w:p>
            <w:pPr>
              <w:spacing w:line="560" w:lineRule="exact"/>
              <w:rPr>
                <w:rFonts w:ascii="仿宋_GB2312" w:hAnsi="仿宋_GB2312" w:eastAsia="仿宋_GB2312" w:cs="仿宋_GB2312"/>
                <w:sz w:val="28"/>
                <w:szCs w:val="28"/>
              </w:rPr>
            </w:pPr>
            <w:r>
              <w:rPr>
                <w:rFonts w:hint="eastAsia" w:ascii="仿宋_GB2312" w:hAnsi="仿宋_GB2312" w:eastAsia="仿宋_GB2312" w:cs="仿宋_GB2312"/>
                <w:sz w:val="28"/>
                <w:szCs w:val="28"/>
              </w:rPr>
              <w:t>2020年度局机关及二级机构项目支出合计990.4万元。专项支出主要政府门户网站和电子政务外网运行经费、政务服务专项经费、二级机构工作经费及新大厅建设经费。</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2、专项资金实际使用情况分析</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按照专项工作的计划进度和预算安排支出专项资金，大力加强专项资金的保障力度，确保主要工作专项工作有序开展。全年总投入专项资金1495.95万元，全部用于专项工作，专项资没有被挪用、挤占，全部按进度支付到位。</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3、专项资金管理情况分析</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为规范财政专项资金管理，从2020年开始，行政审批服务局按照“集中管理，统一核算，分户核算，专款专用，监管分离”的管理模式，各单位和相关业务股室负责专项资金的执行管理，即负责收入的征集、专项资金计划的申报、项目的实施、资金使用情况的监督、评价和检查及财务管理工作。财政监督部门负责定期或不定期对财政专项资金的管理情况进行监督检查。确保了财政专项资金的安全。</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三、部门（单位）专项组织实施情况</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（一）专项组织情况分析</w:t>
            </w:r>
          </w:p>
          <w:p>
            <w:pPr>
              <w:widowControl/>
              <w:shd w:val="clear" w:color="auto" w:fill="FFFFFF"/>
              <w:spacing w:line="480" w:lineRule="auto"/>
              <w:ind w:firstLine="48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为规避财政风险，提高财政专项资金使用效益，确保财政专项资金安全运行，我局成立有财务工作领导小组，在资金使用审批上坚持局党组集体研究决定，纪检部门全程跟踪，分管副局长签字，局长最后审批报帐的原则。</w:t>
            </w:r>
          </w:p>
          <w:p>
            <w:pPr>
              <w:pStyle w:val="10"/>
              <w:numPr>
                <w:ilvl w:val="0"/>
                <w:numId w:val="1"/>
              </w:numPr>
              <w:spacing w:line="560" w:lineRule="exact"/>
              <w:ind w:firstLineChars="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专项管理情况分析</w:t>
            </w:r>
          </w:p>
          <w:p>
            <w:pPr>
              <w:spacing w:line="560" w:lineRule="exact"/>
              <w:ind w:left="21" w:leftChars="10" w:firstLine="700" w:firstLineChars="25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严格遵循财政专项资金管理办法，在专项资金的使用上，根据专项工作不同要求，确定项目资金负责人，局机关专项支出由分管财务领导负责管理，二级机构专项资金的使用由机构主要负责人管理实施。局机关负责监督全部专项资金的管理使用，确保每一分钱按时按量用到实处。</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四、部门（单位）整体支出绩效情况</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2020年，君山区行政审批服务局在区委、区政府的正确领导下，坚持以深化行政审批改革、优化营商环境为全年工作的主线，助力君山打造审批服务最优、营商环境最好城区，统筹疫情防控和经济社会高质量发展双胜利。本年度我局不断优化政务服务。按照上级行政审批改革“前台综合受理、后台分类审批、统一窗口出件”的工作要求，目前已将14个部门近300个审批事项纳入“无差别”一窗受理，今年共受理审批业务1843件。热线工作创先争优。市热线办对我区2020年工单办理综合考核结果为：综合指标值全市考核等级为A类，在县市区综合排名中位居第一，连续九年荣获“岳阳市12345公众服务热线工作先进单位”。优化营商工作环境稳居一流。推动“好差评”制度落地，投入84台评价器到区政务大厅、镇（办）政务中心及村（社区）便民服务中心，办事企业和群众在当前事项办理完毕后，可对办件情况进行评价，形成“全闭环”式服务评价，推动部门不断优化办事流程，提升服务水平，优化营商环境，2020年共收到服务评价34874条，满意率达99.97%。</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五、存在的主要问题</w:t>
            </w:r>
          </w:p>
          <w:p>
            <w:pPr>
              <w:widowControl/>
              <w:shd w:val="clear" w:color="auto" w:fill="FFFFFF"/>
              <w:spacing w:line="480" w:lineRule="auto"/>
              <w:ind w:firstLine="48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1、整体支出的预算编制、执行和管理过程中，依然存在一些问题和不足。</w:t>
            </w:r>
          </w:p>
          <w:p>
            <w:pPr>
              <w:widowControl/>
              <w:shd w:val="clear" w:color="auto" w:fill="FFFFFF"/>
              <w:spacing w:line="480" w:lineRule="auto"/>
              <w:ind w:firstLine="48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2、对绩效考评的内容有待进一步完善。</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六、改进措施和有关建议</w:t>
            </w:r>
          </w:p>
          <w:p>
            <w:pPr>
              <w:widowControl/>
              <w:shd w:val="clear" w:color="auto" w:fill="FFFFFF"/>
              <w:spacing w:line="480" w:lineRule="auto"/>
              <w:ind w:firstLine="48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1、健全内部管理和控制制度，提高绩效管理水平。</w:t>
            </w:r>
          </w:p>
          <w:p>
            <w:pPr>
              <w:widowControl/>
              <w:shd w:val="clear" w:color="auto" w:fill="FFFFFF"/>
              <w:spacing w:line="480" w:lineRule="auto"/>
              <w:ind w:firstLine="480"/>
              <w:rPr>
                <w:rFonts w:eastAsia="楷体_GB2312"/>
                <w:bCs/>
                <w:sz w:val="28"/>
                <w:szCs w:val="28"/>
              </w:rPr>
            </w:pPr>
            <w:r>
              <w:rPr>
                <w:rFonts w:hint="eastAsia" w:ascii="仿宋_GB2312" w:hAnsi="仿宋_GB2312" w:eastAsia="仿宋_GB2312" w:cs="仿宋_GB2312"/>
                <w:bCs/>
                <w:sz w:val="28"/>
                <w:szCs w:val="28"/>
              </w:rPr>
              <w:t>2、加强对财务人员和相关管理人员的业务培训，提高相关人员的业务能力和素质。最大限度减少人为因素，保证绩效评价的公平性等措施来提高绩效评价的作用。</w:t>
            </w:r>
          </w:p>
        </w:tc>
      </w:tr>
    </w:tbl>
    <w:p>
      <w:pPr>
        <w:spacing w:beforeLines="100" w:afterLines="100"/>
        <w:ind w:firstLine="2160" w:firstLineChars="600"/>
        <w:jc w:val="both"/>
        <w:rPr>
          <w:rFonts w:ascii="方正小标宋简体" w:eastAsia="方正小标宋简体"/>
          <w:sz w:val="36"/>
          <w:szCs w:val="36"/>
        </w:rPr>
      </w:pPr>
      <w:r>
        <w:rPr>
          <w:rFonts w:hint="eastAsia" w:ascii="方正小标宋简体" w:eastAsia="方正小标宋简体"/>
          <w:sz w:val="36"/>
          <w:szCs w:val="36"/>
        </w:rPr>
        <w:t>部门整体支出绩效评价评分表</w:t>
      </w:r>
    </w:p>
    <w:tbl>
      <w:tblPr>
        <w:tblStyle w:val="6"/>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6</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lang w:eastAsia="zh-CN"/>
              </w:rPr>
              <w:t>政府采购暂未全面覆盖</w:t>
            </w:r>
          </w:p>
        </w:tc>
      </w:tr>
      <w:tr>
        <w:tblPrEx>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default"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eastAsia="zh-CN"/>
              </w:rPr>
              <w:t>公务刷卡</w:t>
            </w:r>
            <w:r>
              <w:rPr>
                <w:rFonts w:hint="eastAsia" w:ascii="仿宋_GB2312" w:hAnsi="宋体" w:eastAsia="仿宋_GB2312" w:cs="宋体"/>
                <w:kern w:val="0"/>
                <w:sz w:val="18"/>
                <w:szCs w:val="18"/>
              </w:rPr>
              <w:t>率</w:t>
            </w:r>
            <w:r>
              <w:rPr>
                <w:rFonts w:hint="eastAsia" w:ascii="仿宋_GB2312" w:hAnsi="宋体" w:eastAsia="仿宋_GB2312" w:cs="宋体"/>
                <w:kern w:val="0"/>
                <w:sz w:val="18"/>
                <w:szCs w:val="18"/>
                <w:lang w:eastAsia="zh-CN"/>
              </w:rPr>
              <w:t>未达</w:t>
            </w:r>
            <w:r>
              <w:rPr>
                <w:rFonts w:hint="eastAsia" w:ascii="仿宋_GB2312" w:hAnsi="宋体" w:eastAsia="仿宋_GB2312" w:cs="宋体"/>
                <w:kern w:val="0"/>
                <w:sz w:val="18"/>
                <w:szCs w:val="18"/>
                <w:lang w:val="en-US" w:eastAsia="zh-CN"/>
              </w:rPr>
              <w:t>50%</w:t>
            </w:r>
          </w:p>
        </w:tc>
      </w:tr>
      <w:tr>
        <w:tblPrEx>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bl>
    <w:p/>
    <w:p/>
    <w:p/>
    <w:tbl>
      <w:tblPr>
        <w:tblStyle w:val="6"/>
        <w:tblW w:w="9894" w:type="dxa"/>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83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lang w:eastAsia="zh-CN"/>
              </w:rPr>
              <w:t>资产清查不够全面</w:t>
            </w:r>
          </w:p>
        </w:tc>
      </w:tr>
      <w:tr>
        <w:tblPrEx>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此项指标根据《中共岳阳市委 岳阳市人民政府 关于做好岳阳市加快推进湖南发展新增长极建设2015年度综合绩效考评工作的通知》（岳发〔2015〕11号）和《中共岳阳市委 岳阳市人民政府 关于做好2015年度综合绩效考评工作的补充通知》（岳发〔2015〕19号）附件2第一大项“工作实绩指标”（700分）考核内容设置。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省市重点民生实事完成情况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default" w:ascii="仿宋_GB2312" w:hAnsi="宋体" w:eastAsia="仿宋_GB2312" w:cs="宋体"/>
                <w:b/>
                <w:bCs/>
                <w:kern w:val="0"/>
                <w:sz w:val="18"/>
                <w:szCs w:val="18"/>
                <w:lang w:val="en-US" w:eastAsia="zh-CN"/>
              </w:rPr>
            </w:pPr>
            <w:r>
              <w:rPr>
                <w:rFonts w:hint="eastAsia" w:ascii="仿宋_GB2312" w:hAnsi="宋体" w:eastAsia="仿宋_GB2312" w:cs="宋体"/>
                <w:b/>
                <w:bCs/>
                <w:kern w:val="0"/>
                <w:sz w:val="18"/>
                <w:szCs w:val="18"/>
                <w:lang w:val="en-US" w:eastAsia="zh-CN"/>
              </w:rPr>
              <w:t>97</w:t>
            </w:r>
            <w:bookmarkStart w:id="0" w:name="_GoBack"/>
            <w:bookmarkEnd w:id="0"/>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r>
    </w:tbl>
    <w:p>
      <w:pPr>
        <w:adjustRightInd w:val="0"/>
        <w:snapToGrid w:val="0"/>
        <w:spacing w:line="200" w:lineRule="exact"/>
        <w:contextualSpacing/>
        <w:jc w:val="right"/>
        <w:rPr>
          <w:rFonts w:eastAsia="仿宋_GB2312"/>
          <w:sz w:val="32"/>
        </w:rPr>
      </w:pPr>
      <w:r>
        <w:rPr>
          <w:rFonts w:hint="eastAsia" w:ascii="仿宋_GB2312" w:hAnsi="宋体" w:eastAsia="仿宋_GB2312" w:cs="宋体"/>
          <w:color w:val="FFFFFF" w:themeColor="background1"/>
          <w:kern w:val="0"/>
          <w:szCs w:val="21"/>
        </w:rPr>
        <w:t xml:space="preserve">备注：如部门（单位）根据本部门实际情况修改调整了附件3《部门整体支出绩效评价指标体系（参           </w:t>
      </w:r>
    </w:p>
    <w:p>
      <w:pPr>
        <w:adjustRightInd w:val="0"/>
        <w:snapToGrid w:val="0"/>
        <w:spacing w:line="200" w:lineRule="exact"/>
        <w:contextualSpacing/>
        <w:jc w:val="right"/>
        <w:rPr>
          <w:rFonts w:eastAsia="仿宋_GB2312"/>
          <w:sz w:val="32"/>
        </w:rPr>
      </w:pPr>
    </w:p>
    <w:p>
      <w:pPr>
        <w:adjustRightInd w:val="0"/>
        <w:snapToGrid w:val="0"/>
        <w:spacing w:line="200" w:lineRule="exact"/>
        <w:contextualSpacing/>
        <w:jc w:val="right"/>
        <w:rPr>
          <w:rFonts w:eastAsia="仿宋_GB2312"/>
          <w:sz w:val="32"/>
        </w:rPr>
      </w:pPr>
    </w:p>
    <w:p>
      <w:pPr>
        <w:adjustRightInd w:val="0"/>
        <w:snapToGrid w:val="0"/>
        <w:spacing w:line="200" w:lineRule="exact"/>
        <w:contextualSpacing/>
        <w:jc w:val="right"/>
        <w:rPr>
          <w:rFonts w:eastAsia="仿宋_GB2312"/>
          <w:sz w:val="32"/>
        </w:rPr>
      </w:pPr>
    </w:p>
    <w:p>
      <w:pPr>
        <w:adjustRightInd w:val="0"/>
        <w:snapToGrid w:val="0"/>
        <w:spacing w:line="200" w:lineRule="exact"/>
        <w:contextualSpacing/>
        <w:jc w:val="right"/>
        <w:rPr>
          <w:rFonts w:eastAsia="仿宋_GB2312"/>
          <w:sz w:val="32"/>
        </w:rPr>
      </w:pPr>
    </w:p>
    <w:p>
      <w:pPr>
        <w:adjustRightInd w:val="0"/>
        <w:snapToGrid w:val="0"/>
        <w:spacing w:line="200" w:lineRule="exact"/>
        <w:contextualSpacing/>
        <w:jc w:val="right"/>
        <w:rPr>
          <w:rFonts w:eastAsia="仿宋_GB2312"/>
          <w:sz w:val="32"/>
        </w:rPr>
      </w:pPr>
    </w:p>
    <w:p>
      <w:pPr>
        <w:adjustRightInd w:val="0"/>
        <w:snapToGrid w:val="0"/>
        <w:spacing w:line="200" w:lineRule="exact"/>
        <w:contextualSpacing/>
        <w:jc w:val="right"/>
        <w:rPr>
          <w:rFonts w:eastAsia="仿宋_GB2312"/>
          <w:sz w:val="32"/>
        </w:rPr>
      </w:pPr>
    </w:p>
    <w:p>
      <w:pPr>
        <w:adjustRightInd w:val="0"/>
        <w:snapToGrid w:val="0"/>
        <w:spacing w:line="200" w:lineRule="exact"/>
        <w:contextualSpacing/>
        <w:jc w:val="right"/>
        <w:rPr>
          <w:rFonts w:eastAsia="仿宋_GB2312"/>
          <w:sz w:val="32"/>
        </w:rPr>
      </w:pPr>
    </w:p>
    <w:p>
      <w:pPr>
        <w:adjustRightInd w:val="0"/>
        <w:snapToGrid w:val="0"/>
        <w:spacing w:line="200" w:lineRule="exact"/>
        <w:contextualSpacing/>
        <w:jc w:val="right"/>
        <w:rPr>
          <w:rFonts w:eastAsia="仿宋_GB2312"/>
          <w:sz w:val="32"/>
        </w:rPr>
      </w:pPr>
    </w:p>
    <w:p>
      <w:pPr>
        <w:adjustRightInd w:val="0"/>
        <w:snapToGrid w:val="0"/>
        <w:spacing w:line="200" w:lineRule="exact"/>
        <w:contextualSpacing/>
        <w:jc w:val="right"/>
        <w:rPr>
          <w:rFonts w:eastAsia="仿宋_GB2312"/>
          <w:sz w:val="32"/>
        </w:rPr>
      </w:pPr>
    </w:p>
    <w:p>
      <w:pPr>
        <w:adjustRightInd w:val="0"/>
        <w:snapToGrid w:val="0"/>
        <w:spacing w:line="200" w:lineRule="exact"/>
        <w:contextualSpacing/>
        <w:jc w:val="right"/>
        <w:rPr>
          <w:rFonts w:eastAsia="仿宋_GB2312"/>
          <w:sz w:val="32"/>
        </w:rPr>
      </w:pPr>
    </w:p>
    <w:p>
      <w:pPr>
        <w:adjustRightInd w:val="0"/>
        <w:snapToGrid w:val="0"/>
        <w:spacing w:line="200" w:lineRule="exact"/>
        <w:contextualSpacing/>
        <w:jc w:val="right"/>
        <w:rPr>
          <w:rFonts w:eastAsia="仿宋_GB2312"/>
          <w:sz w:val="32"/>
        </w:rPr>
      </w:pPr>
    </w:p>
    <w:p>
      <w:pPr>
        <w:adjustRightInd w:val="0"/>
        <w:snapToGrid w:val="0"/>
        <w:spacing w:line="200" w:lineRule="exact"/>
        <w:contextualSpacing/>
        <w:jc w:val="right"/>
        <w:rPr>
          <w:rFonts w:eastAsia="仿宋_GB2312"/>
          <w:sz w:val="32"/>
        </w:rPr>
      </w:pPr>
    </w:p>
    <w:p>
      <w:pPr>
        <w:adjustRightInd w:val="0"/>
        <w:snapToGrid w:val="0"/>
        <w:spacing w:line="200" w:lineRule="exact"/>
        <w:contextualSpacing/>
        <w:jc w:val="right"/>
        <w:rPr>
          <w:rFonts w:eastAsia="仿宋_GB2312"/>
          <w:sz w:val="32"/>
        </w:rPr>
      </w:pPr>
    </w:p>
    <w:p>
      <w:pPr>
        <w:adjustRightInd w:val="0"/>
        <w:snapToGrid w:val="0"/>
        <w:spacing w:line="200" w:lineRule="exact"/>
        <w:contextualSpacing/>
        <w:jc w:val="right"/>
        <w:rPr>
          <w:rFonts w:eastAsia="仿宋_GB2312"/>
          <w:sz w:val="32"/>
        </w:rPr>
      </w:pPr>
    </w:p>
    <w:p>
      <w:pPr>
        <w:adjustRightInd w:val="0"/>
        <w:snapToGrid w:val="0"/>
        <w:spacing w:line="200" w:lineRule="exact"/>
        <w:contextualSpacing/>
        <w:jc w:val="right"/>
        <w:rPr>
          <w:rFonts w:eastAsia="仿宋_GB2312"/>
          <w:sz w:val="32"/>
        </w:rPr>
      </w:pPr>
    </w:p>
    <w:p>
      <w:pPr>
        <w:adjustRightInd w:val="0"/>
        <w:snapToGrid w:val="0"/>
        <w:spacing w:line="200" w:lineRule="exact"/>
        <w:contextualSpacing/>
        <w:jc w:val="right"/>
        <w:rPr>
          <w:rFonts w:eastAsia="仿宋_GB2312"/>
          <w:sz w:val="32"/>
        </w:rPr>
      </w:pPr>
    </w:p>
    <w:p>
      <w:pPr>
        <w:adjustRightInd w:val="0"/>
        <w:snapToGrid w:val="0"/>
        <w:spacing w:line="200" w:lineRule="exact"/>
        <w:contextualSpacing/>
        <w:jc w:val="right"/>
        <w:rPr>
          <w:rFonts w:eastAsia="仿宋_GB2312"/>
          <w:sz w:val="32"/>
        </w:rPr>
      </w:pPr>
    </w:p>
    <w:p>
      <w:pPr>
        <w:adjustRightInd w:val="0"/>
        <w:snapToGrid w:val="0"/>
        <w:spacing w:line="200" w:lineRule="exact"/>
        <w:contextualSpacing/>
        <w:jc w:val="right"/>
        <w:rPr>
          <w:rFonts w:eastAsia="仿宋_GB2312"/>
          <w:sz w:val="32"/>
        </w:rPr>
      </w:pPr>
    </w:p>
    <w:p>
      <w:pPr>
        <w:adjustRightInd w:val="0"/>
        <w:snapToGrid w:val="0"/>
        <w:spacing w:line="200" w:lineRule="exact"/>
        <w:contextualSpacing/>
        <w:jc w:val="right"/>
        <w:rPr>
          <w:rFonts w:eastAsia="仿宋_GB2312"/>
          <w:sz w:val="32"/>
        </w:rPr>
      </w:pPr>
    </w:p>
    <w:p>
      <w:pPr>
        <w:adjustRightInd w:val="0"/>
        <w:snapToGrid w:val="0"/>
        <w:spacing w:line="200" w:lineRule="exact"/>
        <w:contextualSpacing/>
        <w:jc w:val="right"/>
        <w:rPr>
          <w:rFonts w:eastAsia="仿宋_GB2312"/>
          <w:sz w:val="32"/>
        </w:rPr>
      </w:pPr>
    </w:p>
    <w:p>
      <w:pPr>
        <w:adjustRightInd w:val="0"/>
        <w:snapToGrid w:val="0"/>
        <w:spacing w:line="200" w:lineRule="exact"/>
        <w:contextualSpacing/>
        <w:jc w:val="right"/>
        <w:rPr>
          <w:rFonts w:eastAsia="仿宋_GB2312"/>
          <w:sz w:val="32"/>
        </w:rPr>
      </w:pPr>
    </w:p>
    <w:p>
      <w:pPr>
        <w:adjustRightInd w:val="0"/>
        <w:snapToGrid w:val="0"/>
        <w:spacing w:line="200" w:lineRule="exact"/>
        <w:contextualSpacing/>
        <w:jc w:val="right"/>
        <w:rPr>
          <w:rFonts w:eastAsia="仿宋_GB2312"/>
          <w:sz w:val="32"/>
        </w:rPr>
      </w:pPr>
    </w:p>
    <w:p>
      <w:pPr>
        <w:adjustRightInd w:val="0"/>
        <w:snapToGrid w:val="0"/>
        <w:spacing w:line="200" w:lineRule="exact"/>
        <w:contextualSpacing/>
        <w:jc w:val="right"/>
        <w:rPr>
          <w:rFonts w:eastAsia="仿宋_GB2312"/>
          <w:sz w:val="32"/>
        </w:rPr>
      </w:pPr>
    </w:p>
    <w:p>
      <w:pPr>
        <w:adjustRightInd w:val="0"/>
        <w:snapToGrid w:val="0"/>
        <w:spacing w:line="200" w:lineRule="exact"/>
        <w:contextualSpacing/>
        <w:jc w:val="right"/>
        <w:rPr>
          <w:rFonts w:eastAsia="仿宋_GB2312"/>
          <w:sz w:val="32"/>
        </w:rPr>
      </w:pPr>
    </w:p>
    <w:p>
      <w:pPr>
        <w:adjustRightInd w:val="0"/>
        <w:snapToGrid w:val="0"/>
        <w:spacing w:line="200" w:lineRule="exact"/>
        <w:contextualSpacing/>
        <w:jc w:val="right"/>
        <w:rPr>
          <w:rFonts w:eastAsia="仿宋_GB2312"/>
          <w:sz w:val="32"/>
        </w:rPr>
      </w:pPr>
    </w:p>
    <w:p>
      <w:pPr>
        <w:adjustRightInd w:val="0"/>
        <w:snapToGrid w:val="0"/>
        <w:spacing w:line="200" w:lineRule="exact"/>
        <w:contextualSpacing/>
        <w:jc w:val="right"/>
        <w:rPr>
          <w:rFonts w:eastAsia="仿宋_GB2312"/>
          <w:sz w:val="32"/>
        </w:rPr>
      </w:pPr>
    </w:p>
    <w:p>
      <w:pPr>
        <w:adjustRightInd w:val="0"/>
        <w:snapToGrid w:val="0"/>
        <w:spacing w:line="200" w:lineRule="exact"/>
        <w:contextualSpacing/>
        <w:jc w:val="right"/>
        <w:rPr>
          <w:rFonts w:eastAsia="仿宋_GB2312"/>
          <w:sz w:val="32"/>
        </w:rPr>
      </w:pPr>
    </w:p>
    <w:p>
      <w:pPr>
        <w:adjustRightInd w:val="0"/>
        <w:snapToGrid w:val="0"/>
        <w:spacing w:line="200" w:lineRule="exact"/>
        <w:contextualSpacing/>
        <w:jc w:val="right"/>
        <w:rPr>
          <w:rFonts w:eastAsia="仿宋_GB2312"/>
          <w:sz w:val="32"/>
        </w:rPr>
      </w:pPr>
    </w:p>
    <w:p>
      <w:pPr>
        <w:adjustRightInd w:val="0"/>
        <w:snapToGrid w:val="0"/>
        <w:spacing w:line="200" w:lineRule="exact"/>
        <w:contextualSpacing/>
        <w:jc w:val="right"/>
        <w:rPr>
          <w:rFonts w:eastAsia="仿宋_GB2312"/>
          <w:sz w:val="32"/>
        </w:rPr>
      </w:pPr>
    </w:p>
    <w:p>
      <w:pPr>
        <w:adjustRightInd w:val="0"/>
        <w:snapToGrid w:val="0"/>
        <w:spacing w:line="200" w:lineRule="exact"/>
        <w:contextualSpacing/>
        <w:jc w:val="right"/>
        <w:rPr>
          <w:rFonts w:eastAsia="仿宋_GB2312"/>
          <w:sz w:val="32"/>
        </w:rPr>
      </w:pPr>
    </w:p>
    <w:p>
      <w:pPr>
        <w:adjustRightInd w:val="0"/>
        <w:snapToGrid w:val="0"/>
        <w:spacing w:line="200" w:lineRule="exact"/>
        <w:contextualSpacing/>
        <w:jc w:val="right"/>
        <w:rPr>
          <w:rFonts w:eastAsia="仿宋_GB2312"/>
          <w:sz w:val="32"/>
        </w:rPr>
      </w:pPr>
    </w:p>
    <w:p>
      <w:pPr>
        <w:adjustRightInd w:val="0"/>
        <w:snapToGrid w:val="0"/>
        <w:spacing w:line="200" w:lineRule="exact"/>
        <w:contextualSpacing/>
        <w:jc w:val="right"/>
        <w:rPr>
          <w:rFonts w:eastAsia="仿宋_GB2312"/>
          <w:sz w:val="32"/>
        </w:rPr>
      </w:pPr>
    </w:p>
    <w:p>
      <w:pPr>
        <w:adjustRightInd w:val="0"/>
        <w:snapToGrid w:val="0"/>
        <w:spacing w:line="200" w:lineRule="exact"/>
        <w:contextualSpacing/>
        <w:jc w:val="right"/>
        <w:rPr>
          <w:rFonts w:eastAsia="仿宋_GB2312"/>
          <w:sz w:val="32"/>
        </w:rPr>
      </w:pPr>
    </w:p>
    <w:p>
      <w:pPr>
        <w:adjustRightInd w:val="0"/>
        <w:snapToGrid w:val="0"/>
        <w:spacing w:line="200" w:lineRule="exact"/>
        <w:contextualSpacing/>
        <w:jc w:val="right"/>
        <w:rPr>
          <w:rFonts w:eastAsia="仿宋_GB2312"/>
          <w:sz w:val="32"/>
        </w:rPr>
      </w:pPr>
    </w:p>
    <w:p>
      <w:pPr>
        <w:adjustRightInd w:val="0"/>
        <w:snapToGrid w:val="0"/>
        <w:spacing w:line="200" w:lineRule="exact"/>
        <w:contextualSpacing/>
        <w:jc w:val="right"/>
        <w:rPr>
          <w:rFonts w:eastAsia="仿宋_GB2312"/>
          <w:sz w:val="32"/>
        </w:rPr>
      </w:pPr>
    </w:p>
    <w:p>
      <w:pPr>
        <w:adjustRightInd w:val="0"/>
        <w:snapToGrid w:val="0"/>
        <w:spacing w:line="200" w:lineRule="exact"/>
        <w:contextualSpacing/>
        <w:jc w:val="right"/>
        <w:rPr>
          <w:rFonts w:eastAsia="仿宋_GB2312"/>
          <w:sz w:val="32"/>
        </w:rPr>
      </w:pPr>
    </w:p>
    <w:p>
      <w:pPr>
        <w:adjustRightInd w:val="0"/>
        <w:snapToGrid w:val="0"/>
        <w:spacing w:line="200" w:lineRule="exact"/>
        <w:contextualSpacing/>
        <w:jc w:val="right"/>
        <w:rPr>
          <w:rFonts w:eastAsia="仿宋_GB2312"/>
          <w:sz w:val="32"/>
        </w:rPr>
      </w:pPr>
    </w:p>
    <w:p>
      <w:pPr>
        <w:adjustRightInd w:val="0"/>
        <w:snapToGrid w:val="0"/>
        <w:spacing w:line="200" w:lineRule="exact"/>
        <w:contextualSpacing/>
        <w:jc w:val="right"/>
        <w:rPr>
          <w:rFonts w:eastAsia="仿宋_GB2312"/>
          <w:sz w:val="32"/>
        </w:rPr>
      </w:pPr>
    </w:p>
    <w:p>
      <w:pPr>
        <w:spacing w:line="160" w:lineRule="exact"/>
        <w:ind w:firstLine="504" w:firstLineChars="200"/>
        <w:jc w:val="right"/>
        <w:rPr>
          <w:rFonts w:eastAsia="仿宋_GB2312"/>
          <w:w w:val="90"/>
          <w:sz w:val="28"/>
        </w:rPr>
      </w:pPr>
    </w:p>
    <w:p>
      <w:pPr>
        <w:spacing w:line="160" w:lineRule="exact"/>
        <w:ind w:firstLine="504" w:firstLineChars="200"/>
        <w:jc w:val="right"/>
        <w:rPr>
          <w:rFonts w:eastAsia="仿宋_GB2312"/>
          <w:w w:val="90"/>
          <w:sz w:val="28"/>
        </w:rPr>
      </w:pPr>
    </w:p>
    <w:p>
      <w:pPr>
        <w:spacing w:line="160" w:lineRule="exact"/>
        <w:ind w:firstLine="504" w:firstLineChars="200"/>
        <w:jc w:val="right"/>
        <w:rPr>
          <w:rFonts w:eastAsia="仿宋_GB2312"/>
          <w:w w:val="90"/>
          <w:sz w:val="28"/>
        </w:rPr>
      </w:pPr>
    </w:p>
    <w:p>
      <w:pPr>
        <w:spacing w:line="160" w:lineRule="exact"/>
        <w:ind w:firstLine="504" w:firstLineChars="200"/>
        <w:jc w:val="right"/>
        <w:rPr>
          <w:rFonts w:eastAsia="仿宋_GB2312"/>
          <w:w w:val="90"/>
          <w:sz w:val="28"/>
        </w:rPr>
      </w:pPr>
    </w:p>
    <w:p>
      <w:pPr>
        <w:spacing w:line="160" w:lineRule="exact"/>
        <w:ind w:firstLine="504" w:firstLineChars="200"/>
        <w:jc w:val="right"/>
        <w:rPr>
          <w:rFonts w:eastAsia="仿宋_GB2312"/>
          <w:w w:val="90"/>
          <w:sz w:val="28"/>
        </w:rPr>
      </w:pPr>
    </w:p>
    <w:p>
      <w:pPr>
        <w:spacing w:line="160" w:lineRule="exact"/>
        <w:ind w:firstLine="504" w:firstLineChars="200"/>
        <w:jc w:val="right"/>
        <w:rPr>
          <w:rFonts w:eastAsia="仿宋_GB2312"/>
          <w:w w:val="90"/>
          <w:sz w:val="28"/>
        </w:rPr>
      </w:pPr>
    </w:p>
    <w:p>
      <w:pPr>
        <w:spacing w:line="160" w:lineRule="exact"/>
        <w:ind w:firstLine="504" w:firstLineChars="200"/>
        <w:jc w:val="right"/>
        <w:rPr>
          <w:rFonts w:eastAsia="仿宋_GB2312"/>
          <w:w w:val="90"/>
          <w:sz w:val="28"/>
        </w:rPr>
      </w:pPr>
    </w:p>
    <w:p>
      <w:pPr>
        <w:spacing w:line="160" w:lineRule="exact"/>
        <w:ind w:firstLine="504" w:firstLineChars="200"/>
        <w:jc w:val="right"/>
        <w:rPr>
          <w:rFonts w:eastAsia="仿宋_GB2312"/>
          <w:w w:val="90"/>
          <w:sz w:val="28"/>
        </w:rPr>
      </w:pPr>
    </w:p>
    <w:p>
      <w:pPr>
        <w:spacing w:line="160" w:lineRule="exact"/>
        <w:ind w:firstLine="504" w:firstLineChars="200"/>
        <w:jc w:val="right"/>
        <w:rPr>
          <w:rFonts w:eastAsia="仿宋_GB2312"/>
          <w:w w:val="90"/>
          <w:sz w:val="28"/>
        </w:rPr>
      </w:pPr>
    </w:p>
    <w:p>
      <w:pPr>
        <w:spacing w:line="160" w:lineRule="exact"/>
        <w:ind w:firstLine="504" w:firstLineChars="200"/>
        <w:jc w:val="right"/>
        <w:rPr>
          <w:rFonts w:eastAsia="仿宋_GB2312"/>
          <w:w w:val="90"/>
          <w:sz w:val="28"/>
        </w:rPr>
      </w:pPr>
    </w:p>
    <w:p>
      <w:pPr>
        <w:spacing w:line="160" w:lineRule="exact"/>
        <w:ind w:firstLine="504" w:firstLineChars="200"/>
        <w:jc w:val="right"/>
        <w:rPr>
          <w:rFonts w:eastAsia="仿宋_GB2312"/>
          <w:w w:val="90"/>
          <w:sz w:val="28"/>
        </w:rPr>
      </w:pPr>
    </w:p>
    <w:p>
      <w:pPr>
        <w:spacing w:line="160" w:lineRule="exact"/>
        <w:ind w:firstLine="504" w:firstLineChars="200"/>
        <w:jc w:val="right"/>
        <w:rPr>
          <w:rFonts w:eastAsia="仿宋_GB2312"/>
          <w:w w:val="90"/>
          <w:sz w:val="28"/>
        </w:rPr>
      </w:pPr>
    </w:p>
    <w:p>
      <w:pPr>
        <w:spacing w:line="160" w:lineRule="exact"/>
        <w:ind w:firstLine="504" w:firstLineChars="200"/>
        <w:jc w:val="right"/>
        <w:rPr>
          <w:rFonts w:eastAsia="仿宋_GB2312"/>
          <w:w w:val="90"/>
          <w:sz w:val="28"/>
        </w:rPr>
      </w:pPr>
    </w:p>
    <w:p>
      <w:pPr>
        <w:spacing w:line="160" w:lineRule="exact"/>
        <w:ind w:firstLine="504" w:firstLineChars="200"/>
        <w:jc w:val="right"/>
        <w:rPr>
          <w:rFonts w:eastAsia="仿宋_GB2312"/>
          <w:w w:val="90"/>
          <w:sz w:val="28"/>
        </w:rPr>
      </w:pPr>
    </w:p>
    <w:p>
      <w:pPr>
        <w:spacing w:line="160" w:lineRule="exact"/>
        <w:ind w:firstLine="504" w:firstLineChars="200"/>
        <w:jc w:val="right"/>
        <w:rPr>
          <w:rFonts w:eastAsia="仿宋_GB2312"/>
          <w:w w:val="90"/>
          <w:sz w:val="28"/>
        </w:rPr>
      </w:pPr>
    </w:p>
    <w:p>
      <w:pPr>
        <w:spacing w:line="160" w:lineRule="exact"/>
        <w:ind w:firstLine="504" w:firstLineChars="200"/>
        <w:jc w:val="right"/>
        <w:rPr>
          <w:rFonts w:eastAsia="仿宋_GB2312"/>
          <w:w w:val="90"/>
          <w:sz w:val="28"/>
        </w:rPr>
      </w:pPr>
    </w:p>
    <w:p>
      <w:pPr>
        <w:spacing w:line="160" w:lineRule="exact"/>
        <w:ind w:firstLine="504" w:firstLineChars="200"/>
        <w:jc w:val="right"/>
        <w:rPr>
          <w:rFonts w:eastAsia="仿宋_GB2312"/>
          <w:w w:val="90"/>
          <w:sz w:val="28"/>
        </w:rPr>
      </w:pPr>
    </w:p>
    <w:sectPr>
      <w:footerReference r:id="rId9" w:type="default"/>
      <w:footerReference r:id="rId10" w:type="even"/>
      <w:pgSz w:w="11906" w:h="16838"/>
      <w:pgMar w:top="1843" w:right="1588" w:bottom="1588" w:left="158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方正小标宋简体">
    <w:altName w:val="微软雅黑"/>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- 15 -</w:t>
    </w:r>
    <w:r>
      <w:fldChar w:fldCharType="end"/>
    </w:r>
  </w:p>
  <w:p>
    <w:pPr>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right="360" w:firstLine="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end"/>
    </w:r>
  </w:p>
  <w:p>
    <w:pPr>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AF43458"/>
    <w:multiLevelType w:val="multilevel"/>
    <w:tmpl w:val="4AF43458"/>
    <w:lvl w:ilvl="0" w:tentative="0">
      <w:start w:val="1"/>
      <w:numFmt w:val="japaneseCounting"/>
      <w:lvlText w:val="（%1）"/>
      <w:lvlJc w:val="left"/>
      <w:pPr>
        <w:ind w:left="1445" w:hanging="885"/>
      </w:pPr>
      <w:rPr>
        <w:rFonts w:hint="default"/>
      </w:rPr>
    </w:lvl>
    <w:lvl w:ilvl="1" w:tentative="0">
      <w:start w:val="1"/>
      <w:numFmt w:val="lowerLetter"/>
      <w:lvlText w:val="%2)"/>
      <w:lvlJc w:val="left"/>
      <w:pPr>
        <w:ind w:left="1400" w:hanging="420"/>
      </w:pPr>
    </w:lvl>
    <w:lvl w:ilvl="2" w:tentative="0">
      <w:start w:val="1"/>
      <w:numFmt w:val="lowerRoman"/>
      <w:lvlText w:val="%3."/>
      <w:lvlJc w:val="right"/>
      <w:pPr>
        <w:ind w:left="1820" w:hanging="420"/>
      </w:pPr>
    </w:lvl>
    <w:lvl w:ilvl="3" w:tentative="0">
      <w:start w:val="1"/>
      <w:numFmt w:val="decimal"/>
      <w:lvlText w:val="%4."/>
      <w:lvlJc w:val="left"/>
      <w:pPr>
        <w:ind w:left="2240" w:hanging="420"/>
      </w:pPr>
    </w:lvl>
    <w:lvl w:ilvl="4" w:tentative="0">
      <w:start w:val="1"/>
      <w:numFmt w:val="lowerLetter"/>
      <w:lvlText w:val="%5)"/>
      <w:lvlJc w:val="left"/>
      <w:pPr>
        <w:ind w:left="2660" w:hanging="420"/>
      </w:pPr>
    </w:lvl>
    <w:lvl w:ilvl="5" w:tentative="0">
      <w:start w:val="1"/>
      <w:numFmt w:val="lowerRoman"/>
      <w:lvlText w:val="%6."/>
      <w:lvlJc w:val="right"/>
      <w:pPr>
        <w:ind w:left="3080" w:hanging="420"/>
      </w:pPr>
    </w:lvl>
    <w:lvl w:ilvl="6" w:tentative="0">
      <w:start w:val="1"/>
      <w:numFmt w:val="decimal"/>
      <w:lvlText w:val="%7."/>
      <w:lvlJc w:val="left"/>
      <w:pPr>
        <w:ind w:left="3500" w:hanging="420"/>
      </w:pPr>
    </w:lvl>
    <w:lvl w:ilvl="7" w:tentative="0">
      <w:start w:val="1"/>
      <w:numFmt w:val="lowerLetter"/>
      <w:lvlText w:val="%8)"/>
      <w:lvlJc w:val="left"/>
      <w:pPr>
        <w:ind w:left="3920" w:hanging="420"/>
      </w:pPr>
    </w:lvl>
    <w:lvl w:ilvl="8" w:tentative="0">
      <w:start w:val="1"/>
      <w:numFmt w:val="lowerRoman"/>
      <w:lvlText w:val="%9."/>
      <w:lvlJc w:val="right"/>
      <w:pPr>
        <w:ind w:left="434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attachedTemplate r:id="rId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55A6F26"/>
    <w:rsid w:val="0000066E"/>
    <w:rsid w:val="00001FA2"/>
    <w:rsid w:val="00015B05"/>
    <w:rsid w:val="00043EAC"/>
    <w:rsid w:val="00053AF8"/>
    <w:rsid w:val="0009068E"/>
    <w:rsid w:val="000B39B5"/>
    <w:rsid w:val="000E73B2"/>
    <w:rsid w:val="000F3A73"/>
    <w:rsid w:val="001004EE"/>
    <w:rsid w:val="0013329B"/>
    <w:rsid w:val="001B26D4"/>
    <w:rsid w:val="001D286F"/>
    <w:rsid w:val="002144C5"/>
    <w:rsid w:val="00217D75"/>
    <w:rsid w:val="00271FE8"/>
    <w:rsid w:val="00290DBA"/>
    <w:rsid w:val="00293133"/>
    <w:rsid w:val="002A315F"/>
    <w:rsid w:val="002E402E"/>
    <w:rsid w:val="00301D7F"/>
    <w:rsid w:val="0035794D"/>
    <w:rsid w:val="00370656"/>
    <w:rsid w:val="003977A0"/>
    <w:rsid w:val="003C0E81"/>
    <w:rsid w:val="003F1241"/>
    <w:rsid w:val="00436957"/>
    <w:rsid w:val="00461ED2"/>
    <w:rsid w:val="00483BE3"/>
    <w:rsid w:val="004A15E6"/>
    <w:rsid w:val="00542AFA"/>
    <w:rsid w:val="00554A7C"/>
    <w:rsid w:val="00570B25"/>
    <w:rsid w:val="005B32A6"/>
    <w:rsid w:val="005B511E"/>
    <w:rsid w:val="006142E8"/>
    <w:rsid w:val="00620BF9"/>
    <w:rsid w:val="0063422D"/>
    <w:rsid w:val="00644750"/>
    <w:rsid w:val="006B3298"/>
    <w:rsid w:val="006D3710"/>
    <w:rsid w:val="006F1FF4"/>
    <w:rsid w:val="006F20A8"/>
    <w:rsid w:val="00703431"/>
    <w:rsid w:val="007430F2"/>
    <w:rsid w:val="0074641B"/>
    <w:rsid w:val="00776360"/>
    <w:rsid w:val="00797297"/>
    <w:rsid w:val="007C5BBC"/>
    <w:rsid w:val="007F6600"/>
    <w:rsid w:val="008377A0"/>
    <w:rsid w:val="008537D2"/>
    <w:rsid w:val="0085535B"/>
    <w:rsid w:val="00867904"/>
    <w:rsid w:val="008A3081"/>
    <w:rsid w:val="009006F2"/>
    <w:rsid w:val="009226A4"/>
    <w:rsid w:val="00933B4A"/>
    <w:rsid w:val="00967D19"/>
    <w:rsid w:val="00986878"/>
    <w:rsid w:val="009A2E2D"/>
    <w:rsid w:val="009A3BD7"/>
    <w:rsid w:val="009A4CC1"/>
    <w:rsid w:val="009E70A1"/>
    <w:rsid w:val="009F0835"/>
    <w:rsid w:val="00A13788"/>
    <w:rsid w:val="00A76104"/>
    <w:rsid w:val="00A81E4F"/>
    <w:rsid w:val="00A82C25"/>
    <w:rsid w:val="00A8332C"/>
    <w:rsid w:val="00A942F8"/>
    <w:rsid w:val="00AB6727"/>
    <w:rsid w:val="00AB7517"/>
    <w:rsid w:val="00B0621C"/>
    <w:rsid w:val="00B15078"/>
    <w:rsid w:val="00B228F8"/>
    <w:rsid w:val="00B307C9"/>
    <w:rsid w:val="00BA3270"/>
    <w:rsid w:val="00BF2308"/>
    <w:rsid w:val="00C075E7"/>
    <w:rsid w:val="00C1357D"/>
    <w:rsid w:val="00C32146"/>
    <w:rsid w:val="00CF0B3F"/>
    <w:rsid w:val="00CF7C47"/>
    <w:rsid w:val="00D10550"/>
    <w:rsid w:val="00D12DE3"/>
    <w:rsid w:val="00D17D3D"/>
    <w:rsid w:val="00D24958"/>
    <w:rsid w:val="00D33A21"/>
    <w:rsid w:val="00D42229"/>
    <w:rsid w:val="00D508DA"/>
    <w:rsid w:val="00DA261A"/>
    <w:rsid w:val="00DA4229"/>
    <w:rsid w:val="00DA5F96"/>
    <w:rsid w:val="00DC5DB4"/>
    <w:rsid w:val="00DD3122"/>
    <w:rsid w:val="00E255F8"/>
    <w:rsid w:val="00E5206D"/>
    <w:rsid w:val="00E6442F"/>
    <w:rsid w:val="00E771FF"/>
    <w:rsid w:val="00E92415"/>
    <w:rsid w:val="00ED1217"/>
    <w:rsid w:val="00F12FE4"/>
    <w:rsid w:val="00F31457"/>
    <w:rsid w:val="00F50481"/>
    <w:rsid w:val="00F52580"/>
    <w:rsid w:val="00F57666"/>
    <w:rsid w:val="00F76059"/>
    <w:rsid w:val="00F94A7A"/>
    <w:rsid w:val="00FB14C7"/>
    <w:rsid w:val="00FC41F6"/>
    <w:rsid w:val="00FE6AB8"/>
    <w:rsid w:val="021F7ACC"/>
    <w:rsid w:val="05000B50"/>
    <w:rsid w:val="055A6F26"/>
    <w:rsid w:val="09950D4D"/>
    <w:rsid w:val="0A507703"/>
    <w:rsid w:val="0DB17DCE"/>
    <w:rsid w:val="0F3C19DC"/>
    <w:rsid w:val="134907CC"/>
    <w:rsid w:val="140D5FCB"/>
    <w:rsid w:val="178B0DF9"/>
    <w:rsid w:val="186F38D5"/>
    <w:rsid w:val="1A6F2DB8"/>
    <w:rsid w:val="1E0B52D7"/>
    <w:rsid w:val="1E4E1466"/>
    <w:rsid w:val="1ECE3EBD"/>
    <w:rsid w:val="1F290E1C"/>
    <w:rsid w:val="20482FD4"/>
    <w:rsid w:val="23752929"/>
    <w:rsid w:val="23931307"/>
    <w:rsid w:val="28FC074F"/>
    <w:rsid w:val="2A66629F"/>
    <w:rsid w:val="2B185F17"/>
    <w:rsid w:val="2C1535F6"/>
    <w:rsid w:val="2D69692C"/>
    <w:rsid w:val="2EE67DDF"/>
    <w:rsid w:val="2F6C19A9"/>
    <w:rsid w:val="31C64031"/>
    <w:rsid w:val="37035463"/>
    <w:rsid w:val="387A506E"/>
    <w:rsid w:val="391D6E5E"/>
    <w:rsid w:val="39C4528F"/>
    <w:rsid w:val="3A3A1314"/>
    <w:rsid w:val="3B7E060B"/>
    <w:rsid w:val="3BBB1F39"/>
    <w:rsid w:val="3C091E95"/>
    <w:rsid w:val="3C0C5663"/>
    <w:rsid w:val="3F114B68"/>
    <w:rsid w:val="41095FEC"/>
    <w:rsid w:val="42082596"/>
    <w:rsid w:val="426B5C52"/>
    <w:rsid w:val="44766D22"/>
    <w:rsid w:val="45414B88"/>
    <w:rsid w:val="46602C0D"/>
    <w:rsid w:val="46692F96"/>
    <w:rsid w:val="4AA9566D"/>
    <w:rsid w:val="4BA9288D"/>
    <w:rsid w:val="4C4E2AC3"/>
    <w:rsid w:val="4CEC1134"/>
    <w:rsid w:val="4FC33CBA"/>
    <w:rsid w:val="50476111"/>
    <w:rsid w:val="56233027"/>
    <w:rsid w:val="59DF3449"/>
    <w:rsid w:val="5CAC64A4"/>
    <w:rsid w:val="5E010849"/>
    <w:rsid w:val="60EA4316"/>
    <w:rsid w:val="65236B49"/>
    <w:rsid w:val="65AA43C0"/>
    <w:rsid w:val="66161E47"/>
    <w:rsid w:val="68116BFE"/>
    <w:rsid w:val="68CE326F"/>
    <w:rsid w:val="6B2A6AB7"/>
    <w:rsid w:val="6D535020"/>
    <w:rsid w:val="70320DB2"/>
    <w:rsid w:val="703379A9"/>
    <w:rsid w:val="70B962BB"/>
    <w:rsid w:val="71E279DE"/>
    <w:rsid w:val="76BD5E40"/>
    <w:rsid w:val="789B6814"/>
    <w:rsid w:val="78B97743"/>
    <w:rsid w:val="78CF2A94"/>
    <w:rsid w:val="78EE0E45"/>
    <w:rsid w:val="796A69FF"/>
    <w:rsid w:val="7C405F0D"/>
    <w:rsid w:val="7E627FB6"/>
    <w:rsid w:val="7F42406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ody Text Indent 2"/>
    <w:basedOn w:val="1"/>
    <w:qFormat/>
    <w:uiPriority w:val="0"/>
    <w:pPr>
      <w:ind w:firstLine="588" w:firstLineChars="200"/>
    </w:pPr>
    <w:rPr>
      <w:rFonts w:ascii="仿宋_GB2312" w:hAnsi="Calibri" w:eastAsia="仿宋_GB2312"/>
      <w:sz w:val="32"/>
    </w:rPr>
  </w:style>
  <w:style w:type="paragraph" w:styleId="3">
    <w:name w:val="footer"/>
    <w:basedOn w:val="1"/>
    <w:qFormat/>
    <w:uiPriority w:val="0"/>
    <w:pPr>
      <w:tabs>
        <w:tab w:val="center" w:pos="4153"/>
        <w:tab w:val="right" w:pos="8306"/>
      </w:tabs>
      <w:snapToGrid w:val="0"/>
      <w:jc w:val="left"/>
    </w:pPr>
    <w:rPr>
      <w:kern w:val="0"/>
      <w:sz w:val="18"/>
      <w:szCs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5">
    <w:name w:val="Normal (Web)"/>
    <w:basedOn w:val="1"/>
    <w:qFormat/>
    <w:uiPriority w:val="99"/>
    <w:pPr>
      <w:spacing w:beforeAutospacing="1" w:afterAutospacing="1"/>
      <w:jc w:val="left"/>
    </w:pPr>
    <w:rPr>
      <w:rFonts w:asciiTheme="minorHAnsi" w:hAnsiTheme="minorHAnsi" w:eastAsiaTheme="minorEastAsia"/>
      <w:kern w:val="0"/>
      <w:sz w:val="24"/>
    </w:rPr>
  </w:style>
  <w:style w:type="character" w:styleId="8">
    <w:name w:val="page number"/>
    <w:qFormat/>
    <w:uiPriority w:val="0"/>
  </w:style>
  <w:style w:type="character" w:customStyle="1" w:styleId="9">
    <w:name w:val="标题 3 Char Char"/>
    <w:qFormat/>
    <w:uiPriority w:val="0"/>
    <w:rPr>
      <w:rFonts w:eastAsia="楷体_GB2312"/>
      <w:b/>
      <w:kern w:val="2"/>
      <w:sz w:val="32"/>
      <w:szCs w:val="24"/>
      <w:lang w:val="en-US" w:eastAsia="zh-CN" w:bidi="ar-SA"/>
    </w:rPr>
  </w:style>
  <w:style w:type="paragraph" w:styleId="10">
    <w:name w:val="List Paragraph"/>
    <w:basedOn w:val="1"/>
    <w:unhideWhenUsed/>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2.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FF0D354-63C4-4757-B41E-864457C5EAA1}">
  <ds:schemaRefs/>
</ds:datastoreItem>
</file>

<file path=docProps/app.xml><?xml version="1.0" encoding="utf-8"?>
<Properties xmlns="http://schemas.openxmlformats.org/officeDocument/2006/extended-properties" xmlns:vt="http://schemas.openxmlformats.org/officeDocument/2006/docPropsVTypes">
  <Template>0</Template>
  <Company>Micorosoft</Company>
  <Pages>23</Pages>
  <Words>2301</Words>
  <Characters>13117</Characters>
  <Lines>109</Lines>
  <Paragraphs>30</Paragraphs>
  <TotalTime>1</TotalTime>
  <ScaleCrop>false</ScaleCrop>
  <LinksUpToDate>false</LinksUpToDate>
  <CharactersWithSpaces>15388</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2021-06-17T00:54:00Z</dcterms:created>
  <dc:creator>Administrator</dc:creator>
  <cp:lastModifiedBy>Administrator</cp:lastModifiedBy>
  <cp:lastPrinted>2020-06-16T08:24:00Z</cp:lastPrinted>
  <dcterms:modified xsi:type="dcterms:W3CDTF">2021-07-14T02:03:12Z</dcterms:modified>
  <cp:revision>72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2E7EA6F75D4640FC948AC0E2E458B9D5</vt:lpwstr>
  </property>
</Properties>
</file>