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岳阳市君山区交通运输局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b w:val="0"/>
          <w:bCs w:val="0"/>
          <w:spacing w:val="20"/>
          <w:sz w:val="32"/>
          <w:szCs w:val="32"/>
          <w:u w:val="single"/>
        </w:rPr>
        <w:t xml:space="preserve"> </w:t>
      </w:r>
      <w:r>
        <w:rPr>
          <w:rFonts w:hint="eastAsia" w:eastAsia="仿宋_GB2312"/>
          <w:b w:val="0"/>
          <w:bCs w:val="0"/>
          <w:spacing w:val="20"/>
          <w:sz w:val="32"/>
          <w:szCs w:val="32"/>
          <w:u w:val="single"/>
          <w:lang w:val="en-US" w:eastAsia="zh-CN"/>
        </w:rPr>
        <w:t>147</w:t>
      </w:r>
      <w:bookmarkStart w:id="0" w:name="_GoBack"/>
      <w:bookmarkEnd w:id="0"/>
      <w:r>
        <w:rPr>
          <w:rFonts w:hint="eastAsia" w:eastAsia="仿宋_GB2312"/>
          <w:b w:val="0"/>
          <w:bCs w:val="0"/>
          <w:spacing w:val="20"/>
          <w:sz w:val="32"/>
          <w:szCs w:val="32"/>
          <w:u w:val="single"/>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76"/>
        <w:gridCol w:w="1159"/>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李海燕</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13789008293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人员编制</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8146" w:type="dxa"/>
            <w:gridSpan w:val="14"/>
            <w:vAlign w:val="center"/>
          </w:tcPr>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承担涉及综合运输体系的规划协调工作，会同有关部门组织编制全区综合运输体系规划</w:t>
            </w:r>
            <w:r>
              <w:rPr>
                <w:rFonts w:hint="eastAsia" w:ascii="仿宋_GB2312" w:hAnsi="仿宋_GB2312" w:eastAsia="仿宋_GB2312" w:cs="仿宋_GB2312"/>
                <w:kern w:val="0"/>
                <w:sz w:val="24"/>
                <w:szCs w:val="24"/>
                <w:lang w:eastAsia="zh-CN"/>
              </w:rPr>
              <w:t>，指导交通运输枢纽规划和管理</w:t>
            </w:r>
            <w:r>
              <w:rPr>
                <w:rFonts w:hint="eastAsia" w:ascii="仿宋_GB2312" w:hAnsi="仿宋_GB2312" w:eastAsia="仿宋_GB2312" w:cs="仿宋_GB2312"/>
                <w:kern w:val="0"/>
                <w:sz w:val="24"/>
                <w:szCs w:val="24"/>
              </w:rPr>
              <w:t>；</w:t>
            </w:r>
          </w:p>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组织</w:t>
            </w:r>
            <w:r>
              <w:rPr>
                <w:rFonts w:hint="eastAsia" w:ascii="仿宋_GB2312" w:hAnsi="仿宋_GB2312" w:eastAsia="仿宋_GB2312" w:cs="仿宋_GB2312"/>
                <w:kern w:val="0"/>
                <w:sz w:val="24"/>
                <w:szCs w:val="24"/>
                <w:lang w:eastAsia="zh-CN"/>
              </w:rPr>
              <w:t>指导</w:t>
            </w:r>
            <w:r>
              <w:rPr>
                <w:rFonts w:hint="eastAsia" w:ascii="仿宋_GB2312" w:hAnsi="仿宋_GB2312" w:eastAsia="仿宋_GB2312" w:cs="仿宋_GB2312"/>
                <w:kern w:val="0"/>
                <w:sz w:val="24"/>
                <w:szCs w:val="24"/>
              </w:rPr>
              <w:t>并监督实施全区公路行业政策和标准；</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3、负责交通运输行政执法工作。</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4、参与拟订物流业发展战略和规划，拟订有关政策并监督实施。</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承担道路运输市场监管责任；</w:t>
            </w:r>
            <w:r>
              <w:rPr>
                <w:rFonts w:hint="eastAsia" w:ascii="仿宋_GB2312" w:hAnsi="仿宋_GB2312" w:eastAsia="仿宋_GB2312" w:cs="仿宋_GB2312"/>
                <w:kern w:val="0"/>
                <w:sz w:val="24"/>
                <w:szCs w:val="24"/>
                <w:lang w:eastAsia="zh-CN"/>
              </w:rPr>
              <w:t>组织全区道路运输有关政策和运营规范的监督实施，指导全区城乡客运及有关设施规划和管理工作，负责城市公共交通客运管理工作。</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6、负责提出全区公路、内河水路固定资产投资规模和方向、区级财政性资金安排建议，按区政府规定权限审批、核准全区规划内和年度计划规模内固定资产投资项目；提出有关财政、土地、价格等政策建议。</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7、负责公路、公路桥梁、渡口、隧道的行业管理。</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承担公路、内河水建设市场监管责任；拟订全区公路、水路工程建设相关制度并监督实施；组织实施国家、省、市、区重点和大中弄公路、内河水路交通工程建设，负责公路、内河水路交通建设工程造价控制和工程质量、安全生产的监督管理，负责交通重点工程建设资金的筹集，区管交通资金的拔付和监管；指导交通运输基础设施管理和维护，承担有有关重要设施的管理和维护。</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9、指导全区公路、内河水路行业安全生产和应急管理工作。</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负责全区交通运输行业科技工作</w:t>
            </w:r>
            <w:r>
              <w:rPr>
                <w:rFonts w:hint="eastAsia" w:ascii="仿宋_GB2312" w:hAnsi="仿宋_GB2312" w:eastAsia="仿宋_GB2312" w:cs="仿宋_GB2312"/>
                <w:kern w:val="0"/>
                <w:sz w:val="24"/>
                <w:szCs w:val="24"/>
                <w:lang w:eastAsia="zh-CN"/>
              </w:rPr>
              <w:t>。</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11、负责审核、审批本辖区内交通运输行业行政许可工作。</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指导交通运输行业开展对外交流合作和交通外经外贸工作</w:t>
            </w:r>
            <w:r>
              <w:rPr>
                <w:rFonts w:hint="eastAsia" w:ascii="仿宋_GB2312" w:hAnsi="仿宋_GB2312" w:eastAsia="仿宋_GB2312" w:cs="仿宋_GB2312"/>
                <w:kern w:val="0"/>
                <w:sz w:val="24"/>
                <w:szCs w:val="24"/>
                <w:lang w:eastAsia="zh-CN"/>
              </w:rPr>
              <w:t>。</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13、负责渔船检验和监督管理工作。</w:t>
            </w:r>
          </w:p>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承办区委、区人民政府交办的其他事项。</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15、职能转变。区交通运输局要切实强化综合交通运输理念，推</w:t>
            </w:r>
            <w:r>
              <w:rPr>
                <w:rFonts w:hint="eastAsia" w:ascii="仿宋_GB2312" w:hAnsi="仿宋_GB2312" w:eastAsia="仿宋_GB2312" w:cs="仿宋_GB2312"/>
                <w:color w:val="auto"/>
                <w:kern w:val="0"/>
                <w:sz w:val="24"/>
                <w:szCs w:val="24"/>
                <w:lang w:val="en-US" w:eastAsia="zh-CN"/>
              </w:rPr>
              <w:t>动交通运输行业转变政府职能，深化简政放权；规范行政审批运行机</w:t>
            </w:r>
            <w:r>
              <w:rPr>
                <w:rFonts w:hint="eastAsia" w:ascii="仿宋_GB2312" w:hAnsi="仿宋_GB2312" w:eastAsia="仿宋_GB2312" w:cs="仿宋_GB2312"/>
                <w:kern w:val="0"/>
                <w:sz w:val="24"/>
                <w:szCs w:val="24"/>
                <w:lang w:val="en-US" w:eastAsia="zh-CN"/>
              </w:rPr>
              <w:t>制，推行交通运输综合审批服务，提高交通运输政务服务效率和质量；加快综合交通运输现代化治理体系建设，提供优质便民化服务，建设人民满意交通。</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4"/>
            <w:vAlign w:val="center"/>
          </w:tcPr>
          <w:p>
            <w:pPr>
              <w:autoSpaceDE w:val="0"/>
              <w:spacing w:line="600" w:lineRule="exact"/>
              <w:ind w:firstLine="480" w:firstLineChars="200"/>
              <w:rPr>
                <w:rFonts w:hint="eastAsia" w:ascii="仿宋_GB2312" w:hAnsi="仿宋_GB2312" w:eastAsia="仿宋_GB2312" w:cs="仿宋_GB2312"/>
                <w:b w:val="0"/>
                <w:bCs w:val="0"/>
                <w:color w:val="000000"/>
                <w:sz w:val="24"/>
                <w:szCs w:val="24"/>
                <w:shd w:val="clear" w:color="auto" w:fill="FFFFFF"/>
              </w:rPr>
            </w:pPr>
            <w:r>
              <w:rPr>
                <w:rFonts w:hint="eastAsia" w:ascii="仿宋_GB2312" w:hAnsi="仿宋_GB2312" w:eastAsia="仿宋_GB2312" w:cs="仿宋_GB2312"/>
                <w:b w:val="0"/>
                <w:bCs w:val="0"/>
                <w:color w:val="000000"/>
                <w:sz w:val="24"/>
                <w:szCs w:val="24"/>
              </w:rPr>
              <w:t>任务1新冠肺炎疫情交通防控：疫情期间，交通防控按照区指挥部统一部署，根据不同时段的安排，累计在全区设立13个交通防控检疫点，累计投入人力约4070人次。累计排查车辆57324辆，约121831人，劝返1662辆，3888人。安排工作人员24小时轮班值守各高速路口和长江大堤，重点是守好与湖北省相连的江南汽车渡口和新河农用车渡口，打击涉鄂人员从湖北偷渡回岳阳的行为，并监督各属地单位落实防偷渡属地责任，同时抓好了复工复产公共交通相关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b w:val="0"/>
                <w:bCs w:val="0"/>
                <w:color w:val="000000"/>
                <w:sz w:val="24"/>
                <w:szCs w:val="24"/>
              </w:rPr>
              <w:t>君山区沿长江港口集疏运公路：</w:t>
            </w:r>
            <w:r>
              <w:rPr>
                <w:rFonts w:hint="eastAsia" w:ascii="仿宋_GB2312" w:hAnsi="仿宋_GB2312" w:eastAsia="仿宋_GB2312" w:cs="仿宋_GB2312"/>
                <w:color w:val="000000"/>
                <w:sz w:val="24"/>
                <w:szCs w:val="24"/>
              </w:rPr>
              <w:t>该项目起点位于规划在建的广兴洲作业区LNG接收站，线路走向沿长江大堤内50米范围至洞庭湖大桥，全长34.468公里，拟按一级公路建设标准，总投资估算14.26亿元。已成立工程指挥部，由区长李勇同志任总指挥长。目前正处于工可编制阶段。</w:t>
            </w:r>
          </w:p>
          <w:p>
            <w:pPr>
              <w:spacing w:line="6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b w:val="0"/>
                <w:bCs w:val="0"/>
                <w:color w:val="000000"/>
                <w:sz w:val="24"/>
                <w:szCs w:val="24"/>
              </w:rPr>
              <w:t>滨江大道（G240绕城公路）</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项目起点规划景明路与洞庭大道交叉口（原S306 K103+300）沿景明路往南900m后折向西，途经横墩、党家敦、新洲、烂泥湖，终点到达岳华公路横港（原S306 K94+175），总里程10.725km，二级公路，路幅宽18米。总投资估算3.5亿元。目前一期工程已开工建设。</w:t>
            </w:r>
          </w:p>
          <w:p>
            <w:pPr>
              <w:autoSpaceDE w:val="0"/>
              <w:spacing w:line="6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b w:val="0"/>
                <w:bCs/>
                <w:color w:val="000000"/>
                <w:sz w:val="24"/>
                <w:szCs w:val="24"/>
              </w:rPr>
              <w:t>荆江大道</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该项目为我区绿色食品工业园区公路主干线，路线起点与长江干堤相接，终点与洞庭大道相接，全长2768.88米，占地159亩。路幅为35m宽，预算总造价为1.48亿元。2016年12月完成洞庭大道—1804（柳毅路）线段606米的一期工程建设。目前二期工程已完成土石路基换填和雨污水管道铺设。</w:t>
            </w:r>
          </w:p>
          <w:p>
            <w:pPr>
              <w:autoSpaceDE w:val="0"/>
              <w:spacing w:line="6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b w:val="0"/>
                <w:bCs/>
                <w:color w:val="000000"/>
                <w:sz w:val="24"/>
                <w:szCs w:val="24"/>
              </w:rPr>
              <w:t>G353挂口至建新间堤公路</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color w:val="000000"/>
                <w:sz w:val="24"/>
                <w:szCs w:val="24"/>
              </w:rPr>
              <w:t>该项目全长4.576公里，路幅宽80米，市政道路，总投资1.84亿元。线路起点为花漾年华十字路口，终点为建新间堤。2018年完成了一期工程（加油站至S306与柳毅路交汇处1.745公里）建设任务。目前二期工程已完成环评、财评，准备招投标挂网工作。</w:t>
            </w:r>
          </w:p>
          <w:p>
            <w:pPr>
              <w:autoSpaceDE w:val="0"/>
              <w:spacing w:line="60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b w:val="0"/>
                <w:bCs/>
                <w:color w:val="000000"/>
                <w:sz w:val="24"/>
                <w:szCs w:val="24"/>
              </w:rPr>
              <w:t>岳阳LNG接收站(储备中心)：</w:t>
            </w:r>
            <w:r>
              <w:rPr>
                <w:rFonts w:hint="eastAsia" w:ascii="仿宋_GB2312" w:hAnsi="仿宋_GB2312" w:eastAsia="仿宋_GB2312" w:cs="仿宋_GB2312"/>
                <w:color w:val="000000"/>
                <w:sz w:val="24"/>
                <w:szCs w:val="24"/>
              </w:rPr>
              <w:t>该项目由岳阳液化天然气有限公司建设，选址于君山区广兴洲镇区域，总投资20亿元，</w:t>
            </w:r>
            <w:r>
              <w:rPr>
                <w:rFonts w:hint="eastAsia" w:ascii="仿宋_GB2312" w:hAnsi="仿宋_GB2312" w:eastAsia="仿宋_GB2312" w:cs="仿宋_GB2312"/>
                <w:bCs/>
                <w:color w:val="000000"/>
                <w:sz w:val="24"/>
                <w:szCs w:val="24"/>
              </w:rPr>
              <w:t>规划占地432.7亩，</w:t>
            </w:r>
            <w:r>
              <w:rPr>
                <w:rFonts w:hint="eastAsia" w:ascii="仿宋_GB2312" w:hAnsi="仿宋_GB2312" w:eastAsia="仿宋_GB2312" w:cs="仿宋_GB2312"/>
                <w:color w:val="000000"/>
                <w:sz w:val="24"/>
                <w:szCs w:val="24"/>
              </w:rPr>
              <w:t>占用岸线965m，新建接收能力150 万吨/年的LNG接收码头及储备中心。项目分三期实施，一期建设接收能力50万吨/年，二期建设接收能力达到100万吨/年，三期建设完成后总接收能力达到150万吨/年。建设规模为一个LNG接收码头(3个LNG接卸泊位、2个加注泊位及1个工作船泊位)和一座LNG储备站(3座50000m3LNG储罐以及配套设施)。其中一期规划建设2个接卸泊位、1个工作船泊位和1座50000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的LNG储罐以及配套设施。</w:t>
            </w:r>
            <w:r>
              <w:rPr>
                <w:rFonts w:hint="eastAsia" w:ascii="仿宋_GB2312" w:hAnsi="仿宋_GB2312" w:eastAsia="仿宋_GB2312" w:cs="仿宋_GB2312"/>
                <w:bCs/>
                <w:color w:val="000000"/>
                <w:sz w:val="24"/>
                <w:szCs w:val="24"/>
              </w:rPr>
              <w:t>10月23日，岳阳港君山港区LNG接收站子项目加注站在广兴洲镇举行了开工仪式。</w:t>
            </w:r>
          </w:p>
          <w:p>
            <w:pPr>
              <w:autoSpaceDE w:val="0"/>
              <w:spacing w:line="6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 xml:space="preserve">交通脱贫攻坚：完成了脱贫攻坚自然村通水泥（沥青）建设18.308公里（省厅目标任务16公里）；完成了农村公路安全生命防护工程计划79.906公里建设；完成了君山区X003道路（十字渠-农科所段）提质改造工程2.041公里建设。 </w:t>
            </w:r>
          </w:p>
          <w:p>
            <w:pPr>
              <w:autoSpaceDE w:val="0"/>
              <w:spacing w:line="6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sz w:val="24"/>
                <w:szCs w:val="24"/>
              </w:rPr>
              <w:t>绿色交通建设：始终坚持把“绿水青山就是金山银山”的理念贯穿到交通运输发展全过程，巩固非法码头、无证经营码头整治成效。加快新能源车推广应用，提倡绿色低碳环保的出行方式。加强站场建设，君山公交站场完成了施工图设计及土地审批手续，财政评审工作正在进行中，计划启动设计招投标；钱粮湖站场做好了设计等前期工作。</w:t>
            </w:r>
          </w:p>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平安交通建设：落实安全生产“一岗双责”，全面开展隐患排查治理，强化预防预控，提升应急处置能力。推进交通问题“顽瘴痼疾”的整治，加强节假日等重点时段和“两客一危”等关键领域安全监管，开展安全宣教培训，增强企业和从业人员安全生产意识。密切关注行业稳定风险，按照“有黑扫黑、无黑除恶、无恶治乱”的要求，深入排查涉黑线索，持续推进扫黑除恶专项斗争，不断深化行业治理。全年道路交通安全共组织执法活动38次,出动执法人员145人,检查生产经营单位36家，下达隐患整改通知书2                                                                                                                                                                                                                                                                   份；水上交通安全共出动人员98人次，进行安全排查26次，其中排查渡口36道次，排查渡船39艘次。交通运输行业未出现一起安全生产责任事故，总体形势稳定向好。</w:t>
            </w:r>
            <w:r>
              <w:rPr>
                <w:rFonts w:hint="eastAsia" w:ascii="仿宋_GB2312" w:hAnsi="仿宋_GB2312" w:eastAsia="仿宋_GB2312" w:cs="仿宋_GB2312"/>
                <w:color w:val="000000"/>
                <w:sz w:val="24"/>
                <w:szCs w:val="24"/>
                <w:lang w:eastAsia="zh-CN"/>
              </w:rPr>
              <w:t>加强路政安全建设，</w:t>
            </w:r>
            <w:r>
              <w:rPr>
                <w:rFonts w:hint="eastAsia" w:ascii="仿宋_GB2312" w:hAnsi="仿宋_GB2312" w:eastAsia="仿宋_GB2312" w:cs="仿宋_GB2312"/>
                <w:sz w:val="24"/>
                <w:szCs w:val="24"/>
              </w:rPr>
              <w:t>“以宣传工作为突破口，加强各种侵权行为的预防性工作”，出动流动宣传车3趟次，发动宣传资料300多份，到各乡镇巡回宣传《公路法》、《公路安全保护条例》、《湖南省乡村公路条例》等法律法规和相关政策，并充分发挥广播、君山手机报等媒体，开展宣传公路法律法规等内容，广大群众爱路、护路意识明显增强；三是加大路产路权侵害案件的查处力度，不断提高损坏路产侵占路权案件的结案率、赔偿率和处理工作。据统计上半年来共查处了10起超限运输案件，3起擅自破坏公路安装水管案件，共依法下发整改通知书14份，极大的震慑了破坏公路的违法行为，最大限度地维护了维护了公路路容路貌及路产路权的完整。</w:t>
            </w:r>
          </w:p>
          <w:p>
            <w:pPr>
              <w:autoSpaceDE w:val="0"/>
              <w:spacing w:line="6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党建工作：持续推进“不忘初心，牢记使命”主题教育和专题警示教育。坚持“围绕中心抓党建、抓好党建为中心”的原则，全面落实“三会一课”制度，提升基层党组织执行力</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进一步激发党员干事创业、创先争优的热情。</w:t>
            </w:r>
          </w:p>
          <w:p>
            <w:pPr>
              <w:spacing w:line="640" w:lineRule="exact"/>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sz w:val="24"/>
                <w:szCs w:val="24"/>
              </w:rPr>
              <w:t>农村公路管理养护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000000"/>
                <w:sz w:val="24"/>
                <w:szCs w:val="24"/>
              </w:rPr>
              <w:t>区公路所负责省县道</w:t>
            </w:r>
            <w:r>
              <w:rPr>
                <w:rFonts w:hint="eastAsia" w:ascii="仿宋_GB2312" w:hAnsi="仿宋_GB2312" w:eastAsia="仿宋_GB2312" w:cs="仿宋_GB2312"/>
                <w:sz w:val="24"/>
                <w:szCs w:val="24"/>
              </w:rPr>
              <w:t>176.198</w:t>
            </w:r>
            <w:r>
              <w:rPr>
                <w:rFonts w:hint="eastAsia" w:ascii="仿宋_GB2312" w:hAnsi="仿宋_GB2312" w:eastAsia="仿宋_GB2312" w:cs="仿宋_GB2312"/>
                <w:color w:val="000000"/>
                <w:sz w:val="24"/>
                <w:szCs w:val="24"/>
              </w:rPr>
              <w:t>公里的管理养护，由所管养护工班按照定岗、定责、定人、定酬的方式分责任路段到人进行养护管理，</w:t>
            </w:r>
            <w:r>
              <w:rPr>
                <w:rFonts w:hint="eastAsia" w:ascii="仿宋_GB2312" w:hAnsi="仿宋_GB2312" w:eastAsia="仿宋_GB2312" w:cs="仿宋_GB2312"/>
                <w:sz w:val="24"/>
                <w:szCs w:val="24"/>
              </w:rPr>
              <w:t>395.826</w:t>
            </w:r>
            <w:r>
              <w:rPr>
                <w:rFonts w:hint="eastAsia" w:ascii="仿宋_GB2312" w:hAnsi="仿宋_GB2312" w:eastAsia="仿宋_GB2312" w:cs="仿宋_GB2312"/>
                <w:color w:val="000000"/>
                <w:sz w:val="24"/>
                <w:szCs w:val="24"/>
              </w:rPr>
              <w:t>公里乡道、</w:t>
            </w:r>
            <w:r>
              <w:rPr>
                <w:rFonts w:hint="eastAsia" w:ascii="仿宋_GB2312" w:hAnsi="仿宋_GB2312" w:eastAsia="仿宋_GB2312" w:cs="仿宋_GB2312"/>
                <w:sz w:val="24"/>
                <w:szCs w:val="24"/>
              </w:rPr>
              <w:t>412.642</w:t>
            </w:r>
            <w:r>
              <w:rPr>
                <w:rFonts w:hint="eastAsia" w:ascii="仿宋_GB2312" w:hAnsi="仿宋_GB2312" w:eastAsia="仿宋_GB2312" w:cs="仿宋_GB2312"/>
                <w:color w:val="000000"/>
                <w:sz w:val="24"/>
                <w:szCs w:val="24"/>
              </w:rPr>
              <w:t>公里村道的养护管理工作由各镇（办）养护管理站进行养护管理。实行省县道每月一考核，乡道每季一检查，村道半年一验收。上半年对畜墩线、自毛线种植2000多株植被；对红康线、建钱线大堤段病害路段进行保畅维修，处理里程20多公里。下半年对黄广线、良心新、玄观线等主要县道进行挖补1100多平方，望三线、钱二线等进行清灌缝8.7公里。为确保农村公路的安全畅通，截止7月11日我所共计投入资金420多万元，将水毁严重危急公路18050m³受损路基、47131㎡受损路面进行紧急处理,累计清除坍塌方920余方，修复涵洞1道。</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8146" w:type="dxa"/>
            <w:gridSpan w:val="14"/>
            <w:vAlign w:val="center"/>
          </w:tcPr>
          <w:p>
            <w:pPr>
              <w:spacing w:beforeLines="0" w:afterLines="0" w:line="6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eastAsia="zh-CN"/>
              </w:rPr>
              <w:t>我局</w:t>
            </w:r>
            <w:r>
              <w:rPr>
                <w:rFonts w:hint="eastAsia" w:ascii="仿宋_GB2312" w:hAnsi="仿宋_GB2312" w:eastAsia="仿宋_GB2312" w:cs="仿宋_GB2312"/>
                <w:color w:val="000000"/>
                <w:sz w:val="24"/>
                <w:szCs w:val="24"/>
              </w:rPr>
              <w:t>扎实推进项目建设</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坚持守好生态底线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坚持守好安全底线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竭力加强超限超载治理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竭力推动公交发展</w:t>
            </w:r>
            <w:r>
              <w:rPr>
                <w:rFonts w:hint="eastAsia" w:ascii="仿宋_GB2312" w:hAnsi="仿宋_GB2312" w:eastAsia="仿宋_GB2312" w:cs="仿宋_GB2312"/>
                <w:color w:val="000000"/>
                <w:sz w:val="24"/>
                <w:szCs w:val="24"/>
                <w:lang w:eastAsia="zh-CN"/>
              </w:rPr>
              <w:t>，防疫值班在第一线，保障公共社会安全，保障人民的安全出行和便利出行，圆满完成了上级交付的工作任务</w:t>
            </w:r>
            <w:r>
              <w:rPr>
                <w:rFonts w:hint="eastAsia" w:ascii="仿宋_GB2312" w:hAnsi="仿宋_GB2312" w:eastAsia="仿宋_GB2312" w:cs="仿宋_GB2312"/>
                <w:color w:val="000000"/>
                <w:sz w:val="24"/>
                <w:szCs w:val="24"/>
                <w:lang w:val="en-US" w:eastAsia="zh-CN"/>
              </w:rPr>
              <w:t>。</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276"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6824"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10949.3</w:t>
            </w: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276"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7"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276"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10949.30</w:t>
            </w:r>
          </w:p>
        </w:tc>
        <w:tc>
          <w:tcPr>
            <w:tcW w:w="1159"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333.55</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10246.19</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369.56</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76"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7519.76</w:t>
            </w:r>
          </w:p>
        </w:tc>
        <w:tc>
          <w:tcPr>
            <w:tcW w:w="1159"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40.88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7109.32</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369.56</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君山区农村公路养护中心</w:t>
            </w:r>
          </w:p>
        </w:tc>
        <w:tc>
          <w:tcPr>
            <w:tcW w:w="1276"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2897.79</w:t>
            </w:r>
          </w:p>
        </w:tc>
        <w:tc>
          <w:tcPr>
            <w:tcW w:w="1159"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240.67</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2657.12</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君山区道路运输服务中心</w:t>
            </w:r>
          </w:p>
        </w:tc>
        <w:tc>
          <w:tcPr>
            <w:tcW w:w="1276"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354.54</w:t>
            </w:r>
          </w:p>
        </w:tc>
        <w:tc>
          <w:tcPr>
            <w:tcW w:w="1159"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52</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302.54</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5"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君山区港口航务管理所</w:t>
            </w:r>
          </w:p>
        </w:tc>
        <w:tc>
          <w:tcPr>
            <w:tcW w:w="1276"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177.21</w:t>
            </w:r>
          </w:p>
        </w:tc>
        <w:tc>
          <w:tcPr>
            <w:tcW w:w="1159" w:type="dxa"/>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177.21</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76"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479"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szCs w:val="24"/>
              </w:rPr>
            </w:pPr>
          </w:p>
        </w:tc>
        <w:tc>
          <w:tcPr>
            <w:tcW w:w="1276"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159"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szCs w:val="24"/>
              </w:rPr>
            </w:pPr>
          </w:p>
        </w:tc>
        <w:tc>
          <w:tcPr>
            <w:tcW w:w="1276"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159"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9291</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1620.08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1381.75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238.33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7670.92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1658.29</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1658.29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5922.78</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631.61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480.98</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150.63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5291.17</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1596.98</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1596.98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君山区农村公路养护中心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2867.5</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603.89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543.55</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60.34</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2263.61</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30.29</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君山区道路运输服务中心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349.68</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277.54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253.63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23.91</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72.14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4.86</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君山区港口航务管理所</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151.04</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107.04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103.59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3.45</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26.17</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76"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824"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szCs w:val="24"/>
              </w:rPr>
            </w:pPr>
          </w:p>
        </w:tc>
        <w:tc>
          <w:tcPr>
            <w:tcW w:w="1276"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16.1</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13.32</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9"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4.05</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2.87</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君山区农村公路养护中心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2.75</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0.72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君山区道路运输服务中心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4.46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君山区港口航务管理所</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4.3</w:t>
            </w:r>
          </w:p>
        </w:tc>
        <w:tc>
          <w:tcPr>
            <w:tcW w:w="1159"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0.34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3.96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76"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5883"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szCs w:val="24"/>
              </w:rPr>
            </w:pPr>
          </w:p>
        </w:tc>
        <w:tc>
          <w:tcPr>
            <w:tcW w:w="1276"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385.87</w:t>
            </w: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385.87</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164.21</w:t>
            </w: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164.21</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3"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君山区农村公路养护中心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77.22</w:t>
            </w: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77.22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君山区道路运输服务中心</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117.81</w:t>
            </w: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117.81</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君山区港口航务管理所</w:t>
            </w:r>
          </w:p>
        </w:tc>
        <w:tc>
          <w:tcPr>
            <w:tcW w:w="127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26.63</w:t>
            </w:r>
          </w:p>
        </w:tc>
        <w:tc>
          <w:tcPr>
            <w:tcW w:w="2239"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26.63</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整体支出绩效定性目标及实施计划完成情况</w:t>
            </w:r>
          </w:p>
        </w:tc>
        <w:tc>
          <w:tcPr>
            <w:tcW w:w="377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93"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377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目标</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b w:val="0"/>
                <w:bCs w:val="0"/>
                <w:color w:val="000000"/>
                <w:sz w:val="24"/>
                <w:szCs w:val="24"/>
              </w:rPr>
              <w:t>新冠肺炎疫情交通防控</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val="0"/>
                <w:bCs w:val="0"/>
                <w:color w:val="000000"/>
                <w:sz w:val="24"/>
                <w:szCs w:val="24"/>
              </w:rPr>
              <w:t>君山区沿长江港口集疏运公路</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val="0"/>
                <w:bCs w:val="0"/>
                <w:color w:val="000000"/>
                <w:sz w:val="24"/>
                <w:szCs w:val="24"/>
              </w:rPr>
              <w:t>滨江大道（G240绕城公路）</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color w:val="000000"/>
                <w:sz w:val="24"/>
                <w:szCs w:val="24"/>
              </w:rPr>
              <w:t>荆江大道</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G353挂口至建新间堤公路</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岳阳LNG接收站(储备中心)</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7、</w:t>
            </w:r>
            <w:r>
              <w:rPr>
                <w:rFonts w:hint="eastAsia" w:ascii="仿宋_GB2312" w:hAnsi="仿宋_GB2312" w:eastAsia="仿宋_GB2312" w:cs="仿宋_GB2312"/>
                <w:color w:val="000000"/>
                <w:sz w:val="24"/>
                <w:szCs w:val="24"/>
              </w:rPr>
              <w:t>交通脱贫攻坚</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sz w:val="24"/>
                <w:szCs w:val="24"/>
              </w:rPr>
              <w:t>绿色交通建设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color w:val="000000"/>
                <w:sz w:val="24"/>
                <w:szCs w:val="24"/>
              </w:rPr>
              <w:t>平安交通建设</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党建工作</w:t>
            </w:r>
            <w:r>
              <w:rPr>
                <w:rFonts w:hint="eastAsia" w:ascii="仿宋_GB2312" w:hAnsi="仿宋_GB2312" w:eastAsia="仿宋_GB2312" w:cs="仿宋_GB2312"/>
                <w:color w:val="000000"/>
                <w:sz w:val="24"/>
                <w:szCs w:val="24"/>
                <w:lang w:val="en-US" w:eastAsia="zh-CN"/>
              </w:rPr>
              <w:t>11、农村公路养护</w:t>
            </w:r>
          </w:p>
        </w:tc>
        <w:tc>
          <w:tcPr>
            <w:tcW w:w="4585" w:type="dxa"/>
            <w:gridSpan w:val="9"/>
            <w:vAlign w:val="center"/>
          </w:tcPr>
          <w:p>
            <w:pPr>
              <w:spacing w:beforeLines="0" w:afterLines="0" w:line="6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eastAsia="zh-CN"/>
              </w:rPr>
              <w:t>我局</w:t>
            </w:r>
            <w:r>
              <w:rPr>
                <w:rFonts w:hint="eastAsia" w:ascii="仿宋_GB2312" w:hAnsi="仿宋_GB2312" w:eastAsia="仿宋_GB2312" w:cs="仿宋_GB2312"/>
                <w:color w:val="000000"/>
                <w:sz w:val="24"/>
                <w:szCs w:val="24"/>
              </w:rPr>
              <w:t>扎实推进项目建设</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坚持守好生态底线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坚持守好安全底线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竭力加强超限超载治理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竭力推动公交发展</w:t>
            </w:r>
            <w:r>
              <w:rPr>
                <w:rFonts w:hint="eastAsia" w:ascii="仿宋_GB2312" w:hAnsi="仿宋_GB2312" w:eastAsia="仿宋_GB2312" w:cs="仿宋_GB2312"/>
                <w:color w:val="000000"/>
                <w:sz w:val="24"/>
                <w:szCs w:val="24"/>
                <w:lang w:eastAsia="zh-CN"/>
              </w:rPr>
              <w:t>，防疫值班在第一线，保障公共社会安全，保障人民的安全出行和便利出行，圆满完成了上级交付的工作任务</w:t>
            </w:r>
            <w:r>
              <w:rPr>
                <w:rFonts w:hint="eastAsia" w:ascii="仿宋_GB2312" w:hAnsi="仿宋_GB2312" w:eastAsia="仿宋_GB2312" w:cs="仿宋_GB2312"/>
                <w:color w:val="000000"/>
                <w:sz w:val="24"/>
                <w:szCs w:val="24"/>
                <w:lang w:val="en-US" w:eastAsia="zh-CN"/>
              </w:rPr>
              <w:t>。</w:t>
            </w:r>
          </w:p>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31"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指标1：党建工作</w:t>
            </w:r>
          </w:p>
        </w:tc>
        <w:tc>
          <w:tcPr>
            <w:tcW w:w="2684" w:type="dxa"/>
            <w:gridSpan w:val="6"/>
            <w:vAlign w:val="center"/>
          </w:tcPr>
          <w:p>
            <w:pPr>
              <w:autoSpaceDE w:val="0"/>
              <w:spacing w:line="6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提升基层党组织执行力</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进一步激发党员干事创业、创先争优的热情。</w:t>
            </w:r>
          </w:p>
          <w:p>
            <w:pPr>
              <w:autoSpaceDN w:val="0"/>
              <w:spacing w:line="320" w:lineRule="exact"/>
              <w:jc w:val="center"/>
              <w:textAlignment w:val="center"/>
              <w:rPr>
                <w:rFonts w:hint="eastAsia" w:ascii="仿宋_GB2312" w:hAnsi="仿宋_GB2312" w:eastAsia="仿宋_GB2312" w:cs="仿宋_GB2312"/>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continue"/>
            <w:vAlign w:val="center"/>
          </w:tcPr>
          <w:p>
            <w:pPr>
              <w:spacing w:line="320" w:lineRule="exact"/>
              <w:rPr>
                <w:rFonts w:hint="eastAsia" w:ascii="仿宋_GB2312" w:hAnsi="仿宋_GB2312" w:eastAsia="仿宋_GB2312" w:cs="仿宋_GB2312"/>
                <w:sz w:val="24"/>
                <w:szCs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r>
              <w:rPr>
                <w:rFonts w:hint="eastAsia" w:ascii="仿宋_GB2312" w:hAnsi="仿宋_GB2312" w:eastAsia="仿宋_GB2312" w:cs="仿宋_GB2312"/>
                <w:b w:val="0"/>
                <w:bCs w:val="0"/>
                <w:color w:val="000000"/>
                <w:sz w:val="24"/>
                <w:szCs w:val="24"/>
              </w:rPr>
              <w:t>新冠肺炎疫情交通防控</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val="0"/>
                <w:bCs w:val="0"/>
                <w:color w:val="000000"/>
                <w:sz w:val="24"/>
                <w:szCs w:val="24"/>
              </w:rPr>
              <w:t>守好与湖北省相连的江南汽车渡口和新河农用车渡口，打击涉鄂人员从湖北偷渡回岳阳的行为，并监督各属地单位落实防偷渡属地责任，同时抓好了复工复产公共交通相关工作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continue"/>
            <w:vAlign w:val="center"/>
          </w:tcPr>
          <w:p>
            <w:pPr>
              <w:spacing w:line="320" w:lineRule="exact"/>
              <w:rPr>
                <w:rFonts w:hint="eastAsia" w:ascii="仿宋_GB2312" w:hAnsi="仿宋_GB2312" w:eastAsia="仿宋_GB2312" w:cs="仿宋_GB2312"/>
                <w:sz w:val="24"/>
                <w:szCs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平安交通建设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color w:val="000000"/>
                <w:sz w:val="24"/>
                <w:szCs w:val="24"/>
              </w:rPr>
              <w:t>交通运输行业未出现一起安全生产责任事故，总体形势稳定向好</w:t>
            </w:r>
            <w:r>
              <w:rPr>
                <w:rFonts w:hint="eastAsia" w:ascii="仿宋_GB2312" w:hAnsi="仿宋_GB2312" w:eastAsia="仿宋_GB2312" w:cs="仿宋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restart"/>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指标1：交通脱贫攻坚</w:t>
            </w:r>
          </w:p>
        </w:tc>
        <w:tc>
          <w:tcPr>
            <w:tcW w:w="2684" w:type="dxa"/>
            <w:gridSpan w:val="6"/>
            <w:vAlign w:val="center"/>
          </w:tcPr>
          <w:p>
            <w:pPr>
              <w:autoSpaceDE w:val="0"/>
              <w:spacing w:line="600" w:lineRule="exact"/>
              <w:ind w:firstLine="480"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 xml:space="preserve">完成了脱贫攻坚自然村通水泥（沥青）建设18.308公里；完成了农村公路安全生命防护工程计划79.906公里建设；完成了提质改造工程2.041公里建设。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8"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szCs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指标2：平安交通建设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全年道路交通安全共组织执法活动38次,出动执法人员145人,检查生产经营单位36家，下达隐患整改通知书2                                                                                                                                                                                                                                                                   份；水上交通安全共出动人员98人次，进行安全排查26次，其中排查渡口36道次，排查渡船39艘次。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val="0"/>
                <w:bCs w:val="0"/>
                <w:color w:val="000000"/>
                <w:sz w:val="24"/>
                <w:szCs w:val="24"/>
              </w:rPr>
              <w:t>新冠肺炎疫情交通防控</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及时守好防疫安全线，保障人民生命安全。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8"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指标2：交通脱贫攻坚</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在合同限定时间内完工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指标1：</w:t>
            </w:r>
            <w:r>
              <w:rPr>
                <w:rFonts w:hint="eastAsia" w:ascii="仿宋_GB2312" w:hAnsi="仿宋_GB2312" w:eastAsia="仿宋_GB2312" w:cs="仿宋_GB2312"/>
                <w:color w:val="000000"/>
                <w:sz w:val="24"/>
                <w:szCs w:val="24"/>
                <w:lang w:eastAsia="zh-CN"/>
              </w:rPr>
              <w:t>公用支出和项目支出</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按年初预算和计划下达指标数支出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60"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3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指标1：平安交通建设</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2684" w:type="dxa"/>
            <w:gridSpan w:val="6"/>
            <w:vAlign w:val="center"/>
          </w:tcPr>
          <w:p>
            <w:pPr>
              <w:autoSpaceDN w:val="0"/>
              <w:spacing w:line="320" w:lineRule="exact"/>
              <w:jc w:val="both"/>
              <w:textAlignment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平安交通建设保障交通安全出行，通村路、公路养护、公交车入村到户保障大家出行方便，公交车政策性补贴，</w:t>
            </w:r>
            <w:r>
              <w:rPr>
                <w:rFonts w:hint="eastAsia" w:ascii="仿宋_GB2312" w:hAnsi="仿宋_GB2312" w:eastAsia="仿宋_GB2312" w:cs="仿宋_GB2312"/>
                <w:sz w:val="24"/>
                <w:szCs w:val="24"/>
              </w:rPr>
              <w:t>小学生票价减半及65岁以上老人、现役军人、盲人等实行免费乘车</w:t>
            </w:r>
            <w:r>
              <w:rPr>
                <w:rFonts w:hint="eastAsia" w:ascii="仿宋_GB2312" w:hAnsi="仿宋_GB2312" w:eastAsia="仿宋_GB2312" w:cs="仿宋_GB2312"/>
                <w:b w:val="0"/>
                <w:bCs/>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3"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指标1：平安交通建设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道路通畅，保障运输。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w:t>
            </w:r>
            <w:r>
              <w:rPr>
                <w:rFonts w:hint="eastAsia" w:ascii="仿宋_GB2312" w:hAnsi="仿宋_GB2312" w:eastAsia="仿宋_GB2312" w:cs="仿宋_GB2312"/>
                <w:sz w:val="24"/>
                <w:szCs w:val="24"/>
              </w:rPr>
              <w:t>绿色交通建设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sz w:val="24"/>
                <w:szCs w:val="24"/>
              </w:rPr>
              <w:t>0排污量0耗油量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szCs w:val="24"/>
              </w:rPr>
            </w:pPr>
          </w:p>
        </w:tc>
        <w:tc>
          <w:tcPr>
            <w:tcW w:w="1535" w:type="dxa"/>
            <w:gridSpan w:val="3"/>
            <w:vMerge w:val="continue"/>
            <w:vAlign w:val="center"/>
          </w:tcPr>
          <w:p>
            <w:pPr>
              <w:autoSpaceDN w:val="0"/>
              <w:spacing w:line="320" w:lineRule="exact"/>
              <w:rPr>
                <w:rFonts w:hint="eastAsia" w:ascii="仿宋_GB2312" w:hAnsi="仿宋_GB2312" w:eastAsia="仿宋_GB2312" w:cs="仿宋_GB2312"/>
                <w:sz w:val="24"/>
                <w:szCs w:val="24"/>
              </w:rPr>
            </w:pPr>
          </w:p>
        </w:tc>
        <w:tc>
          <w:tcPr>
            <w:tcW w:w="143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指标1：</w:t>
            </w:r>
            <w:r>
              <w:rPr>
                <w:rFonts w:hint="eastAsia" w:ascii="仿宋_GB2312" w:hAnsi="仿宋_GB2312" w:eastAsia="仿宋_GB2312" w:cs="仿宋_GB2312"/>
                <w:color w:val="000000"/>
                <w:sz w:val="24"/>
                <w:szCs w:val="24"/>
                <w:lang w:eastAsia="zh-CN"/>
              </w:rPr>
              <w:t>公交车政策性补贴</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val="0"/>
                <w:bCs w:val="0"/>
                <w:color w:val="000000"/>
                <w:sz w:val="24"/>
                <w:szCs w:val="24"/>
              </w:rPr>
              <w:t>新冠肺炎疫情交通防控</w:t>
            </w:r>
            <w:r>
              <w:rPr>
                <w:rFonts w:hint="eastAsia" w:ascii="仿宋_GB2312" w:hAnsi="仿宋_GB2312" w:eastAsia="仿宋_GB2312" w:cs="仿宋_GB2312"/>
                <w:color w:val="000000"/>
                <w:sz w:val="24"/>
                <w:szCs w:val="24"/>
                <w:lang w:eastAsia="zh-CN"/>
              </w:rPr>
              <w:t>等</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sz w:val="24"/>
                <w:szCs w:val="24"/>
              </w:rPr>
              <w:t>群众满意率98%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76"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824"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76"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824"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eastAsia="仿宋_GB2312"/>
                <w:sz w:val="24"/>
              </w:rPr>
              <w:t xml:space="preserve"> 优秀（S≧90）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陈运华</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君山区交通运输局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黄险峰</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副局长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君山区交通运输局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彭凯</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纪检组长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君山区纪委</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李劲松</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总工</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君山区交通运输局</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2" w:hRule="atLeast"/>
          <w:jc w:val="center"/>
        </w:trPr>
        <w:tc>
          <w:tcPr>
            <w:tcW w:w="9800"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12" w:hRule="atLeast"/>
          <w:jc w:val="center"/>
        </w:trPr>
        <w:tc>
          <w:tcPr>
            <w:tcW w:w="9800" w:type="dxa"/>
            <w:gridSpan w:val="16"/>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财政部门归口业务科室意见：</w:t>
            </w: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财政部门归口业务</w:t>
            </w:r>
            <w:r>
              <w:rPr>
                <w:rFonts w:hint="eastAsia" w:ascii="仿宋_GB2312" w:hAnsi="仿宋_GB2312" w:eastAsia="仿宋_GB2312" w:cs="仿宋_GB2312"/>
                <w:sz w:val="24"/>
                <w:szCs w:val="24"/>
                <w:lang w:eastAsia="zh-CN"/>
              </w:rPr>
              <w:t>股</w:t>
            </w:r>
            <w:r>
              <w:rPr>
                <w:rFonts w:hint="eastAsia" w:ascii="仿宋_GB2312" w:hAnsi="仿宋_GB2312" w:eastAsia="仿宋_GB2312" w:cs="仿宋_GB2312"/>
                <w:sz w:val="24"/>
                <w:szCs w:val="24"/>
              </w:rPr>
              <w:t>室负责人（签章）：</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 xml:space="preserve">                                                                 年    月   日</w:t>
            </w:r>
          </w:p>
        </w:tc>
      </w:tr>
    </w:tbl>
    <w:p>
      <w:pPr>
        <w:rPr>
          <w:rFonts w:hint="eastAsia" w:eastAsia="仿宋_GB2312" w:cs="仿宋_GB2312"/>
          <w:bCs/>
          <w:sz w:val="28"/>
          <w:szCs w:val="28"/>
        </w:rPr>
      </w:pPr>
      <w:r>
        <w:rPr>
          <w:rFonts w:hint="eastAsia" w:ascii="仿宋_GB2312" w:hAnsi="仿宋_GB2312" w:eastAsia="仿宋_GB2312" w:cs="仿宋_GB2312"/>
          <w:bCs/>
          <w:sz w:val="24"/>
          <w:szCs w:val="24"/>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rPr>
              <w:t>一、部门（单位）概况</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（一）部门（单位）基本情况</w:t>
            </w:r>
          </w:p>
          <w:p>
            <w:pPr>
              <w:widowControl/>
              <w:spacing w:line="48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区交通运输局设</w:t>
            </w:r>
            <w:r>
              <w:rPr>
                <w:rFonts w:hint="eastAsia" w:ascii="仿宋_GB2312" w:hAnsi="仿宋_GB2312" w:eastAsia="仿宋_GB2312" w:cs="仿宋_GB2312"/>
                <w:kern w:val="0"/>
                <w:sz w:val="24"/>
                <w:szCs w:val="24"/>
                <w:lang w:val="en-US" w:eastAsia="zh-CN"/>
              </w:rPr>
              <w:t>7个内设机构：办公室（党建办）、政策法规股、规划统计和基本建设股（行政审批股）、运管公交股（交通战备办）、安全监督管理和渔业船舶检验股、政工人事股、财务股（审计股）。</w:t>
            </w:r>
            <w:r>
              <w:rPr>
                <w:rFonts w:hint="eastAsia" w:ascii="仿宋_GB2312" w:hAnsi="仿宋_GB2312" w:eastAsia="仿宋_GB2312" w:cs="仿宋_GB2312"/>
                <w:kern w:val="0"/>
                <w:sz w:val="24"/>
                <w:szCs w:val="24"/>
              </w:rPr>
              <w:t>我局20</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eastAsia="zh-CN"/>
              </w:rPr>
              <w:t>交通</w:t>
            </w:r>
            <w:r>
              <w:rPr>
                <w:rFonts w:hint="eastAsia" w:ascii="仿宋_GB2312" w:hAnsi="仿宋_GB2312" w:eastAsia="仿宋_GB2312" w:cs="仿宋_GB2312"/>
                <w:kern w:val="0"/>
                <w:sz w:val="24"/>
                <w:szCs w:val="24"/>
              </w:rPr>
              <w:t>部门是由</w:t>
            </w:r>
            <w:r>
              <w:rPr>
                <w:rFonts w:hint="eastAsia" w:ascii="仿宋_GB2312" w:hAnsi="仿宋_GB2312" w:eastAsia="仿宋_GB2312" w:cs="仿宋_GB2312"/>
                <w:kern w:val="0"/>
                <w:sz w:val="24"/>
                <w:szCs w:val="24"/>
                <w:lang w:eastAsia="zh-CN"/>
              </w:rPr>
              <w:t>四</w:t>
            </w:r>
            <w:r>
              <w:rPr>
                <w:rFonts w:hint="eastAsia" w:ascii="仿宋_GB2312" w:hAnsi="仿宋_GB2312" w:eastAsia="仿宋_GB2312" w:cs="仿宋_GB2312"/>
                <w:kern w:val="0"/>
                <w:sz w:val="24"/>
                <w:szCs w:val="24"/>
              </w:rPr>
              <w:t>个单位组成，</w:t>
            </w:r>
            <w:r>
              <w:rPr>
                <w:rFonts w:hint="eastAsia" w:ascii="仿宋_GB2312" w:hAnsi="仿宋_GB2312" w:eastAsia="仿宋_GB2312" w:cs="仿宋_GB2312"/>
                <w:kern w:val="0"/>
                <w:sz w:val="24"/>
                <w:szCs w:val="24"/>
                <w:lang w:eastAsia="zh-CN"/>
              </w:rPr>
              <w:t>包括</w:t>
            </w:r>
            <w:r>
              <w:rPr>
                <w:rFonts w:hint="eastAsia" w:ascii="仿宋_GB2312" w:hAnsi="仿宋_GB2312" w:eastAsia="仿宋_GB2312" w:cs="仿宋_GB2312"/>
                <w:kern w:val="0"/>
                <w:sz w:val="24"/>
                <w:szCs w:val="24"/>
                <w:lang w:val="en-US" w:eastAsia="zh-CN"/>
              </w:rPr>
              <w:t>君山区交通运输局本级和三个</w:t>
            </w:r>
            <w:r>
              <w:rPr>
                <w:rFonts w:hint="eastAsia" w:ascii="仿宋_GB2312" w:hAnsi="仿宋_GB2312" w:eastAsia="仿宋_GB2312" w:cs="仿宋_GB2312"/>
                <w:sz w:val="24"/>
                <w:szCs w:val="24"/>
              </w:rPr>
              <w:t>二级机构</w:t>
            </w:r>
            <w:r>
              <w:rPr>
                <w:rFonts w:hint="eastAsia" w:ascii="仿宋_GB2312" w:hAnsi="仿宋_GB2312" w:eastAsia="仿宋_GB2312" w:cs="仿宋_GB2312"/>
                <w:sz w:val="24"/>
                <w:szCs w:val="24"/>
                <w:lang w:eastAsia="zh-CN"/>
              </w:rPr>
              <w:t>：君山区农村公路养护中心、君山区港口航务管理所</w:t>
            </w:r>
            <w:r>
              <w:rPr>
                <w:rFonts w:hint="eastAsia" w:ascii="仿宋_GB2312" w:hAnsi="仿宋_GB2312" w:eastAsia="仿宋_GB2312" w:cs="仿宋_GB2312"/>
                <w:kern w:val="0"/>
                <w:sz w:val="24"/>
                <w:szCs w:val="24"/>
                <w:lang w:eastAsia="zh-CN"/>
              </w:rPr>
              <w:t>、君山区道路运输服务中心</w:t>
            </w:r>
            <w:r>
              <w:rPr>
                <w:rFonts w:hint="eastAsia" w:ascii="仿宋_GB2312" w:hAnsi="仿宋_GB2312" w:eastAsia="仿宋_GB2312" w:cs="仿宋_GB2312"/>
                <w:kern w:val="0"/>
                <w:sz w:val="24"/>
                <w:szCs w:val="24"/>
                <w:lang w:val="en-US" w:eastAsia="zh-CN"/>
              </w:rPr>
              <w:t>区。交通运输局共170人，其中行政编制12人，事业编制74人，无编人员37人，退休人员47人。设局长1名，副局长4名，总工程师1名。</w:t>
            </w:r>
          </w:p>
          <w:p>
            <w:pPr>
              <w:widowControl/>
              <w:spacing w:line="48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单位的主要职能：</w:t>
            </w:r>
          </w:p>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承担涉及综合运输体系的规划协调工作，会同有关部门组织编制全区综合运输体系规划</w:t>
            </w:r>
            <w:r>
              <w:rPr>
                <w:rFonts w:hint="eastAsia" w:ascii="仿宋_GB2312" w:hAnsi="仿宋_GB2312" w:eastAsia="仿宋_GB2312" w:cs="仿宋_GB2312"/>
                <w:kern w:val="0"/>
                <w:sz w:val="24"/>
                <w:szCs w:val="24"/>
                <w:lang w:eastAsia="zh-CN"/>
              </w:rPr>
              <w:t>，指导交通运输枢纽规划和管理</w:t>
            </w:r>
            <w:r>
              <w:rPr>
                <w:rFonts w:hint="eastAsia" w:ascii="仿宋_GB2312" w:hAnsi="仿宋_GB2312" w:eastAsia="仿宋_GB2312" w:cs="仿宋_GB2312"/>
                <w:kern w:val="0"/>
                <w:sz w:val="24"/>
                <w:szCs w:val="24"/>
              </w:rPr>
              <w:t>；</w:t>
            </w:r>
          </w:p>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组织</w:t>
            </w:r>
            <w:r>
              <w:rPr>
                <w:rFonts w:hint="eastAsia" w:ascii="仿宋_GB2312" w:hAnsi="仿宋_GB2312" w:eastAsia="仿宋_GB2312" w:cs="仿宋_GB2312"/>
                <w:kern w:val="0"/>
                <w:sz w:val="24"/>
                <w:szCs w:val="24"/>
                <w:lang w:eastAsia="zh-CN"/>
              </w:rPr>
              <w:t>指导</w:t>
            </w:r>
            <w:r>
              <w:rPr>
                <w:rFonts w:hint="eastAsia" w:ascii="仿宋_GB2312" w:hAnsi="仿宋_GB2312" w:eastAsia="仿宋_GB2312" w:cs="仿宋_GB2312"/>
                <w:kern w:val="0"/>
                <w:sz w:val="24"/>
                <w:szCs w:val="24"/>
              </w:rPr>
              <w:t>并监督实施全区公路行业政策和标准；</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3、负责交通运输行政执法工作。</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4、参与拟订物流业发展战略和规划，拟订有关政策并监督实施。</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承担道路运输市场监管责任；</w:t>
            </w:r>
            <w:r>
              <w:rPr>
                <w:rFonts w:hint="eastAsia" w:ascii="仿宋_GB2312" w:hAnsi="仿宋_GB2312" w:eastAsia="仿宋_GB2312" w:cs="仿宋_GB2312"/>
                <w:kern w:val="0"/>
                <w:sz w:val="24"/>
                <w:szCs w:val="24"/>
                <w:lang w:eastAsia="zh-CN"/>
              </w:rPr>
              <w:t>组织全区道路运输有关政策和运营规范的监督实施，指导全区城乡客运及有关设施规划和管理工作，负责城市公共交通客运管理工作。</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6、负责提出全区公路、内河水路固定资产投资规模和方向、区级财政性资金安排建议，按区政府规定权限审批、核准全区规划内和年度计划规模内固定资产投资项目；提出有关财政、土地、价格等政策建议。</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7、负责公路、公路桥梁、渡口、隧道的行业管理。</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承担公路、内河水建设市场监管责任；拟订全区公路、水路工程建设相关制度并监督实施；组织实施国家、省、市、区重点和大中弄公路、内河水路交通工程建设，负责公路、内河水路交通建设工程造价控制和工程质量、安全生产的监督管理，负责交通重点工程建设资金的筹集，区管交通资金的拔付和监管；指导交通运输基础设施管理和维护，承担有有关重要设施的管理和维护。</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9、指导全区公路、内河水路行业安全生产和应急管理工作。</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负责全区交通运输行业科技工作</w:t>
            </w:r>
            <w:r>
              <w:rPr>
                <w:rFonts w:hint="eastAsia" w:ascii="仿宋_GB2312" w:hAnsi="仿宋_GB2312" w:eastAsia="仿宋_GB2312" w:cs="仿宋_GB2312"/>
                <w:kern w:val="0"/>
                <w:sz w:val="24"/>
                <w:szCs w:val="24"/>
                <w:lang w:eastAsia="zh-CN"/>
              </w:rPr>
              <w:t>。</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11、负责审核、审批本辖区内交通运输行业行政许可工作。</w:t>
            </w:r>
          </w:p>
          <w:p>
            <w:pPr>
              <w:spacing w:beforeLines="0" w:afterLines="0" w:line="480" w:lineRule="auto"/>
              <w:ind w:firstLine="48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指导交通运输行业开展对外交流合作和交通外经外贸工作</w:t>
            </w:r>
            <w:r>
              <w:rPr>
                <w:rFonts w:hint="eastAsia" w:ascii="仿宋_GB2312" w:hAnsi="仿宋_GB2312" w:eastAsia="仿宋_GB2312" w:cs="仿宋_GB2312"/>
                <w:kern w:val="0"/>
                <w:sz w:val="24"/>
                <w:szCs w:val="24"/>
                <w:lang w:eastAsia="zh-CN"/>
              </w:rPr>
              <w:t>。</w:t>
            </w:r>
          </w:p>
          <w:p>
            <w:pPr>
              <w:spacing w:beforeLines="0" w:afterLines="0" w:line="480" w:lineRule="auto"/>
              <w:ind w:firstLine="48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13、负责渔船检验和监督管理工作。</w:t>
            </w:r>
          </w:p>
          <w:p>
            <w:pPr>
              <w:spacing w:beforeLines="0" w:afterLines="0" w:line="480" w:lineRule="auto"/>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承办区委、区人民政府交办的其他事项。</w:t>
            </w:r>
          </w:p>
          <w:p>
            <w:pPr>
              <w:spacing w:beforeLines="0" w:afterLines="0" w:line="480" w:lineRule="auto"/>
              <w:ind w:firstLine="480"/>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lang w:val="en-US" w:eastAsia="zh-CN"/>
              </w:rPr>
              <w:t>15、职能转变。区交通运输局要切实强化综合交通运输理念，推</w:t>
            </w:r>
            <w:r>
              <w:rPr>
                <w:rFonts w:hint="eastAsia" w:ascii="仿宋_GB2312" w:hAnsi="仿宋_GB2312" w:eastAsia="仿宋_GB2312" w:cs="仿宋_GB2312"/>
                <w:color w:val="auto"/>
                <w:kern w:val="0"/>
                <w:sz w:val="24"/>
                <w:szCs w:val="24"/>
                <w:lang w:val="en-US" w:eastAsia="zh-CN"/>
              </w:rPr>
              <w:t>动交通运输行业转变政府职能，深化简政放权；规范行政审批运行机</w:t>
            </w:r>
            <w:r>
              <w:rPr>
                <w:rFonts w:hint="eastAsia" w:ascii="仿宋_GB2312" w:hAnsi="仿宋_GB2312" w:eastAsia="仿宋_GB2312" w:cs="仿宋_GB2312"/>
                <w:kern w:val="0"/>
                <w:sz w:val="24"/>
                <w:szCs w:val="24"/>
                <w:lang w:val="en-US" w:eastAsia="zh-CN"/>
              </w:rPr>
              <w:t>制，推行交通运输综合审批服务，提高交通运输政务服务效率和质量；加快综合交通运输现代化治理体系建设，提供优质便民化服务，建设人民满意交通。</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（二）部门（单位）整体支出规模、使用方向和主要内容、涉及范围等</w:t>
            </w:r>
          </w:p>
          <w:p>
            <w:pPr>
              <w:spacing w:line="560" w:lineRule="exact"/>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单位今年整体收入</w:t>
            </w:r>
            <w:r>
              <w:rPr>
                <w:rFonts w:hint="eastAsia" w:ascii="仿宋_GB2312" w:hAnsi="仿宋_GB2312" w:eastAsia="仿宋_GB2312" w:cs="仿宋_GB2312"/>
                <w:bCs/>
                <w:sz w:val="24"/>
                <w:szCs w:val="24"/>
                <w:lang w:val="en-US" w:eastAsia="zh-CN"/>
              </w:rPr>
              <w:t>10949.3万元，其中上年结转333.55万元，公共财政拔款收入10246.19万元，政府基金拔款收入369.56万元。今年整体支出9291万元，其中基本支出1620.08万元（人员支出1381.75万元，公用支出238.33万元），占总支出的17%；项目支出7670.92万元，占总支出的83%。</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（一）基本支出</w:t>
            </w:r>
          </w:p>
          <w:p>
            <w:pPr>
              <w:spacing w:line="560" w:lineRule="exact"/>
              <w:ind w:firstLine="480" w:firstLineChars="200"/>
              <w:rPr>
                <w:rFonts w:hint="default"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eastAsia="zh-CN"/>
              </w:rPr>
              <w:t>基本支出1620.08万元：其中人员支出1381.75万元，占总支出的15%，公用支出238.33万元占总支出的3%。其中局总人数170人，人员支出人均8.13万元</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（二）专项支出</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1、专项资金安排落实、总投入等情况分析</w:t>
            </w:r>
          </w:p>
          <w:p>
            <w:pPr>
              <w:spacing w:line="560" w:lineRule="exact"/>
              <w:ind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2020年</w:t>
            </w:r>
            <w:r>
              <w:rPr>
                <w:rFonts w:hint="eastAsia" w:ascii="仿宋_GB2312" w:hAnsi="仿宋_GB2312" w:eastAsia="仿宋_GB2312" w:cs="仿宋_GB2312"/>
                <w:bCs/>
                <w:sz w:val="24"/>
                <w:szCs w:val="24"/>
                <w:lang w:eastAsia="zh-CN"/>
              </w:rPr>
              <w:t>专项资金收入</w:t>
            </w:r>
            <w:r>
              <w:rPr>
                <w:rFonts w:hint="eastAsia" w:ascii="仿宋_GB2312" w:hAnsi="仿宋_GB2312" w:eastAsia="仿宋_GB2312" w:cs="仿宋_GB2312"/>
                <w:bCs/>
                <w:sz w:val="24"/>
                <w:szCs w:val="24"/>
                <w:lang w:val="en-US" w:eastAsia="zh-CN"/>
              </w:rPr>
              <w:t>9327.86万元（其中上年结转333.55万元，本年项目拔入8994.31万元），本年专项资金支出7670.92万元，年末项目结转1656.93万元。</w:t>
            </w:r>
          </w:p>
          <w:p>
            <w:pPr>
              <w:numPr>
                <w:ilvl w:val="0"/>
                <w:numId w:val="1"/>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专项资金实际使用情况分析</w:t>
            </w:r>
          </w:p>
          <w:p>
            <w:pPr>
              <w:numPr>
                <w:ilvl w:val="0"/>
                <w:numId w:val="0"/>
              </w:numPr>
              <w:spacing w:line="560" w:lineRule="exac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    2020年专项资金实际使用7670.92万元，其中基本建设支出7361.63万元，占项目支出的96%；非基本建设本出309.29万元，占项目支出的4%。</w:t>
            </w:r>
          </w:p>
          <w:p>
            <w:pPr>
              <w:numPr>
                <w:ilvl w:val="0"/>
                <w:numId w:val="1"/>
              </w:numPr>
              <w:spacing w:line="560" w:lineRule="exact"/>
              <w:ind w:left="0" w:leftChars="0"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专项资金管理情况分析</w:t>
            </w:r>
          </w:p>
          <w:p>
            <w:pPr>
              <w:numPr>
                <w:ilvl w:val="0"/>
                <w:numId w:val="0"/>
              </w:numPr>
              <w:spacing w:line="560" w:lineRule="exact"/>
              <w:ind w:left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 我单位制定了交通建设项目资金管理细则，专项资金的使用严格按制度进行拔付。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（一）专项组织情况分析</w:t>
            </w:r>
          </w:p>
          <w:p>
            <w:pPr>
              <w:spacing w:line="560"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我单位设立了计划股和质监站，对项目的计划下达和验收都有专人负责。</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（二）专项管理情况分析</w:t>
            </w:r>
          </w:p>
          <w:p>
            <w:pPr>
              <w:spacing w:line="560"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单位设立总工，主管项目审核。所有项目都设有分管局领导负责，跟进项目立项、施工和验收。</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1、预算配置方面：财政供养人员控制率达100%，“三公经费”使用与上年基本持平。重点支出安排与预算和计划基本一致。</w:t>
            </w:r>
          </w:p>
          <w:p>
            <w:pPr>
              <w:spacing w:line="560" w:lineRule="exact"/>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预处执行方面：预算调整率过大，因年初预算非全口径预算，基本支出和项目支出都由本单位出具报告追加预算，预算调整率达473%。项目支付进度是按照项目进度申报，迟于财政要求的6月底所有专项指标全部下达。资金结余，今年资金结余1658.29万元，比上年资金结余333.55万元增加397%。</w:t>
            </w:r>
          </w:p>
          <w:p>
            <w:pPr>
              <w:spacing w:line="560" w:lineRule="exact"/>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预算管理方面：管理制度健全性：我单位制定了完整的财务管理制度。资金的使用合完全符合国家财经法规和财务管理制度执行，资金的拔付和项目的支出都严格按照财务制度执行。预决算信息公开都按规定内容在规定时限内公开。资产管理已制定管理制度，并按制度执行，资产管理由专人管理，设立资产台账，并及时清对，做到账账相符，账实相符。</w:t>
            </w:r>
          </w:p>
          <w:p>
            <w:pPr>
              <w:spacing w:line="560" w:lineRule="exact"/>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4、职责履行方面：我单位及时完成上级下达的工作任务，完成攻坚脱贫、全面推进小康建设。完成新冠疫情排查防守工作，完成省市重点工程和重大项目建设，完成交通安全排查等其他上级下达的任务。</w:t>
            </w:r>
          </w:p>
          <w:p>
            <w:pPr>
              <w:spacing w:line="560" w:lineRule="exac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    5、我单位产生的经济效益主要是保障道路通障，社会效益是保障人民的安全出行和公交政策推行。生态效益是推行绿色交通，生态环保。社会公众或服务对象的满意度98%。</w:t>
            </w:r>
          </w:p>
          <w:p>
            <w:pPr>
              <w:spacing w:line="56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五、存在的主要问题</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1、群众性养护体系建立投入不足、机构不健全，部分乡镇没有应用“乡村公路水泥路面接缝简易修补成套技术” ，建立农村公路水泥路的路况的相关管理机制和初期病害处治机制。</w:t>
            </w:r>
          </w:p>
          <w:p>
            <w:pPr>
              <w:spacing w:line="6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2、乡村道路肩培土存在困难。农村公路绝大多数是在原来的简易道路的基础上通过简单硬化而建成，公路用地范围少，培土路肩占用地与当地居民存在纠纷。</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hd w:val="clear" w:color="auto" w:fill="FFFFFF"/>
              <w:spacing w:line="60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加强构建“村实施四个一、乡做到查四季、县负责成体系”的农村公路水泥路“群众性养护”体系基本框架建立，落实乡镇、村委会对农村公路的管养职责，进一步推动农村公路水泥路管养的常态化，确保养护质量与安全得到有效监督。</w:t>
            </w:r>
          </w:p>
          <w:p>
            <w:pPr>
              <w:widowControl/>
              <w:shd w:val="clear" w:color="auto" w:fill="FFFFFF"/>
              <w:spacing w:line="600" w:lineRule="exact"/>
              <w:ind w:firstLine="640"/>
              <w:jc w:val="left"/>
              <w:rPr>
                <w:rFonts w:hint="eastAsia" w:ascii="仿宋_GB2312" w:hAnsi="仿宋" w:eastAsia="仿宋_GB2312"/>
                <w:sz w:val="24"/>
                <w:szCs w:val="24"/>
              </w:rPr>
            </w:pPr>
            <w:r>
              <w:rPr>
                <w:rFonts w:hint="eastAsia" w:ascii="仿宋_GB2312" w:hAnsi="仿宋" w:eastAsia="仿宋_GB2312"/>
                <w:sz w:val="24"/>
                <w:szCs w:val="24"/>
              </w:rPr>
              <w:t>2、加强养护实效，借全省路况评定普查之机，摸清全区实时路况，加强路面养护，全面提升路况水平，营造畅、洁、绿、美的公路环境。</w:t>
            </w:r>
          </w:p>
          <w:p>
            <w:pPr>
              <w:rPr>
                <w:rFonts w:eastAsia="楷体_GB2312"/>
                <w:bCs/>
                <w:sz w:val="28"/>
                <w:szCs w:val="28"/>
              </w:rPr>
            </w:pPr>
          </w:p>
        </w:tc>
      </w:tr>
    </w:tbl>
    <w:p>
      <w:pPr>
        <w:spacing w:line="348" w:lineRule="auto"/>
        <w:rPr>
          <w:rFonts w:hint="eastAsia" w:eastAsia="方正小标宋简体"/>
          <w:bCs/>
          <w:sz w:val="44"/>
          <w:szCs w:val="44"/>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lang w:eastAsia="zh-CN"/>
        </w:rPr>
        <w:t>君山区交通运输局</w:t>
      </w: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年初预算不是全口径预算</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专项资金按请款进度支付。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2020年项目结余超过19年结余</w:t>
            </w:r>
          </w:p>
        </w:tc>
      </w:tr>
      <w:tr>
        <w:tblPrEx>
          <w:tblCellMar>
            <w:top w:w="0" w:type="dxa"/>
            <w:left w:w="108" w:type="dxa"/>
            <w:bottom w:w="0" w:type="dxa"/>
            <w:right w:w="108" w:type="dxa"/>
          </w:tblCellMar>
        </w:tblPrEx>
        <w:trPr>
          <w:trHeight w:val="46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0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
    <w:p>
      <w:pPr>
        <w:adjustRightInd w:val="0"/>
        <w:snapToGrid w:val="0"/>
        <w:spacing w:line="200" w:lineRule="exact"/>
        <w:contextualSpacing/>
        <w:jc w:val="right"/>
        <w:rPr>
          <w:rFonts w:hint="eastAsia" w:eastAsia="仿宋_GB2312"/>
          <w:sz w:val="32"/>
        </w:rPr>
      </w:pPr>
    </w:p>
    <w:p>
      <w:pPr>
        <w:spacing w:beforeLines="50"/>
        <w:rPr>
          <w:rFonts w:ascii="黑体" w:hAnsi="黑体" w:eastAsia="黑体"/>
          <w:sz w:val="32"/>
          <w:szCs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spacing w:line="160" w:lineRule="exact"/>
        <w:ind w:firstLine="504" w:firstLineChars="200"/>
        <w:jc w:val="right"/>
        <w:rPr>
          <w:rFonts w:hint="eastAsia" w:eastAsia="仿宋_GB2312"/>
          <w:w w:val="90"/>
          <w:sz w:val="28"/>
        </w:rPr>
      </w:pPr>
    </w:p>
    <w:p>
      <w:pPr>
        <w:pBdr>
          <w:top w:val="single" w:color="auto" w:sz="6" w:space="4"/>
          <w:bottom w:val="single" w:color="auto" w:sz="6" w:space="1"/>
        </w:pBdr>
        <w:spacing w:before="62" w:beforeLines="20" w:line="440" w:lineRule="exact"/>
        <w:rPr>
          <w:rFonts w:hint="eastAsia" w:eastAsia="仿宋_GB2312"/>
          <w:sz w:val="28"/>
          <w:szCs w:val="28"/>
        </w:rPr>
      </w:pPr>
    </w:p>
    <w:p>
      <w:pPr>
        <w:adjustRightInd w:val="0"/>
        <w:snapToGrid w:val="0"/>
        <w:spacing w:line="200" w:lineRule="exact"/>
        <w:ind w:right="560"/>
        <w:contextualSpacing/>
        <w:jc w:val="both"/>
        <w:rPr>
          <w:rFonts w:hint="eastAsia" w:ascii="仿宋_GB2312"/>
          <w:sz w:val="28"/>
          <w:szCs w:val="28"/>
        </w:rPr>
      </w:pPr>
      <w:r>
        <w:rPr>
          <w:rFonts w:hint="eastAsia" w:eastAsia="仿宋_GB2312"/>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110490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8.7pt;height:0pt;width:441pt;z-index:251660288;mso-width-relative:page;mso-height-relative:page;" filled="f" stroked="t" coordsize="21600,21600" o:gfxdata="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0CceNUAAAAIAQAADwAAAAAAAAABACAAAAAiAAAAZHJzL2Rvd25yZXYueG1sUEsBAhQA&#10;FAAAAAgAh07iQNTY1P71AQAA5AMAAA4AAAAAAAAAAQAgAAAAJAEAAGRycy9lMm9Eb2MueG1sUEsF&#10;BgAAAAAGAAYAWQEAAIsFAAAAAA==&#10;">
                <v:fill on="f" focussize="0,0"/>
                <v:stroke color="#000000" joinstyle="round"/>
                <v:imagedata o:title=""/>
                <o:lock v:ext="edit" aspectratio="f"/>
              </v:line>
            </w:pict>
          </mc:Fallback>
        </mc:AlternateContent>
      </w:r>
    </w:p>
    <w:p/>
    <w:sectPr>
      <w:footerReference r:id="rId5" w:type="default"/>
      <w:footerReference r:id="rId6" w:type="even"/>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7"/>
                        <w:sz w:val="24"/>
                        <w:szCs w:val="24"/>
                      </w:rPr>
                    </w:pPr>
                    <w:r>
                      <w:rPr>
                        <w:rStyle w:val="7"/>
                        <w:rFonts w:hint="eastAsia"/>
                        <w:sz w:val="24"/>
                        <w:szCs w:val="24"/>
                        <w:lang w:eastAsia="zh-CN"/>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35</w:t>
                    </w:r>
                    <w:r>
                      <w:rPr>
                        <w:sz w:val="24"/>
                        <w:szCs w:val="24"/>
                      </w:rPr>
                      <w:fldChar w:fldCharType="end"/>
                    </w:r>
                    <w:r>
                      <w:rPr>
                        <w:rStyle w:val="7"/>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0D0DC"/>
    <w:multiLevelType w:val="singleLevel"/>
    <w:tmpl w:val="04A0D0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21F7ACC"/>
    <w:rsid w:val="05000B50"/>
    <w:rsid w:val="055A6F26"/>
    <w:rsid w:val="07DF5471"/>
    <w:rsid w:val="088F2173"/>
    <w:rsid w:val="09722408"/>
    <w:rsid w:val="09950D4D"/>
    <w:rsid w:val="0A507703"/>
    <w:rsid w:val="0DB17DCE"/>
    <w:rsid w:val="0E331AD0"/>
    <w:rsid w:val="0F3C19DC"/>
    <w:rsid w:val="134907CC"/>
    <w:rsid w:val="140D5FCB"/>
    <w:rsid w:val="178B0DF9"/>
    <w:rsid w:val="186A1747"/>
    <w:rsid w:val="186F38D5"/>
    <w:rsid w:val="19A21C25"/>
    <w:rsid w:val="1A6F2DB8"/>
    <w:rsid w:val="1E0B52D7"/>
    <w:rsid w:val="1E4E1466"/>
    <w:rsid w:val="1ECE3EBD"/>
    <w:rsid w:val="1F290E1C"/>
    <w:rsid w:val="20482FD4"/>
    <w:rsid w:val="23752929"/>
    <w:rsid w:val="23931307"/>
    <w:rsid w:val="28FC074F"/>
    <w:rsid w:val="2A64670A"/>
    <w:rsid w:val="2A66629F"/>
    <w:rsid w:val="2B185F17"/>
    <w:rsid w:val="2BDA3247"/>
    <w:rsid w:val="2C1535F6"/>
    <w:rsid w:val="2D69692C"/>
    <w:rsid w:val="2EE67DDF"/>
    <w:rsid w:val="2F6C19A9"/>
    <w:rsid w:val="30595E49"/>
    <w:rsid w:val="31846085"/>
    <w:rsid w:val="31C64031"/>
    <w:rsid w:val="37035463"/>
    <w:rsid w:val="387A506E"/>
    <w:rsid w:val="391D6E5E"/>
    <w:rsid w:val="39C4528F"/>
    <w:rsid w:val="3A3A1314"/>
    <w:rsid w:val="3B7E060B"/>
    <w:rsid w:val="3BBB1F39"/>
    <w:rsid w:val="3C091E95"/>
    <w:rsid w:val="3C0C5663"/>
    <w:rsid w:val="3C2B38BC"/>
    <w:rsid w:val="3D890B9E"/>
    <w:rsid w:val="3F114B68"/>
    <w:rsid w:val="41095FEC"/>
    <w:rsid w:val="42082596"/>
    <w:rsid w:val="426B5C52"/>
    <w:rsid w:val="44766D22"/>
    <w:rsid w:val="45256CDF"/>
    <w:rsid w:val="45414B88"/>
    <w:rsid w:val="46602C0D"/>
    <w:rsid w:val="467B75B1"/>
    <w:rsid w:val="4AA9566D"/>
    <w:rsid w:val="4B445793"/>
    <w:rsid w:val="4BA9288D"/>
    <w:rsid w:val="4C4E2AC3"/>
    <w:rsid w:val="4E1A0AFB"/>
    <w:rsid w:val="4FC33CBA"/>
    <w:rsid w:val="50476111"/>
    <w:rsid w:val="56233027"/>
    <w:rsid w:val="59295924"/>
    <w:rsid w:val="59DF3449"/>
    <w:rsid w:val="5CAC64A4"/>
    <w:rsid w:val="5DA8493E"/>
    <w:rsid w:val="5E010849"/>
    <w:rsid w:val="60EA4316"/>
    <w:rsid w:val="61D50504"/>
    <w:rsid w:val="65236B49"/>
    <w:rsid w:val="65AA43C0"/>
    <w:rsid w:val="66161E47"/>
    <w:rsid w:val="68116BFE"/>
    <w:rsid w:val="689C4DD6"/>
    <w:rsid w:val="68CE326F"/>
    <w:rsid w:val="6AEF5B29"/>
    <w:rsid w:val="6B166C1D"/>
    <w:rsid w:val="6B2A6AB7"/>
    <w:rsid w:val="6D535020"/>
    <w:rsid w:val="70320DB2"/>
    <w:rsid w:val="703379A9"/>
    <w:rsid w:val="70B962BB"/>
    <w:rsid w:val="71E279DE"/>
    <w:rsid w:val="72555757"/>
    <w:rsid w:val="76BD5E40"/>
    <w:rsid w:val="789B6814"/>
    <w:rsid w:val="78B97743"/>
    <w:rsid w:val="78CF2A94"/>
    <w:rsid w:val="78EE0E45"/>
    <w:rsid w:val="796A69FF"/>
    <w:rsid w:val="7A6D1FD3"/>
    <w:rsid w:val="7DE3540F"/>
    <w:rsid w:val="7E3043CA"/>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2020-06-16T08:24:00Z</cp:lastPrinted>
  <dcterms:modified xsi:type="dcterms:W3CDTF">2021-07-15T08:51:19Z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