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rPr>
      </w:pPr>
      <w:r>
        <w:rPr>
          <w:rFonts w:hint="eastAsia" w:eastAsia="黑体" w:cs="黑体"/>
          <w:bCs/>
          <w:sz w:val="32"/>
          <w:szCs w:val="32"/>
        </w:rPr>
        <w:t>附件3-2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君山区</w:t>
      </w: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园区绩效考核工资</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岳阳市君山工业园管理委员会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岳阳市君山工业园管理委员会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05</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君山区</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2"/>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68"/>
        <w:gridCol w:w="602"/>
        <w:gridCol w:w="255"/>
        <w:gridCol w:w="1365"/>
        <w:gridCol w:w="298"/>
        <w:gridCol w:w="414"/>
        <w:gridCol w:w="306"/>
        <w:gridCol w:w="512"/>
        <w:gridCol w:w="1185"/>
        <w:gridCol w:w="600"/>
        <w:gridCol w:w="67"/>
        <w:gridCol w:w="1208"/>
        <w:gridCol w:w="41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5"/>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陈荣</w:t>
            </w:r>
          </w:p>
        </w:tc>
        <w:tc>
          <w:tcPr>
            <w:tcW w:w="1697" w:type="dxa"/>
            <w:gridSpan w:val="2"/>
            <w:vAlign w:val="center"/>
          </w:tcPr>
          <w:p>
            <w:pPr>
              <w:rPr>
                <w:rFonts w:hint="eastAsia" w:eastAsia="仿宋_GB2312"/>
                <w:sz w:val="24"/>
              </w:rPr>
            </w:pPr>
            <w:r>
              <w:rPr>
                <w:rFonts w:hint="eastAsia" w:eastAsia="仿宋_GB2312"/>
                <w:sz w:val="24"/>
              </w:rPr>
              <w:t>联系电话</w:t>
            </w:r>
          </w:p>
        </w:tc>
        <w:tc>
          <w:tcPr>
            <w:tcW w:w="2983" w:type="dxa"/>
            <w:gridSpan w:val="5"/>
            <w:vAlign w:val="center"/>
          </w:tcPr>
          <w:p>
            <w:pPr>
              <w:rPr>
                <w:rFonts w:hint="default" w:eastAsia="仿宋_GB2312"/>
                <w:sz w:val="24"/>
                <w:lang w:val="en-US" w:eastAsia="zh-CN"/>
              </w:rPr>
            </w:pPr>
            <w:r>
              <w:rPr>
                <w:rFonts w:hint="eastAsia" w:eastAsia="仿宋_GB2312"/>
                <w:sz w:val="24"/>
                <w:lang w:val="en-US" w:eastAsia="zh-CN"/>
              </w:rPr>
              <w:t>13762069552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项目地址</w:t>
            </w:r>
          </w:p>
        </w:tc>
        <w:tc>
          <w:tcPr>
            <w:tcW w:w="3240" w:type="dxa"/>
            <w:gridSpan w:val="6"/>
            <w:vAlign w:val="center"/>
          </w:tcPr>
          <w:p>
            <w:pPr>
              <w:rPr>
                <w:rFonts w:hint="eastAsia" w:eastAsia="仿宋_GB2312"/>
                <w:sz w:val="24"/>
              </w:rPr>
            </w:pPr>
            <w:r>
              <w:rPr>
                <w:rFonts w:hint="eastAsia" w:eastAsia="仿宋_GB2312"/>
                <w:sz w:val="24"/>
              </w:rPr>
              <w:t>君山区柳林洲镇交通大楼四楼</w:t>
            </w:r>
          </w:p>
        </w:tc>
        <w:tc>
          <w:tcPr>
            <w:tcW w:w="1697" w:type="dxa"/>
            <w:gridSpan w:val="2"/>
            <w:vAlign w:val="center"/>
          </w:tcPr>
          <w:p>
            <w:pPr>
              <w:rPr>
                <w:rFonts w:hint="eastAsia" w:eastAsia="仿宋_GB2312"/>
                <w:sz w:val="24"/>
              </w:rPr>
            </w:pPr>
            <w:r>
              <w:rPr>
                <w:rFonts w:hint="eastAsia" w:eastAsia="仿宋_GB2312"/>
                <w:sz w:val="24"/>
              </w:rPr>
              <w:t>邮  编</w:t>
            </w:r>
          </w:p>
        </w:tc>
        <w:tc>
          <w:tcPr>
            <w:tcW w:w="2983" w:type="dxa"/>
            <w:gridSpan w:val="5"/>
            <w:vAlign w:val="center"/>
          </w:tcPr>
          <w:p>
            <w:pPr>
              <w:rPr>
                <w:rFonts w:hint="default" w:eastAsia="仿宋_GB2312"/>
                <w:sz w:val="24"/>
                <w:lang w:val="en-US" w:eastAsia="zh-CN"/>
              </w:rPr>
            </w:pPr>
            <w:r>
              <w:rPr>
                <w:rFonts w:hint="eastAsia" w:eastAsia="仿宋_GB2312"/>
                <w:sz w:val="24"/>
                <w:lang w:val="en-US" w:eastAsia="zh-CN"/>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920" w:type="dxa"/>
            <w:gridSpan w:val="13"/>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01</w:t>
            </w:r>
            <w:r>
              <w:rPr>
                <w:rFonts w:hint="eastAsia" w:eastAsia="仿宋_GB2312"/>
                <w:sz w:val="24"/>
              </w:rPr>
              <w:t>月起至</w:t>
            </w: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857" w:type="dxa"/>
            <w:gridSpan w:val="2"/>
            <w:tcBorders>
              <w:bottom w:val="single" w:color="auto" w:sz="4" w:space="0"/>
            </w:tcBorders>
            <w:vAlign w:val="center"/>
          </w:tcPr>
          <w:p>
            <w:pPr>
              <w:spacing w:line="360" w:lineRule="exact"/>
              <w:jc w:val="center"/>
              <w:rPr>
                <w:rFonts w:hint="eastAsia" w:eastAsia="仿宋_GB2312"/>
                <w:sz w:val="24"/>
              </w:rPr>
            </w:pPr>
          </w:p>
        </w:tc>
        <w:tc>
          <w:tcPr>
            <w:tcW w:w="1663"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eastAsia" w:eastAsia="仿宋_GB2312"/>
                <w:sz w:val="24"/>
              </w:rPr>
            </w:pPr>
          </w:p>
        </w:tc>
        <w:tc>
          <w:tcPr>
            <w:tcW w:w="1697"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667" w:type="dxa"/>
            <w:gridSpan w:val="2"/>
            <w:tcBorders>
              <w:bottom w:val="single" w:color="auto" w:sz="4" w:space="0"/>
            </w:tcBorders>
            <w:vAlign w:val="center"/>
          </w:tcPr>
          <w:p>
            <w:pPr>
              <w:spacing w:line="400" w:lineRule="exact"/>
              <w:jc w:val="center"/>
              <w:rPr>
                <w:rFonts w:hint="eastAsia" w:eastAsia="仿宋_GB2312"/>
                <w:sz w:val="24"/>
              </w:rPr>
            </w:pPr>
          </w:p>
        </w:tc>
        <w:tc>
          <w:tcPr>
            <w:tcW w:w="1620" w:type="dxa"/>
            <w:gridSpan w:val="2"/>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857" w:type="dxa"/>
            <w:gridSpan w:val="2"/>
            <w:tcBorders>
              <w:bottom w:val="single" w:color="auto" w:sz="4" w:space="0"/>
            </w:tcBorders>
            <w:vAlign w:val="center"/>
          </w:tcPr>
          <w:p>
            <w:pPr>
              <w:rPr>
                <w:rFonts w:hint="eastAsia" w:eastAsia="仿宋_GB2312"/>
                <w:spacing w:val="-6"/>
                <w:sz w:val="24"/>
              </w:rPr>
            </w:pPr>
          </w:p>
        </w:tc>
        <w:tc>
          <w:tcPr>
            <w:tcW w:w="1663" w:type="dxa"/>
            <w:gridSpan w:val="2"/>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hint="eastAsia" w:eastAsia="仿宋_GB2312"/>
                <w:spacing w:val="-6"/>
                <w:sz w:val="24"/>
              </w:rPr>
            </w:pPr>
          </w:p>
        </w:tc>
        <w:tc>
          <w:tcPr>
            <w:tcW w:w="1697" w:type="dxa"/>
            <w:gridSpan w:val="2"/>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67" w:type="dxa"/>
            <w:gridSpan w:val="2"/>
            <w:tcBorders>
              <w:bottom w:val="single" w:color="auto" w:sz="4" w:space="0"/>
            </w:tcBorders>
            <w:vAlign w:val="center"/>
          </w:tcPr>
          <w:p>
            <w:pPr>
              <w:rPr>
                <w:rFonts w:hint="eastAsia" w:eastAsia="仿宋_GB2312"/>
                <w:spacing w:val="-6"/>
                <w:sz w:val="24"/>
              </w:rPr>
            </w:pPr>
          </w:p>
        </w:tc>
        <w:tc>
          <w:tcPr>
            <w:tcW w:w="1620" w:type="dxa"/>
            <w:gridSpan w:val="2"/>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857" w:type="dxa"/>
            <w:gridSpan w:val="2"/>
            <w:tcBorders>
              <w:bottom w:val="single" w:color="auto" w:sz="4" w:space="0"/>
            </w:tcBorders>
            <w:vAlign w:val="center"/>
          </w:tcPr>
          <w:p>
            <w:pPr>
              <w:rPr>
                <w:rFonts w:hint="eastAsia" w:eastAsia="仿宋_GB2312"/>
                <w:sz w:val="24"/>
              </w:rPr>
            </w:pPr>
          </w:p>
        </w:tc>
        <w:tc>
          <w:tcPr>
            <w:tcW w:w="1663"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rPr>
            </w:pPr>
          </w:p>
        </w:tc>
        <w:tc>
          <w:tcPr>
            <w:tcW w:w="1697"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67" w:type="dxa"/>
            <w:gridSpan w:val="2"/>
            <w:tcBorders>
              <w:bottom w:val="single" w:color="auto" w:sz="4" w:space="0"/>
            </w:tcBorders>
            <w:vAlign w:val="center"/>
          </w:tcPr>
          <w:p>
            <w:pPr>
              <w:rPr>
                <w:rFonts w:hint="eastAsia" w:eastAsia="仿宋_GB2312"/>
                <w:sz w:val="24"/>
              </w:rPr>
            </w:pPr>
          </w:p>
        </w:tc>
        <w:tc>
          <w:tcPr>
            <w:tcW w:w="1620"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857" w:type="dxa"/>
            <w:gridSpan w:val="2"/>
            <w:tcBorders>
              <w:bottom w:val="single" w:color="auto" w:sz="4" w:space="0"/>
            </w:tcBorders>
            <w:vAlign w:val="center"/>
          </w:tcPr>
          <w:p>
            <w:pPr>
              <w:rPr>
                <w:rFonts w:hint="eastAsia" w:eastAsia="仿宋_GB2312"/>
                <w:sz w:val="24"/>
              </w:rPr>
            </w:pPr>
          </w:p>
        </w:tc>
        <w:tc>
          <w:tcPr>
            <w:tcW w:w="1663"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eastAsia" w:eastAsia="仿宋_GB2312"/>
                <w:sz w:val="24"/>
              </w:rPr>
            </w:pPr>
          </w:p>
        </w:tc>
        <w:tc>
          <w:tcPr>
            <w:tcW w:w="1697"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67" w:type="dxa"/>
            <w:gridSpan w:val="2"/>
            <w:tcBorders>
              <w:bottom w:val="single" w:color="auto" w:sz="4" w:space="0"/>
            </w:tcBorders>
            <w:vAlign w:val="center"/>
          </w:tcPr>
          <w:p>
            <w:pPr>
              <w:rPr>
                <w:rFonts w:hint="eastAsia" w:eastAsia="仿宋_GB2312"/>
                <w:sz w:val="24"/>
              </w:rPr>
            </w:pPr>
          </w:p>
        </w:tc>
        <w:tc>
          <w:tcPr>
            <w:tcW w:w="1620"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857"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115.5</w:t>
            </w:r>
          </w:p>
        </w:tc>
        <w:tc>
          <w:tcPr>
            <w:tcW w:w="1663"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151.17</w:t>
            </w:r>
          </w:p>
        </w:tc>
        <w:tc>
          <w:tcPr>
            <w:tcW w:w="1697"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667"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87.7</w:t>
            </w:r>
          </w:p>
        </w:tc>
        <w:tc>
          <w:tcPr>
            <w:tcW w:w="1620"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63.47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857" w:type="dxa"/>
            <w:gridSpan w:val="2"/>
            <w:tcBorders>
              <w:bottom w:val="single" w:color="auto" w:sz="4" w:space="0"/>
            </w:tcBorders>
            <w:vAlign w:val="center"/>
          </w:tcPr>
          <w:p>
            <w:pPr>
              <w:rPr>
                <w:rFonts w:hint="eastAsia" w:eastAsia="仿宋_GB2312"/>
                <w:sz w:val="24"/>
              </w:rPr>
            </w:pPr>
          </w:p>
        </w:tc>
        <w:tc>
          <w:tcPr>
            <w:tcW w:w="1663"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rPr>
            </w:pPr>
          </w:p>
        </w:tc>
        <w:tc>
          <w:tcPr>
            <w:tcW w:w="1697"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667" w:type="dxa"/>
            <w:gridSpan w:val="2"/>
            <w:tcBorders>
              <w:bottom w:val="single" w:color="auto" w:sz="4" w:space="0"/>
            </w:tcBorders>
            <w:vAlign w:val="center"/>
          </w:tcPr>
          <w:p>
            <w:pPr>
              <w:rPr>
                <w:rFonts w:hint="eastAsia" w:eastAsia="仿宋_GB2312"/>
                <w:sz w:val="24"/>
              </w:rPr>
            </w:pPr>
          </w:p>
        </w:tc>
        <w:tc>
          <w:tcPr>
            <w:tcW w:w="1620"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5"/>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365" w:type="dxa"/>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715"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2983"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付投资公司职工</w:t>
            </w:r>
            <w:r>
              <w:rPr>
                <w:rFonts w:hint="eastAsia" w:eastAsia="仿宋_GB2312"/>
                <w:sz w:val="24"/>
                <w:lang w:val="en-US" w:eastAsia="zh-CN"/>
              </w:rPr>
              <w:t>2019年三季度绩效工资</w:t>
            </w:r>
          </w:p>
        </w:tc>
        <w:tc>
          <w:tcPr>
            <w:tcW w:w="1365"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7.96</w:t>
            </w:r>
          </w:p>
        </w:tc>
        <w:tc>
          <w:tcPr>
            <w:tcW w:w="2715"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1月36#</w:t>
            </w:r>
          </w:p>
        </w:tc>
        <w:tc>
          <w:tcPr>
            <w:tcW w:w="2983" w:type="dxa"/>
            <w:gridSpan w:val="5"/>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付职工</w:t>
            </w:r>
            <w:r>
              <w:rPr>
                <w:rFonts w:hint="eastAsia" w:eastAsia="仿宋_GB2312"/>
                <w:sz w:val="24"/>
                <w:lang w:val="en-US" w:eastAsia="zh-CN"/>
              </w:rPr>
              <w:t>2019年年终绩效考核工资</w:t>
            </w:r>
          </w:p>
        </w:tc>
        <w:tc>
          <w:tcPr>
            <w:tcW w:w="1365"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44.74</w:t>
            </w:r>
          </w:p>
        </w:tc>
        <w:tc>
          <w:tcPr>
            <w:tcW w:w="2715"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6月11#</w:t>
            </w:r>
          </w:p>
        </w:tc>
        <w:tc>
          <w:tcPr>
            <w:tcW w:w="2983" w:type="dxa"/>
            <w:gridSpan w:val="5"/>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付职工</w:t>
            </w:r>
            <w:r>
              <w:rPr>
                <w:rFonts w:hint="eastAsia" w:eastAsia="仿宋_GB2312"/>
                <w:sz w:val="24"/>
                <w:lang w:val="en-US" w:eastAsia="zh-CN"/>
              </w:rPr>
              <w:t>2020年医保铺底金</w:t>
            </w:r>
          </w:p>
        </w:tc>
        <w:tc>
          <w:tcPr>
            <w:tcW w:w="1365"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0.3</w:t>
            </w:r>
          </w:p>
        </w:tc>
        <w:tc>
          <w:tcPr>
            <w:tcW w:w="2715"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12月12#</w:t>
            </w:r>
          </w:p>
        </w:tc>
        <w:tc>
          <w:tcPr>
            <w:tcW w:w="2983" w:type="dxa"/>
            <w:gridSpan w:val="5"/>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预发职工</w:t>
            </w:r>
            <w:r>
              <w:rPr>
                <w:rFonts w:hint="eastAsia" w:eastAsia="仿宋_GB2312"/>
                <w:sz w:val="24"/>
                <w:lang w:val="en-US" w:eastAsia="zh-CN"/>
              </w:rPr>
              <w:t>2020年第一季度、第二季度绩效考核工资</w:t>
            </w:r>
          </w:p>
        </w:tc>
        <w:tc>
          <w:tcPr>
            <w:tcW w:w="1365"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34.7</w:t>
            </w:r>
          </w:p>
        </w:tc>
        <w:tc>
          <w:tcPr>
            <w:tcW w:w="2715"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12月12#</w:t>
            </w:r>
          </w:p>
        </w:tc>
        <w:tc>
          <w:tcPr>
            <w:tcW w:w="2983" w:type="dxa"/>
            <w:gridSpan w:val="5"/>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eastAsia" w:eastAsia="仿宋_GB2312"/>
                <w:sz w:val="24"/>
              </w:rPr>
            </w:pPr>
          </w:p>
        </w:tc>
        <w:tc>
          <w:tcPr>
            <w:tcW w:w="1365" w:type="dxa"/>
            <w:tcBorders>
              <w:bottom w:val="single" w:color="auto" w:sz="4" w:space="0"/>
            </w:tcBorders>
            <w:vAlign w:val="center"/>
          </w:tcPr>
          <w:p>
            <w:pPr>
              <w:jc w:val="center"/>
              <w:rPr>
                <w:rFonts w:hint="eastAsia" w:eastAsia="仿宋_GB2312"/>
                <w:sz w:val="24"/>
              </w:rPr>
            </w:pPr>
          </w:p>
        </w:tc>
        <w:tc>
          <w:tcPr>
            <w:tcW w:w="2715" w:type="dxa"/>
            <w:gridSpan w:val="5"/>
            <w:tcBorders>
              <w:bottom w:val="single" w:color="auto" w:sz="4" w:space="0"/>
            </w:tcBorders>
            <w:vAlign w:val="center"/>
          </w:tcPr>
          <w:p>
            <w:pPr>
              <w:jc w:val="center"/>
              <w:rPr>
                <w:rFonts w:hint="eastAsia" w:eastAsia="仿宋_GB2312"/>
                <w:sz w:val="24"/>
              </w:rPr>
            </w:pPr>
          </w:p>
        </w:tc>
        <w:tc>
          <w:tcPr>
            <w:tcW w:w="2983" w:type="dxa"/>
            <w:gridSpan w:val="5"/>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eastAsia" w:eastAsia="仿宋_GB2312"/>
                <w:sz w:val="24"/>
              </w:rPr>
            </w:pPr>
          </w:p>
        </w:tc>
        <w:tc>
          <w:tcPr>
            <w:tcW w:w="1365" w:type="dxa"/>
            <w:tcBorders>
              <w:bottom w:val="single" w:color="auto" w:sz="4" w:space="0"/>
            </w:tcBorders>
            <w:vAlign w:val="center"/>
          </w:tcPr>
          <w:p>
            <w:pPr>
              <w:jc w:val="center"/>
              <w:rPr>
                <w:rFonts w:hint="eastAsia" w:eastAsia="仿宋_GB2312"/>
                <w:sz w:val="24"/>
              </w:rPr>
            </w:pPr>
          </w:p>
        </w:tc>
        <w:tc>
          <w:tcPr>
            <w:tcW w:w="2715" w:type="dxa"/>
            <w:gridSpan w:val="5"/>
            <w:tcBorders>
              <w:bottom w:val="single" w:color="auto" w:sz="4" w:space="0"/>
            </w:tcBorders>
            <w:vAlign w:val="center"/>
          </w:tcPr>
          <w:p>
            <w:pPr>
              <w:jc w:val="center"/>
              <w:rPr>
                <w:rFonts w:hint="eastAsia" w:eastAsia="仿宋_GB2312"/>
                <w:sz w:val="24"/>
              </w:rPr>
            </w:pPr>
          </w:p>
        </w:tc>
        <w:tc>
          <w:tcPr>
            <w:tcW w:w="2983" w:type="dxa"/>
            <w:gridSpan w:val="5"/>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9" w:type="dxa"/>
            <w:gridSpan w:val="4"/>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365"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87.7</w:t>
            </w:r>
          </w:p>
        </w:tc>
        <w:tc>
          <w:tcPr>
            <w:tcW w:w="2715" w:type="dxa"/>
            <w:gridSpan w:val="5"/>
            <w:tcBorders>
              <w:bottom w:val="single" w:color="auto" w:sz="4" w:space="0"/>
            </w:tcBorders>
            <w:vAlign w:val="center"/>
          </w:tcPr>
          <w:p>
            <w:pPr>
              <w:jc w:val="center"/>
              <w:rPr>
                <w:rFonts w:hint="eastAsia" w:eastAsia="仿宋_GB2312"/>
                <w:b/>
                <w:sz w:val="24"/>
              </w:rPr>
            </w:pPr>
          </w:p>
        </w:tc>
        <w:tc>
          <w:tcPr>
            <w:tcW w:w="2983" w:type="dxa"/>
            <w:gridSpan w:val="5"/>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4"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4620" w:type="dxa"/>
            <w:gridSpan w:val="8"/>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预  期 目 标</w:t>
            </w:r>
          </w:p>
        </w:tc>
        <w:tc>
          <w:tcPr>
            <w:tcW w:w="4168" w:type="dxa"/>
            <w:gridSpan w:val="6"/>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794" w:type="dxa"/>
            <w:vMerge w:val="continue"/>
            <w:tcBorders>
              <w:bottom w:val="single" w:color="auto" w:sz="4" w:space="0"/>
            </w:tcBorders>
            <w:vAlign w:val="center"/>
          </w:tcPr>
          <w:p>
            <w:pPr>
              <w:jc w:val="center"/>
              <w:rPr>
                <w:rFonts w:hint="eastAsia" w:eastAsia="仿宋_GB2312"/>
                <w:b/>
                <w:sz w:val="24"/>
              </w:rPr>
            </w:pPr>
          </w:p>
        </w:tc>
        <w:tc>
          <w:tcPr>
            <w:tcW w:w="4620" w:type="dxa"/>
            <w:gridSpan w:val="8"/>
            <w:tcBorders>
              <w:bottom w:val="single" w:color="auto" w:sz="4" w:space="0"/>
            </w:tcBorders>
            <w:vAlign w:val="center"/>
          </w:tcPr>
          <w:p>
            <w:pPr>
              <w:jc w:val="center"/>
              <w:rPr>
                <w:rFonts w:hint="eastAsia" w:eastAsia="仿宋_GB2312"/>
                <w:b w:val="0"/>
                <w:bCs/>
                <w:sz w:val="24"/>
              </w:rPr>
            </w:pPr>
            <w:r>
              <w:rPr>
                <w:rFonts w:hint="eastAsia" w:eastAsia="仿宋_GB2312"/>
                <w:b w:val="0"/>
                <w:bCs/>
                <w:sz w:val="24"/>
              </w:rPr>
              <w:t>任务1：主要经济指标方面：力争到2020年底园区技工贸总收入突破200亿元，同比增长15%以上；完成规模工业增加值45亿元，同比增长15%以上；完成固定资产投资总量突破22亿元，同比增长20%以上；税收总额突破1亿元大关。</w:t>
            </w:r>
          </w:p>
          <w:p>
            <w:pPr>
              <w:jc w:val="center"/>
              <w:rPr>
                <w:rFonts w:hint="eastAsia" w:eastAsia="仿宋_GB2312"/>
                <w:b w:val="0"/>
                <w:bCs/>
                <w:sz w:val="24"/>
              </w:rPr>
            </w:pPr>
            <w:r>
              <w:rPr>
                <w:rFonts w:hint="eastAsia" w:eastAsia="仿宋_GB2312"/>
                <w:b w:val="0"/>
                <w:bCs/>
                <w:sz w:val="24"/>
              </w:rPr>
              <w:t>任务2：工程建设方面：①用地报批。完成230亩李记“退二进三”新厂区用地(已完成报批工作)、国鸿驾考中心300亩土地报批:；②项目设计。完成杨树路、建业路、三家店路道路设计，会展、商务中心大楼项目设计；③项目建设。一是完成标准化厂房7.3万平方米建设；二是重点抓好国鸿驾考中心、李记食品新厂区等重点项目建设；</w:t>
            </w:r>
          </w:p>
          <w:p>
            <w:pPr>
              <w:jc w:val="center"/>
              <w:rPr>
                <w:rFonts w:hint="eastAsia" w:eastAsia="仿宋_GB2312"/>
                <w:b w:val="0"/>
                <w:bCs/>
                <w:sz w:val="24"/>
              </w:rPr>
            </w:pPr>
            <w:r>
              <w:rPr>
                <w:rFonts w:hint="eastAsia" w:eastAsia="仿宋_GB2312"/>
                <w:b w:val="0"/>
                <w:bCs/>
                <w:sz w:val="24"/>
              </w:rPr>
              <w:t>任务3：招商引资方面：紧紧围绕完成23亿元招商引资额的目标，实施商会招商、委托招商，开展主导产业招商、产业链招商。</w:t>
            </w:r>
          </w:p>
          <w:p>
            <w:pPr>
              <w:jc w:val="center"/>
              <w:rPr>
                <w:rFonts w:hint="eastAsia" w:eastAsia="仿宋_GB2312"/>
                <w:b w:val="0"/>
                <w:bCs/>
                <w:sz w:val="24"/>
              </w:rPr>
            </w:pPr>
            <w:r>
              <w:rPr>
                <w:rFonts w:hint="eastAsia" w:eastAsia="仿宋_GB2312"/>
                <w:b w:val="0"/>
                <w:bCs/>
                <w:sz w:val="24"/>
              </w:rPr>
              <w:t>任务4：项目服务方面：①加大合同履约工作力度。成立专门班子，安排专项工作经费，根据合同约定的时间节点，对未完成约定税收的企业将厂房租金追缴到位。②理顺物业公司管理。一是将保洁、绿化进行外包；二是保障消防控制室的正常运行；三是配齐水电工、会计、消防员等技术人员，四是理顺物业公司与园区企业的关系，建立收取物业管理、水电费工作的运行机制；五是优化服务，建立物业公司考核机制。③环保和安全生产工作。一是对新入园企业水管安装按照“前期指导、施工现场监督、试生产核查、日常动态监管”的方法，确保企业雨污分流，杜绝漏排现象；二是澄清园区企业环评及验收底子，有针对性的开展环保监管工作；三是按《园区固废收集运行方案》要求，督促部分企业按时清运工业生产产生的固废。四是针对标准化厂房企业消防隐患开展排查和整治，确保安全发展。④企业联点工作。进一步优化环境，创新企业联点工作机制，及时解决好园区企业的要求和困难。</w:t>
            </w:r>
          </w:p>
        </w:tc>
        <w:tc>
          <w:tcPr>
            <w:tcW w:w="4168" w:type="dxa"/>
            <w:gridSpan w:val="6"/>
            <w:tcBorders>
              <w:bottom w:val="single" w:color="auto" w:sz="4" w:space="0"/>
            </w:tcBorders>
            <w:vAlign w:val="center"/>
          </w:tcPr>
          <w:p>
            <w:pPr>
              <w:jc w:val="center"/>
              <w:rPr>
                <w:rFonts w:hint="eastAsia" w:eastAsia="仿宋_GB2312"/>
                <w:b w:val="0"/>
                <w:bCs/>
                <w:sz w:val="24"/>
              </w:rPr>
            </w:pPr>
            <w:r>
              <w:rPr>
                <w:rFonts w:hint="eastAsia" w:eastAsia="仿宋_GB2312"/>
                <w:b w:val="0"/>
                <w:bCs/>
                <w:sz w:val="24"/>
              </w:rPr>
              <w:t>1、2020年底园区技工贸总收入、规模工业增加值、固定资产投资总量、税收总额均完成市定年度任务。</w:t>
            </w:r>
          </w:p>
          <w:p>
            <w:pPr>
              <w:ind w:left="-420" w:leftChars="-200" w:firstLine="420" w:firstLineChars="175"/>
              <w:jc w:val="center"/>
              <w:rPr>
                <w:rFonts w:hint="eastAsia" w:eastAsia="仿宋_GB2312"/>
                <w:b w:val="0"/>
                <w:bCs/>
                <w:sz w:val="24"/>
              </w:rPr>
            </w:pPr>
            <w:r>
              <w:rPr>
                <w:rFonts w:hint="eastAsia" w:eastAsia="仿宋_GB2312"/>
                <w:b w:val="0"/>
                <w:bCs/>
                <w:sz w:val="24"/>
              </w:rPr>
              <w:t>2、①用地报批。完成230亩李记“退二进三”新厂区用地(已完成报批工作)、国鸿驾考中心300亩土地报批(正在报批）；②项目设计。完成杨树路、建业路、三家店路道路设计（已完成设计），会展、商务中心大楼项目设计（已完成初步方案设计）；③项目建设。一是完成标准化厂房7.3万平方米建设（标五续建7.3万平方米）；二是重点抓好国鸿驾考中心、李记食品新厂区等重点项目建设（李记已经开工，驾考项目已完成土地报批）；</w:t>
            </w:r>
          </w:p>
          <w:p>
            <w:pPr>
              <w:jc w:val="center"/>
              <w:rPr>
                <w:rFonts w:hint="eastAsia" w:eastAsia="仿宋_GB2312"/>
                <w:b w:val="0"/>
                <w:bCs/>
                <w:sz w:val="24"/>
              </w:rPr>
            </w:pPr>
            <w:r>
              <w:rPr>
                <w:rFonts w:hint="eastAsia" w:eastAsia="仿宋_GB2312"/>
                <w:b w:val="0"/>
                <w:bCs/>
                <w:sz w:val="24"/>
              </w:rPr>
              <w:t>3、完成23亿元招商引资额</w:t>
            </w:r>
          </w:p>
          <w:p>
            <w:pPr>
              <w:jc w:val="center"/>
              <w:rPr>
                <w:rFonts w:hint="eastAsia" w:ascii="Times New Roman" w:hAnsi="Times New Roman" w:eastAsia="仿宋_GB2312" w:cs="Times New Roman"/>
                <w:b w:val="0"/>
                <w:bCs/>
                <w:kern w:val="2"/>
                <w:sz w:val="24"/>
                <w:szCs w:val="24"/>
                <w:lang w:val="en-US" w:eastAsia="zh-CN" w:bidi="ar-SA"/>
              </w:rPr>
            </w:pPr>
            <w:r>
              <w:rPr>
                <w:rFonts w:hint="eastAsia" w:eastAsia="仿宋_GB2312"/>
                <w:b w:val="0"/>
                <w:bCs/>
                <w:sz w:val="24"/>
              </w:rPr>
              <w:t>4、①加大合同履约工作力度。成立专门班子，安排专项工作经费，根据合同约定的时间节点，对未完成约定税收的企业将厂房租金追缴到位。②理顺物业公司管理。一是将保洁、绿化进行外包；二是保障消防控制室的正常运行；三是配齐水电工、会计、消防员等技术人员，四是理顺物业公司与园区企业的关系，建立收取物业管理、水电费工作的运行机制；五是优化服务，建立物业公司考核机制。③环保和安全生产工作。一是对新入园企业水管安装按照“前期指导、施工现场监督、试生产核查、日常动态监管”的方法，确保企业雨污分流，杜绝漏排现象；二是澄清园区企业环评及验收底子，有针对性的开展环保监管工作；三是按《园区固废收集运行方案》要求，督促部分企业按时清运工业生产产生的固废。四是针对标准化厂房企业消防隐患开展排查和整治，确保安全发展。④企业联点工作。进一步优化环境，创新企业联点工作机制，及时解决好园区企业的要求和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794"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1725" w:type="dxa"/>
            <w:gridSpan w:val="3"/>
            <w:vAlign w:val="center"/>
          </w:tcPr>
          <w:p>
            <w:pPr>
              <w:jc w:val="center"/>
              <w:rPr>
                <w:rFonts w:hint="eastAsia" w:eastAsia="仿宋_GB2312"/>
                <w:sz w:val="24"/>
              </w:rPr>
            </w:pPr>
            <w:r>
              <w:rPr>
                <w:rFonts w:hint="eastAsia" w:eastAsia="仿宋_GB2312"/>
                <w:sz w:val="24"/>
              </w:rPr>
              <w:t>一级指标</w:t>
            </w:r>
          </w:p>
        </w:tc>
        <w:tc>
          <w:tcPr>
            <w:tcW w:w="1365"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275"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794" w:type="dxa"/>
            <w:vMerge w:val="continue"/>
            <w:vAlign w:val="center"/>
          </w:tcPr>
          <w:p>
            <w:pPr>
              <w:jc w:val="center"/>
              <w:rPr>
                <w:rFonts w:hint="eastAsia" w:eastAsia="仿宋_GB2312"/>
                <w:sz w:val="24"/>
              </w:rPr>
            </w:pPr>
          </w:p>
        </w:tc>
        <w:tc>
          <w:tcPr>
            <w:tcW w:w="1725" w:type="dxa"/>
            <w:gridSpan w:val="3"/>
            <w:vMerge w:val="restart"/>
            <w:vAlign w:val="center"/>
          </w:tcPr>
          <w:p>
            <w:pPr>
              <w:jc w:val="center"/>
              <w:rPr>
                <w:rFonts w:hint="eastAsia" w:eastAsia="仿宋_GB2312"/>
                <w:sz w:val="24"/>
              </w:rPr>
            </w:pPr>
            <w:r>
              <w:rPr>
                <w:rFonts w:hint="eastAsia" w:eastAsia="仿宋_GB2312"/>
                <w:sz w:val="24"/>
              </w:rPr>
              <w:t>项目产出指标</w:t>
            </w: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数量指标</w:t>
            </w:r>
          </w:p>
        </w:tc>
        <w:tc>
          <w:tcPr>
            <w:tcW w:w="3315" w:type="dxa"/>
            <w:gridSpan w:val="6"/>
            <w:tcBorders>
              <w:bottom w:val="single" w:color="auto" w:sz="4" w:space="0"/>
            </w:tcBorders>
            <w:vAlign w:val="center"/>
          </w:tcPr>
          <w:p>
            <w:pPr>
              <w:jc w:val="center"/>
              <w:rPr>
                <w:rFonts w:hint="eastAsia" w:eastAsia="仿宋_GB2312"/>
                <w:b w:val="0"/>
                <w:bCs/>
                <w:sz w:val="24"/>
              </w:rPr>
            </w:pPr>
            <w:r>
              <w:rPr>
                <w:rFonts w:hint="eastAsia" w:eastAsia="仿宋_GB2312"/>
                <w:b w:val="0"/>
                <w:bCs/>
                <w:sz w:val="24"/>
              </w:rPr>
              <w:t>指标1：技工贸总收入突破200亿元，同比增长15%以上</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jc w:val="center"/>
              <w:rPr>
                <w:rFonts w:hint="eastAsia" w:eastAsia="仿宋_GB2312"/>
                <w:b w:val="0"/>
                <w:bCs/>
                <w:sz w:val="24"/>
              </w:rPr>
            </w:pPr>
            <w:r>
              <w:rPr>
                <w:rFonts w:hint="eastAsia" w:eastAsia="仿宋_GB2312"/>
                <w:b w:val="0"/>
                <w:bCs/>
                <w:sz w:val="24"/>
              </w:rPr>
              <w:t>指标2：完成规模工业增加值45亿元，同比增长15%以上</w:t>
            </w:r>
            <w:r>
              <w:rPr>
                <w:rFonts w:hint="eastAsia" w:eastAsia="仿宋_GB2312"/>
                <w:b w:val="0"/>
                <w:bCs/>
                <w:sz w:val="24"/>
                <w:lang w:val="en-US" w:eastAsia="zh-CN"/>
              </w:rPr>
              <w:t>:</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jc w:val="center"/>
              <w:rPr>
                <w:rFonts w:hint="eastAsia" w:eastAsia="仿宋_GB2312"/>
                <w:b w:val="0"/>
                <w:bCs/>
                <w:sz w:val="24"/>
              </w:rPr>
            </w:pPr>
            <w:r>
              <w:rPr>
                <w:rFonts w:hint="eastAsia" w:eastAsia="仿宋_GB2312"/>
                <w:b w:val="0"/>
                <w:bCs/>
                <w:sz w:val="24"/>
                <w:lang w:eastAsia="zh-CN"/>
              </w:rPr>
              <w:t>指标</w:t>
            </w:r>
            <w:r>
              <w:rPr>
                <w:rFonts w:hint="eastAsia" w:eastAsia="仿宋_GB2312"/>
                <w:b w:val="0"/>
                <w:bCs/>
                <w:sz w:val="24"/>
                <w:lang w:val="en-US" w:eastAsia="zh-CN"/>
              </w:rPr>
              <w:t>3：</w:t>
            </w:r>
            <w:r>
              <w:rPr>
                <w:rFonts w:hint="eastAsia" w:eastAsia="仿宋_GB2312"/>
                <w:b w:val="0"/>
                <w:bCs/>
                <w:sz w:val="24"/>
              </w:rPr>
              <w:t>完成固定资产投资总量突破22亿元，同比增长20%以上；税收总额突破1亿元大关。</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jc w:val="center"/>
              <w:rPr>
                <w:rFonts w:hint="eastAsia" w:eastAsia="仿宋_GB2312"/>
                <w:b w:val="0"/>
                <w:bCs/>
                <w:sz w:val="24"/>
                <w:lang w:eastAsia="zh-CN"/>
              </w:rPr>
            </w:pPr>
            <w:r>
              <w:rPr>
                <w:rFonts w:hint="eastAsia" w:eastAsia="仿宋_GB2312"/>
                <w:b w:val="0"/>
                <w:bCs/>
                <w:sz w:val="24"/>
                <w:lang w:eastAsia="zh-CN"/>
              </w:rPr>
              <w:t>指标</w:t>
            </w:r>
            <w:r>
              <w:rPr>
                <w:rFonts w:hint="eastAsia" w:eastAsia="仿宋_GB2312"/>
                <w:b w:val="0"/>
                <w:bCs/>
                <w:sz w:val="24"/>
                <w:lang w:val="en-US" w:eastAsia="zh-CN"/>
              </w:rPr>
              <w:t>4：</w:t>
            </w:r>
            <w:r>
              <w:rPr>
                <w:rFonts w:hint="eastAsia" w:eastAsia="仿宋_GB2312"/>
                <w:b w:val="0"/>
                <w:bCs/>
                <w:sz w:val="24"/>
              </w:rPr>
              <w:t>完成23亿元招商引资额</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质量指标</w:t>
            </w:r>
          </w:p>
        </w:tc>
        <w:tc>
          <w:tcPr>
            <w:tcW w:w="3315" w:type="dxa"/>
            <w:gridSpan w:val="6"/>
            <w:tcBorders>
              <w:bottom w:val="single" w:color="auto" w:sz="4" w:space="0"/>
            </w:tcBorders>
            <w:vAlign w:val="center"/>
          </w:tcPr>
          <w:p>
            <w:pPr>
              <w:jc w:val="center"/>
              <w:rPr>
                <w:rFonts w:hint="eastAsia" w:eastAsia="仿宋_GB2312"/>
                <w:b w:val="0"/>
                <w:bCs/>
                <w:sz w:val="24"/>
              </w:rPr>
            </w:pPr>
            <w:r>
              <w:rPr>
                <w:rFonts w:hint="eastAsia" w:eastAsia="仿宋_GB2312"/>
                <w:b w:val="0"/>
                <w:bCs/>
                <w:sz w:val="24"/>
              </w:rPr>
              <w:t>指标1：</w:t>
            </w:r>
            <w:r>
              <w:rPr>
                <w:rFonts w:hint="eastAsia" w:eastAsia="仿宋_GB2312"/>
                <w:b w:val="0"/>
                <w:bCs/>
                <w:sz w:val="24"/>
                <w:lang w:eastAsia="zh-CN"/>
              </w:rPr>
              <w:t>优化区内营商环境</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jc w:val="center"/>
              <w:rPr>
                <w:rFonts w:hint="eastAsia" w:eastAsia="仿宋_GB2312"/>
                <w:b w:val="0"/>
                <w:bCs/>
                <w:sz w:val="24"/>
              </w:rPr>
            </w:pPr>
            <w:r>
              <w:rPr>
                <w:rFonts w:hint="eastAsia" w:eastAsia="仿宋_GB2312"/>
                <w:b w:val="0"/>
                <w:bCs/>
                <w:sz w:val="24"/>
              </w:rPr>
              <w:t>指标2：</w:t>
            </w:r>
            <w:r>
              <w:rPr>
                <w:rFonts w:hint="eastAsia" w:eastAsia="仿宋_GB2312"/>
                <w:b w:val="0"/>
                <w:bCs/>
                <w:sz w:val="24"/>
                <w:lang w:eastAsia="zh-CN"/>
              </w:rPr>
              <w:t>加快公共基础设施建设及配套设施建设</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时效指标</w:t>
            </w: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按进度完成项目建设</w:t>
            </w:r>
          </w:p>
        </w:tc>
        <w:tc>
          <w:tcPr>
            <w:tcW w:w="127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按进度完成项目服务相关工作</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成本指标</w:t>
            </w: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支出控制在财政预算内</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保障资金使用，不产生其他成本</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794" w:type="dxa"/>
            <w:vMerge w:val="continue"/>
            <w:vAlign w:val="center"/>
          </w:tcPr>
          <w:p>
            <w:pPr>
              <w:jc w:val="center"/>
              <w:rPr>
                <w:rFonts w:hint="eastAsia" w:eastAsia="仿宋_GB2312"/>
                <w:sz w:val="24"/>
              </w:rPr>
            </w:pPr>
          </w:p>
        </w:tc>
        <w:tc>
          <w:tcPr>
            <w:tcW w:w="1725" w:type="dxa"/>
            <w:gridSpan w:val="3"/>
            <w:vMerge w:val="restart"/>
            <w:vAlign w:val="center"/>
          </w:tcPr>
          <w:p>
            <w:pPr>
              <w:jc w:val="center"/>
              <w:rPr>
                <w:rFonts w:hint="eastAsia" w:eastAsia="仿宋_GB2312"/>
                <w:sz w:val="24"/>
              </w:rPr>
            </w:pPr>
            <w:r>
              <w:rPr>
                <w:rFonts w:hint="eastAsia" w:eastAsia="仿宋_GB2312"/>
                <w:sz w:val="24"/>
              </w:rPr>
              <w:t>项目效益指标</w:t>
            </w: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3315" w:type="dxa"/>
            <w:gridSpan w:val="6"/>
            <w:tcBorders>
              <w:bottom w:val="single" w:color="auto" w:sz="4" w:space="0"/>
            </w:tcBorders>
            <w:vAlign w:val="center"/>
          </w:tcPr>
          <w:p>
            <w:pPr>
              <w:autoSpaceDN w:val="0"/>
              <w:spacing w:line="320" w:lineRule="exact"/>
              <w:jc w:val="left"/>
              <w:textAlignment w:val="center"/>
              <w:rPr>
                <w:rFonts w:hint="eastAsia" w:eastAsia="仿宋_GB2312"/>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促进区内对外、对内经济发展；</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提高企业税收，为君山区创造经济效益。</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带动当地就业</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让企业有归属感</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restart"/>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3315" w:type="dxa"/>
            <w:gridSpan w:val="6"/>
            <w:tcBorders>
              <w:bottom w:val="single" w:color="auto" w:sz="4" w:space="0"/>
            </w:tcBorders>
            <w:vAlign w:val="center"/>
          </w:tcPr>
          <w:p>
            <w:pPr>
              <w:autoSpaceDN w:val="0"/>
              <w:spacing w:line="320" w:lineRule="exact"/>
              <w:jc w:val="left"/>
              <w:textAlignment w:val="center"/>
              <w:rPr>
                <w:rFonts w:hint="eastAsia" w:eastAsia="仿宋_GB2312"/>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加</w:t>
            </w:r>
            <w:r>
              <w:rPr>
                <w:rFonts w:hint="eastAsia" w:ascii="仿宋_GB2312" w:hAnsi="仿宋_GB2312" w:eastAsia="仿宋_GB2312" w:cs="仿宋_GB2312"/>
                <w:color w:val="000000"/>
                <w:sz w:val="24"/>
              </w:rPr>
              <w:t>快工程项目建设，</w:t>
            </w:r>
            <w:r>
              <w:rPr>
                <w:rFonts w:hint="eastAsia" w:ascii="仿宋_GB2312" w:hAnsi="仿宋_GB2312" w:eastAsia="仿宋_GB2312" w:cs="仿宋_GB2312"/>
                <w:color w:val="000000"/>
                <w:sz w:val="24"/>
                <w:lang w:eastAsia="zh-CN"/>
              </w:rPr>
              <w:t>同时</w:t>
            </w:r>
            <w:r>
              <w:rPr>
                <w:rFonts w:hint="eastAsia" w:ascii="仿宋_GB2312" w:hAnsi="仿宋_GB2312" w:eastAsia="仿宋_GB2312" w:cs="仿宋_GB2312"/>
                <w:color w:val="000000"/>
                <w:sz w:val="24"/>
              </w:rPr>
              <w:t>保护园区内外生态环境；</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Merge w:val="continue"/>
            <w:vAlign w:val="center"/>
          </w:tcPr>
          <w:p>
            <w:pPr>
              <w:spacing w:line="360" w:lineRule="exact"/>
              <w:jc w:val="center"/>
              <w:rPr>
                <w:rFonts w:hint="eastAsia" w:eastAsia="仿宋_GB2312"/>
                <w:sz w:val="24"/>
              </w:rPr>
            </w:pPr>
          </w:p>
        </w:tc>
        <w:tc>
          <w:tcPr>
            <w:tcW w:w="3315" w:type="dxa"/>
            <w:gridSpan w:val="6"/>
            <w:tcBorders>
              <w:bottom w:val="single" w:color="auto" w:sz="4" w:space="0"/>
            </w:tcBorders>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rPr>
              <w:t>指标2：及时清理园区建筑及生活垃圾，创造优质的生产环境。</w:t>
            </w:r>
          </w:p>
        </w:tc>
        <w:tc>
          <w:tcPr>
            <w:tcW w:w="1275" w:type="dxa"/>
            <w:gridSpan w:val="2"/>
            <w:vAlign w:val="center"/>
          </w:tcPr>
          <w:p>
            <w:pPr>
              <w:jc w:val="center"/>
              <w:rPr>
                <w:rFonts w:hint="eastAsia" w:eastAsia="仿宋_GB2312"/>
                <w:sz w:val="24"/>
              </w:rPr>
            </w:pPr>
            <w:r>
              <w:rPr>
                <w:rFonts w:hint="eastAsia" w:eastAsia="仿宋_GB2312"/>
                <w:sz w:val="24"/>
                <w:lang w:val="en-US" w:eastAsia="zh-CN"/>
              </w:rPr>
              <w:t>100</w:t>
            </w:r>
          </w:p>
        </w:tc>
        <w:tc>
          <w:tcPr>
            <w:tcW w:w="1108" w:type="dxa"/>
            <w:gridSpan w:val="2"/>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794" w:type="dxa"/>
            <w:vMerge w:val="continue"/>
            <w:vAlign w:val="center"/>
          </w:tcPr>
          <w:p>
            <w:pPr>
              <w:jc w:val="center"/>
              <w:rPr>
                <w:rFonts w:hint="eastAsia" w:eastAsia="仿宋_GB2312"/>
                <w:sz w:val="24"/>
              </w:rPr>
            </w:pPr>
          </w:p>
        </w:tc>
        <w:tc>
          <w:tcPr>
            <w:tcW w:w="1725" w:type="dxa"/>
            <w:gridSpan w:val="3"/>
            <w:vMerge w:val="continue"/>
            <w:vAlign w:val="center"/>
          </w:tcPr>
          <w:p>
            <w:pPr>
              <w:jc w:val="center"/>
              <w:rPr>
                <w:rFonts w:hint="eastAsia" w:eastAsia="仿宋_GB2312"/>
                <w:sz w:val="24"/>
              </w:rPr>
            </w:pPr>
          </w:p>
        </w:tc>
        <w:tc>
          <w:tcPr>
            <w:tcW w:w="1365" w:type="dxa"/>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3315" w:type="dxa"/>
            <w:gridSpan w:val="6"/>
            <w:vAlign w:val="center"/>
          </w:tcPr>
          <w:p>
            <w:pPr>
              <w:bidi w:val="0"/>
              <w:jc w:val="center"/>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提高企业对园区服务工作、物业工作的满意度</w:t>
            </w:r>
          </w:p>
        </w:tc>
        <w:tc>
          <w:tcPr>
            <w:tcW w:w="1275"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108"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19"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063"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19"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063" w:type="dxa"/>
            <w:gridSpan w:val="11"/>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rPr>
              <w:t>姓名</w:t>
            </w:r>
          </w:p>
        </w:tc>
        <w:tc>
          <w:tcPr>
            <w:tcW w:w="2332" w:type="dxa"/>
            <w:gridSpan w:val="4"/>
            <w:vAlign w:val="center"/>
          </w:tcPr>
          <w:p>
            <w:pPr>
              <w:jc w:val="center"/>
              <w:rPr>
                <w:rFonts w:hint="eastAsia" w:eastAsia="仿宋_GB2312"/>
                <w:sz w:val="24"/>
              </w:rPr>
            </w:pPr>
            <w:r>
              <w:rPr>
                <w:rFonts w:hint="eastAsia" w:eastAsia="仿宋_GB2312"/>
                <w:sz w:val="24"/>
              </w:rPr>
              <w:t>职称/职务</w:t>
            </w:r>
          </w:p>
        </w:tc>
        <w:tc>
          <w:tcPr>
            <w:tcW w:w="2003" w:type="dxa"/>
            <w:gridSpan w:val="3"/>
            <w:vAlign w:val="center"/>
          </w:tcPr>
          <w:p>
            <w:pPr>
              <w:jc w:val="center"/>
              <w:rPr>
                <w:rFonts w:hint="eastAsia" w:eastAsia="仿宋_GB2312"/>
                <w:sz w:val="24"/>
              </w:rPr>
            </w:pPr>
            <w:r>
              <w:rPr>
                <w:rFonts w:hint="eastAsia" w:eastAsia="仿宋_GB2312"/>
                <w:sz w:val="24"/>
              </w:rPr>
              <w:t>单  位</w:t>
            </w:r>
          </w:p>
        </w:tc>
        <w:tc>
          <w:tcPr>
            <w:tcW w:w="2983" w:type="dxa"/>
            <w:gridSpan w:val="5"/>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方学龙</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党工委书记、主任</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蔡</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涛</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党工委副书记、</w:t>
            </w:r>
            <w:r>
              <w:rPr>
                <w:rFonts w:hint="eastAsia" w:ascii="仿宋_GB2312" w:hAnsi="仿宋_GB2312" w:eastAsia="仿宋_GB2312" w:cs="仿宋_GB2312"/>
                <w:color w:val="000000"/>
                <w:sz w:val="24"/>
              </w:rPr>
              <w:t>副主任</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旭</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亮</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纪工委书记</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宋祖雄</w:t>
            </w:r>
          </w:p>
        </w:tc>
        <w:tc>
          <w:tcPr>
            <w:tcW w:w="2332" w:type="dxa"/>
            <w:gridSpan w:val="4"/>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区投促</w:t>
            </w:r>
            <w:r>
              <w:rPr>
                <w:rFonts w:hint="eastAsia" w:ascii="仿宋_GB2312" w:hAnsi="仿宋_GB2312" w:eastAsia="仿宋_GB2312" w:cs="仿宋_GB2312"/>
                <w:color w:val="000000"/>
                <w:sz w:val="24"/>
                <w:lang w:eastAsia="zh-CN"/>
              </w:rPr>
              <w:t>中心主任</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袁</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凯</w:t>
            </w:r>
          </w:p>
        </w:tc>
        <w:tc>
          <w:tcPr>
            <w:tcW w:w="2332" w:type="dxa"/>
            <w:gridSpan w:val="4"/>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规划建设部部长</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陈菊华</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企业服务部部长</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  荣</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胡文忠</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项目服务部部长</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黄晓林</w:t>
            </w:r>
          </w:p>
        </w:tc>
        <w:tc>
          <w:tcPr>
            <w:tcW w:w="2332"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招商部部长</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张诗饴</w:t>
            </w:r>
          </w:p>
        </w:tc>
        <w:tc>
          <w:tcPr>
            <w:tcW w:w="2332" w:type="dxa"/>
            <w:gridSpan w:val="4"/>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财务部部长</w:t>
            </w:r>
          </w:p>
        </w:tc>
        <w:tc>
          <w:tcPr>
            <w:tcW w:w="200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君山工业园</w:t>
            </w:r>
          </w:p>
        </w:tc>
        <w:tc>
          <w:tcPr>
            <w:tcW w:w="2983" w:type="dxa"/>
            <w:gridSpan w:val="5"/>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exact"/>
          <w:jc w:val="center"/>
        </w:trPr>
        <w:tc>
          <w:tcPr>
            <w:tcW w:w="9582" w:type="dxa"/>
            <w:gridSpan w:val="15"/>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exact"/>
          <w:jc w:val="center"/>
        </w:trPr>
        <w:tc>
          <w:tcPr>
            <w:tcW w:w="9582" w:type="dxa"/>
            <w:gridSpan w:val="15"/>
            <w:tcBorders>
              <w:bottom w:val="single" w:color="auto" w:sz="4" w:space="0"/>
            </w:tcBorders>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9582" w:type="dxa"/>
            <w:gridSpan w:val="15"/>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exact"/>
          <w:jc w:val="center"/>
        </w:trPr>
        <w:tc>
          <w:tcPr>
            <w:tcW w:w="9582" w:type="dxa"/>
            <w:gridSpan w:val="15"/>
            <w:tcBorders>
              <w:bottom w:val="single" w:color="auto" w:sz="4" w:space="0"/>
            </w:tcBorders>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张诗饴</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07308170818</w:t>
      </w:r>
    </w:p>
    <w:tbl>
      <w:tblPr>
        <w:tblStyle w:val="2"/>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根据关于印发《君山工业园管理委员会绩效考核暂行办法》的通知（君政办函[2018]25号）及2018年第17次岳阳市君山区人民政府常务会议纪要的文件精神，为了凸显园区推进区域经济主体地位，充分发挥园区干部主力军作用，全面或超额实现园区大会战各向目标，我单位2018年开始实行绩效考核，以全面激发干部的工作潜能和工作热情。另外，由于园区工作任务多，在岗人员少，编制有限，我单位积极对接协调，2018-2020年，通过二级机构岳阳市君山区工业园投资开发有限公司公开向社会招聘人才，合署办公，以壮大园区干部团队。按照会议精神，园区新聘人员工资按在编在岗人员的标准参照执行。绩效考核工资与园区新聘人员工资由区财政列入年初预算并予以足额保障。</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今年，我单位根据实际情况修改绩效考核办法，绩效考核工资发放按照每年班子成员6万元，业务部室（项目服务、企业服务、招商、工程）部室长每年4.5万元，业务一般干部每年4万元，其他部室部室长每年4万元，一般干部3.5万元标准进行发放，资金计划中人员构成由区人社局审核，资金由区财政保障。绩效考核工资参照文件按季度预发、年终依据实际考核结果核发。每一年考核结果为下一年年初市、区下发，正式考核结果下发后，我单位再结合单位内部实际考核情况核发。6月，我单位核发2019年绩效考核工资44.74万元；12月，我单位参照文件预发2020年第一季度及第二季度绩效考核工资（总额的40%）34.7万元。</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我单位参照其他工业园区绩效考核的做法经验，结合我园区实际情况，修订工作人员绩效考核（暂行）办法。职工每年年末需制定下一年的工作计划和明细表，规定各项工作任务的时间节点，采取每周小结和临时抽查的考核方式，积极推进各项工作。另外，严格执行日常考勤制度和企业联点制度，深入对接企业，为企业提供“母亲式服务、兄弟式帮扶、友情式监管”，以提高企业对园区工作的满意程度，更好的营造区内营商环境，带动区内财经税收的增长。</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根据区委、区政府的任务安排，我单位2020年工作完成情况如下：1、2020年底园区技工贸总收入、规模工业增加值、固定资产投资总量、税收总额均完成市定年度任务；2、①用地报批。完成230亩李记“退二进三”新厂区用地(已完成报批工作)、国鸿驾考中心300亩土地报批(正在报批）；②项目设计。完成杨树路、建业路、三家店路道路设计（已完成设计），会展、商务中心大楼项目设计（已完成初步方案设计）；③项目建设。一是完成标准化厂房7.3万平方米建设（标五续建7.3万平方米）；二是重点抓好国鸿驾考中心、李记食品新厂区等重点项目建设（李记已经开工，驾考项目已完成土地报批）；3、完成23亿元招商引资额；4、①加大合同履约工作力度。成立专门班子，安排专项工作经费，根据合同约定的时间节点，对未完成约定税收的企业将厂房租金追缴到位。②理顺物业公司管理。一是将保洁、绿化进行外包；二是保障消防控制室的正常运行；三是配齐水电工、会计、消防员等技术人员，四是理顺物业公司与园区企业的关系，建立收取物业管理、水电费工作的运行机制；五是优化服务，建立物业公司考核机制。③环保和安全生产工作。一是对新入园企业水管安装按照“前期指导、施工现场监督、试生产核查、日常动态监管”的方法，确保企业雨污分流，杜绝漏排现象；二是澄清园区企业环评及验收底子，有针对性的开展环保监管工作；三是按《园区固废收集运行方案》要求，督促部分企业按时清运工业生产产生的固废。四是针对标准化厂房企业消防隐患开展排查和整治，确保安全发展。④企业联点工作。进一步优化环境，创新企业联点工作机制，及时解决好园区企业的要求和困难。</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根据《2020年全市产业园区高质量发展绩效考核指标排名通报》（岳园办[2021]5号）及《关于2020年度全区综合绩效考核结果的通报》（君发[2021]1号）文件，我单位在全市产业园区绩效考核中排名第七。同时，被评选为2020年全区综合绩效考核先进区直单位。因评选结果为2021年上半年公布，我单位2020年采取第1-2季度预发40%的方式进行发放。2020年，根据市区评选结果，再结合我单位每个职工全年工作任务计划完成情况进行综合考评后发放2020年剩余绩效考核工资。</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2020年，我单位修订了绩效考核制度，使绩效考核工作更加细致、务实，由于园区工作的特殊性，部分工作因客观因素无法有效推进，进而影响干部考核结果。2021年，为保障考核的公正性和有效性，我单位将继续完善绩效考核制度。</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sectPr>
          <w:pgSz w:w="11906" w:h="16838"/>
          <w:pgMar w:top="1440" w:right="1800" w:bottom="1440" w:left="1800" w:header="851" w:footer="992" w:gutter="0"/>
          <w:cols w:space="425" w:num="1"/>
          <w:docGrid w:type="lines" w:linePitch="312" w:charSpace="0"/>
        </w:sect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3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项目支出绩效评价指标体系（参考样表）</w:t>
      </w:r>
    </w:p>
    <w:tbl>
      <w:tblPr>
        <w:tblStyle w:val="2"/>
        <w:tblW w:w="10002" w:type="dxa"/>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40" w:lineRule="auto"/>
        <w:contextualSpacing/>
        <w:rPr>
          <w:rFonts w:hint="eastAsia" w:eastAsia="仿宋_GB2312"/>
          <w:sz w:val="32"/>
        </w:rPr>
      </w:pPr>
      <w:r>
        <w:rPr>
          <w:rFonts w:hint="eastAsia" w:ascii="仿宋_GB2312" w:eastAsia="仿宋_GB2312"/>
        </w:rPr>
        <w:t>备注：部门（单位）根据项目实际，在《项目支出绩效评价指标体系（参考样表）》上进一步完</w:t>
      </w:r>
      <w:bookmarkStart w:id="0" w:name="_GoBack"/>
      <w:bookmarkEnd w:id="0"/>
      <w:r>
        <w:rPr>
          <w:rFonts w:hint="eastAsia" w:ascii="仿宋_GB2312" w:eastAsia="仿宋_GB2312"/>
        </w:rPr>
        <w:t>善、量化、细化个性指标，形成本项目的指标体系。</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B088D"/>
    <w:multiLevelType w:val="singleLevel"/>
    <w:tmpl w:val="0F7B08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54F0D"/>
    <w:rsid w:val="0EE95EE2"/>
    <w:rsid w:val="13B01181"/>
    <w:rsid w:val="2192045B"/>
    <w:rsid w:val="2B121921"/>
    <w:rsid w:val="39297A0F"/>
    <w:rsid w:val="3B4D72A1"/>
    <w:rsid w:val="44916338"/>
    <w:rsid w:val="52DD6E13"/>
    <w:rsid w:val="59D77D1E"/>
    <w:rsid w:val="6EC84FFE"/>
    <w:rsid w:val="712A27F2"/>
    <w:rsid w:val="72A5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2021-06-22T03:06:00Z</dcterms:created>
  <dc:creator>偶尔能力者！</dc:creator>
  <cp:lastModifiedBy>偶尔能力者！</cp:lastModifiedBy>
  <dcterms:modified xsi:type="dcterms:W3CDTF">2021-07-14T08:31:27Z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5FD0047B42F14BB98645C739AC6EDC07</vt:lpwstr>
  </property>
</Properties>
</file>