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png" ContentType="image/png"/>
  <Default Extension="jpeg" ContentType="image/jpe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pPr>
    </w:p>
    <w:p>
      <w:pPr>
        <w:bidi w:val="0"/>
      </w:pPr>
    </w:p>
    <w:p>
      <w:pPr>
        <w:bidi w:val="0"/>
      </w:pPr>
    </w:p>
    <w:p>
      <w:pPr>
        <w:bidi w:val="0"/>
      </w:pPr>
    </w:p>
    <w:p>
      <w:pPr>
        <w:bidi w:val="0"/>
      </w:pPr>
    </w:p>
    <w:p>
      <w:pPr>
        <w:bidi w:val="0"/>
      </w:pPr>
    </w:p>
    <w:p>
      <w:pPr>
        <w:bidi w:val="0"/>
      </w:pPr>
    </w:p>
    <w:p>
      <w:pPr>
        <w:pStyle w:val="18"/>
        <w:bidi w:val="0"/>
        <w:rPr>
          <w:sz w:val="44"/>
          <w:szCs w:val="22"/>
        </w:rPr>
      </w:pPr>
      <w:bookmarkStart w:id="0" w:name="_Toc22973"/>
      <w:bookmarkStart w:id="1" w:name="_Toc24521"/>
      <w:bookmarkStart w:id="2" w:name="_Toc621"/>
      <w:bookmarkStart w:id="3" w:name="_Toc6752"/>
      <w:bookmarkStart w:id="4" w:name="_Toc13126"/>
      <w:bookmarkStart w:id="5" w:name="_Toc812"/>
      <w:bookmarkStart w:id="6" w:name="_Toc20229"/>
      <w:r>
        <w:rPr>
          <w:rFonts w:hint="eastAsia"/>
          <w:sz w:val="44"/>
          <w:szCs w:val="22"/>
        </w:rPr>
        <w:t>岳阳市君山区水利安保工程（二洲子村-旅游路）项目</w:t>
      </w:r>
      <w:r>
        <w:rPr>
          <w:rFonts w:hint="eastAsia"/>
          <w:sz w:val="44"/>
          <w:szCs w:val="22"/>
          <w:lang w:val="en-US" w:eastAsia="zh-CN"/>
        </w:rPr>
        <w:t>临时堆场</w:t>
      </w:r>
      <w:r>
        <w:rPr>
          <w:sz w:val="44"/>
          <w:szCs w:val="22"/>
        </w:rPr>
        <w:t>变更环境影响说明</w:t>
      </w:r>
      <w:bookmarkEnd w:id="0"/>
      <w:bookmarkEnd w:id="1"/>
      <w:bookmarkEnd w:id="2"/>
      <w:bookmarkEnd w:id="3"/>
      <w:bookmarkEnd w:id="4"/>
      <w:bookmarkEnd w:id="5"/>
      <w:bookmarkEnd w:id="6"/>
    </w:p>
    <w:p>
      <w:pPr>
        <w:tabs>
          <w:tab w:val="left" w:pos="3990"/>
        </w:tabs>
        <w:jc w:val="center"/>
      </w:pPr>
    </w:p>
    <w:p>
      <w:pPr>
        <w:tabs>
          <w:tab w:val="left" w:pos="3990"/>
        </w:tabs>
        <w:jc w:val="center"/>
      </w:pPr>
    </w:p>
    <w:p>
      <w:pPr>
        <w:tabs>
          <w:tab w:val="left" w:pos="3990"/>
        </w:tabs>
        <w:jc w:val="center"/>
        <w:rPr>
          <w:b/>
          <w:sz w:val="28"/>
        </w:rPr>
      </w:pPr>
    </w:p>
    <w:p>
      <w:pPr>
        <w:tabs>
          <w:tab w:val="left" w:pos="3990"/>
        </w:tabs>
        <w:jc w:val="center"/>
        <w:rPr>
          <w:b/>
          <w:sz w:val="28"/>
        </w:rPr>
      </w:pPr>
    </w:p>
    <w:p>
      <w:pPr>
        <w:tabs>
          <w:tab w:val="left" w:pos="3990"/>
        </w:tabs>
        <w:jc w:val="center"/>
        <w:rPr>
          <w:b/>
          <w:sz w:val="28"/>
        </w:rPr>
      </w:pPr>
    </w:p>
    <w:p>
      <w:pPr>
        <w:tabs>
          <w:tab w:val="left" w:pos="3990"/>
        </w:tabs>
        <w:jc w:val="center"/>
        <w:rPr>
          <w:b/>
          <w:sz w:val="28"/>
        </w:rPr>
      </w:pPr>
    </w:p>
    <w:p>
      <w:pPr>
        <w:tabs>
          <w:tab w:val="left" w:pos="3990"/>
        </w:tabs>
        <w:jc w:val="center"/>
        <w:rPr>
          <w:b/>
          <w:sz w:val="28"/>
        </w:rPr>
      </w:pPr>
    </w:p>
    <w:p>
      <w:pPr>
        <w:tabs>
          <w:tab w:val="left" w:pos="3990"/>
        </w:tabs>
        <w:jc w:val="center"/>
        <w:rPr>
          <w:b/>
          <w:sz w:val="28"/>
        </w:rPr>
      </w:pPr>
    </w:p>
    <w:p>
      <w:pPr>
        <w:tabs>
          <w:tab w:val="left" w:pos="3990"/>
        </w:tabs>
        <w:jc w:val="center"/>
        <w:rPr>
          <w:b/>
          <w:sz w:val="28"/>
        </w:rPr>
      </w:pPr>
    </w:p>
    <w:p>
      <w:pPr>
        <w:tabs>
          <w:tab w:val="left" w:pos="3990"/>
        </w:tabs>
        <w:jc w:val="center"/>
        <w:rPr>
          <w:b/>
          <w:sz w:val="28"/>
        </w:rPr>
      </w:pPr>
    </w:p>
    <w:p>
      <w:pPr>
        <w:tabs>
          <w:tab w:val="left" w:pos="3990"/>
        </w:tabs>
        <w:jc w:val="center"/>
        <w:rPr>
          <w:b/>
          <w:sz w:val="28"/>
        </w:rPr>
      </w:pPr>
    </w:p>
    <w:p>
      <w:pPr>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textAlignment w:val="auto"/>
        <w:rPr>
          <w:rFonts w:hint="eastAsia" w:eastAsia="宋体"/>
          <w:b/>
          <w:bCs/>
          <w:color w:val="auto"/>
          <w:sz w:val="28"/>
          <w:lang w:val="en-US" w:eastAsia="zh-CN"/>
        </w:rPr>
      </w:pPr>
      <w:r>
        <w:rPr>
          <w:b/>
          <w:color w:val="auto"/>
          <w:sz w:val="28"/>
        </w:rPr>
        <w:t>编制单位：</w:t>
      </w:r>
      <w:r>
        <w:rPr>
          <w:rFonts w:hint="eastAsia"/>
          <w:b/>
          <w:bCs/>
          <w:color w:val="auto"/>
          <w:sz w:val="28"/>
          <w:lang w:val="en-US" w:eastAsia="zh-CN"/>
        </w:rPr>
        <w:t>江西曼霖环保科技有限公司</w:t>
      </w:r>
    </w:p>
    <w:p>
      <w:pPr>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textAlignment w:val="auto"/>
        <w:rPr>
          <w:b/>
          <w:color w:val="auto"/>
          <w:sz w:val="28"/>
        </w:rPr>
      </w:pPr>
      <w:r>
        <w:rPr>
          <w:b/>
          <w:color w:val="auto"/>
          <w:sz w:val="28"/>
        </w:rPr>
        <w:t>建设单位：</w:t>
      </w:r>
      <w:r>
        <w:rPr>
          <w:rFonts w:hint="eastAsia"/>
          <w:b/>
          <w:color w:val="auto"/>
          <w:sz w:val="28"/>
        </w:rPr>
        <w:t>岳阳市君山区城市建设投资有限公司</w:t>
      </w:r>
    </w:p>
    <w:p>
      <w:pPr>
        <w:keepNext w:val="0"/>
        <w:keepLines w:val="0"/>
        <w:pageBreakBefore w:val="0"/>
        <w:widowControl w:val="0"/>
        <w:tabs>
          <w:tab w:val="left" w:pos="3990"/>
        </w:tabs>
        <w:kinsoku/>
        <w:wordWrap/>
        <w:overflowPunct/>
        <w:topLinePunct w:val="0"/>
        <w:autoSpaceDE/>
        <w:autoSpaceDN/>
        <w:bidi w:val="0"/>
        <w:adjustRightInd/>
        <w:snapToGrid/>
        <w:spacing w:line="360" w:lineRule="auto"/>
        <w:ind w:firstLine="0" w:firstLineChars="0"/>
        <w:jc w:val="center"/>
        <w:textAlignment w:val="auto"/>
        <w:rPr>
          <w:b/>
          <w:sz w:val="28"/>
        </w:rPr>
      </w:pPr>
      <w:r>
        <w:rPr>
          <w:b/>
          <w:sz w:val="28"/>
        </w:rPr>
        <w:t>编制时间：二〇</w:t>
      </w:r>
      <w:r>
        <w:rPr>
          <w:rFonts w:hint="eastAsia"/>
          <w:b/>
          <w:sz w:val="28"/>
          <w:lang w:eastAsia="zh-CN"/>
        </w:rPr>
        <w:t>二〇</w:t>
      </w:r>
      <w:r>
        <w:rPr>
          <w:b/>
          <w:sz w:val="28"/>
        </w:rPr>
        <w:t>年</w:t>
      </w:r>
      <w:r>
        <w:rPr>
          <w:rFonts w:hint="eastAsia"/>
          <w:b/>
          <w:sz w:val="28"/>
          <w:lang w:eastAsia="zh-CN"/>
        </w:rPr>
        <w:t>八</w:t>
      </w:r>
      <w:r>
        <w:rPr>
          <w:b/>
          <w:sz w:val="28"/>
        </w:rPr>
        <w:t>月</w:t>
      </w:r>
    </w:p>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16"/>
        <w:tabs>
          <w:tab w:val="right" w:leader="dot" w:pos="9027"/>
        </w:tabs>
        <w:jc w:val="center"/>
        <w:rPr>
          <w:rFonts w:hint="eastAsia" w:cs="Times New Roman"/>
          <w:b/>
          <w:bCs/>
          <w:color w:val="auto"/>
          <w:sz w:val="32"/>
          <w:highlight w:val="none"/>
          <w:u w:val="none"/>
          <w:lang w:eastAsia="zh-CN"/>
        </w:rPr>
      </w:pPr>
      <w:r>
        <w:rPr>
          <w:rFonts w:hint="eastAsia" w:cs="Times New Roman"/>
          <w:b/>
          <w:bCs/>
          <w:color w:val="auto"/>
          <w:sz w:val="32"/>
          <w:highlight w:val="none"/>
          <w:u w:val="none"/>
          <w:lang w:eastAsia="zh-CN"/>
        </w:rPr>
        <w:t>修改清单</w:t>
      </w:r>
    </w:p>
    <w:tbl>
      <w:tblPr>
        <w:tblStyle w:val="22"/>
        <w:tblW w:w="92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6930"/>
        <w:gridCol w:w="16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left="0" w:leftChars="0" w:firstLine="0" w:firstLineChars="0"/>
              <w:jc w:val="center"/>
              <w:textAlignment w:val="auto"/>
              <w:outlineLvl w:val="9"/>
              <w:rPr>
                <w:rFonts w:hint="default"/>
                <w:color w:val="auto"/>
                <w:vertAlign w:val="baseline"/>
                <w:lang w:eastAsia="zh-CN"/>
              </w:rPr>
            </w:pPr>
            <w:r>
              <w:rPr>
                <w:rFonts w:hint="eastAsia"/>
                <w:color w:val="auto"/>
                <w:vertAlign w:val="baseline"/>
                <w:lang w:eastAsia="zh-CN"/>
              </w:rPr>
              <w:t>序号</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eastAsia"/>
                <w:color w:val="auto"/>
                <w:vertAlign w:val="baseline"/>
                <w:lang w:eastAsia="zh-CN"/>
              </w:rPr>
              <w:t>专家意见</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eastAsia"/>
                <w:color w:val="auto"/>
                <w:vertAlign w:val="baseline"/>
                <w:lang w:eastAsia="zh-CN"/>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1</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题目建议变更为：岳阳市君山区水利保安工程（二洲子村-旅游路）项目临时堆场变更环境影响报告表</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eastAsia"/>
                <w:color w:val="auto"/>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2</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核实图3.2-1，项目原有堆场与项目现有堆场设置标示弄反了</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3</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堆场变更后，运输线路</w:t>
            </w:r>
            <w:r>
              <w:rPr>
                <w:rFonts w:hint="eastAsia"/>
                <w:color w:val="auto"/>
                <w:vertAlign w:val="baseline"/>
                <w:lang w:eastAsia="zh-CN"/>
              </w:rPr>
              <w:t>变化</w:t>
            </w:r>
            <w:r>
              <w:rPr>
                <w:rFonts w:hint="default"/>
                <w:color w:val="auto"/>
                <w:vertAlign w:val="baseline"/>
                <w:lang w:eastAsia="zh-CN"/>
              </w:rPr>
              <w:t>了，补充完善变更前后，渣土运输沿线声环境敏感目标、生态敏感目标的变化，分析其影响</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P41-43，P50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4</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环境质量现状评价建议引用最新历史数据</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5</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生态影响分析建议引用生态专题的结论</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6</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补充“三线一单”相符性分析</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P33-P35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7</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明确现临时堆场具体位置（经纬度），细化现临时堆场周边环境现状调查，强化临时堆场位置变更的必要性和合理性分析。</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P117-19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eastAsia"/>
                <w:color w:val="auto"/>
                <w:vertAlign w:val="baseline"/>
                <w:lang w:val="en-US" w:eastAsia="zh-CN"/>
              </w:rPr>
            </w:pPr>
            <w:r>
              <w:rPr>
                <w:rFonts w:hint="eastAsia"/>
                <w:color w:val="auto"/>
                <w:vertAlign w:val="baseline"/>
                <w:lang w:val="en-US" w:eastAsia="zh-CN"/>
              </w:rPr>
              <w:t>8</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明确现临时堆场的用地性质，现临时堆场已经开始使用，列表调查说明现临时堆场具体建设内容（包括主体工程、辅助工程、公用工程、环保工程），特别是环保工程的扬尘污防措施、车辆冲洗废水、初期雨水沉砂池、沉淀池、污水池、清水池等建设内容，据此调查现临时堆场目前存在的环境问题，有针对性的提出相应的整改措施。</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lang w:val="en-US" w:eastAsia="zh-CN"/>
              </w:rPr>
            </w:pPr>
            <w:r>
              <w:rPr>
                <w:rFonts w:hint="eastAsia"/>
                <w:color w:val="auto"/>
                <w:lang w:val="en-US" w:eastAsia="zh-CN"/>
              </w:rPr>
              <w:t>P19,P26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eastAsia"/>
                <w:color w:val="auto"/>
                <w:vertAlign w:val="baseline"/>
                <w:lang w:val="en-US" w:eastAsia="zh-CN"/>
              </w:rPr>
            </w:pPr>
            <w:r>
              <w:rPr>
                <w:rFonts w:hint="eastAsia"/>
                <w:color w:val="auto"/>
                <w:vertAlign w:val="baseline"/>
                <w:lang w:val="en-US" w:eastAsia="zh-CN"/>
              </w:rPr>
              <w:t>9</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校核大气环境质量标准值（CO单位错误），收集区域2019年大气常规数据，完善大气环境质量现状评价内容，明确噪声监测期间临时堆场的运行情况，补充调查现临时堆场周边及主要运输路线环境保护目标调查。</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P8,P49,P42-43,附图6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eastAsia"/>
                <w:color w:val="auto"/>
                <w:vertAlign w:val="baseline"/>
                <w:lang w:val="en-US" w:eastAsia="zh-CN"/>
              </w:rPr>
            </w:pPr>
            <w:r>
              <w:rPr>
                <w:rFonts w:hint="eastAsia"/>
                <w:color w:val="auto"/>
                <w:vertAlign w:val="baseline"/>
                <w:lang w:val="en-US" w:eastAsia="zh-CN"/>
              </w:rPr>
              <w:t>10</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进一步提出确保车辆冲洗废水、初期雨水不外排地表水体的具体工程措施。</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P48-49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eastAsia"/>
                <w:color w:val="auto"/>
                <w:vertAlign w:val="baseline"/>
                <w:lang w:val="en-US" w:eastAsia="zh-CN"/>
              </w:rPr>
            </w:pPr>
            <w:r>
              <w:rPr>
                <w:rFonts w:hint="eastAsia"/>
                <w:color w:val="auto"/>
                <w:vertAlign w:val="baseline"/>
                <w:lang w:val="en-US" w:eastAsia="zh-CN"/>
              </w:rPr>
              <w:t>11</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补充提出项目建设完成后临时堆场恢复措施。</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eastAsia"/>
                <w:color w:val="auto"/>
                <w:vertAlign w:val="baseline"/>
                <w:lang w:val="en-US" w:eastAsia="zh-CN"/>
              </w:rPr>
            </w:pPr>
            <w:r>
              <w:rPr>
                <w:rFonts w:hint="eastAsia"/>
                <w:color w:val="auto"/>
                <w:vertAlign w:val="baseline"/>
                <w:lang w:val="en-US" w:eastAsia="zh-CN"/>
              </w:rPr>
              <w:t>12</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现临时堆场已投入使用，核实现临时堆场已投入的环保投资、需新增的环保投资。</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eastAsia"/>
                <w:color w:val="auto"/>
                <w:vertAlign w:val="baseline"/>
                <w:lang w:val="en-US" w:eastAsia="zh-CN"/>
              </w:rPr>
            </w:pPr>
            <w:r>
              <w:rPr>
                <w:rFonts w:hint="eastAsia"/>
                <w:color w:val="auto"/>
                <w:vertAlign w:val="baseline"/>
                <w:lang w:val="en-US" w:eastAsia="zh-CN"/>
              </w:rPr>
              <w:t>13</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环境空气质量标准核实CO标准值。</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eastAsia"/>
                <w:color w:val="auto"/>
                <w:vertAlign w:val="baseline"/>
                <w:lang w:val="en-US" w:eastAsia="zh-CN"/>
              </w:rPr>
            </w:pPr>
            <w:r>
              <w:rPr>
                <w:rFonts w:hint="eastAsia"/>
                <w:color w:val="auto"/>
                <w:vertAlign w:val="baseline"/>
                <w:lang w:val="en-US" w:eastAsia="zh-CN"/>
              </w:rPr>
              <w:t>14</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进一步核实项目原有建设内容（项目占用林地的审批手续正在办理中），核实表2.1-1表2.</w:t>
            </w:r>
            <w:r>
              <w:rPr>
                <w:rFonts w:hint="eastAsia"/>
                <w:color w:val="auto"/>
                <w:vertAlign w:val="baseline"/>
                <w:lang w:val="en-US" w:eastAsia="zh-CN"/>
              </w:rPr>
              <w:t>5</w:t>
            </w:r>
            <w:r>
              <w:rPr>
                <w:rFonts w:hint="default"/>
                <w:color w:val="auto"/>
                <w:vertAlign w:val="baseline"/>
                <w:lang w:eastAsia="zh-CN"/>
              </w:rPr>
              <w:t>-1中数据。</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P10,P13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eastAsia"/>
                <w:color w:val="auto"/>
                <w:vertAlign w:val="baseline"/>
                <w:lang w:val="en-US" w:eastAsia="zh-CN"/>
              </w:rPr>
            </w:pPr>
            <w:r>
              <w:rPr>
                <w:rFonts w:hint="eastAsia"/>
                <w:color w:val="auto"/>
                <w:vertAlign w:val="baseline"/>
                <w:lang w:val="en-US" w:eastAsia="zh-CN"/>
              </w:rPr>
              <w:t>15</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现临时堆场在湖南东洞庭湖国家级自然保护区试验区范围，应当取得湖南东洞庭湖国家级自然保护区管理局同意设置的意见。</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eastAsia="zh-CN"/>
              </w:rPr>
              <w:t>附件</w:t>
            </w:r>
            <w:r>
              <w:rPr>
                <w:rFonts w:hint="eastAsia"/>
                <w:color w:val="auto"/>
                <w:vertAlign w:val="baseli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eastAsia"/>
                <w:color w:val="auto"/>
                <w:vertAlign w:val="baseline"/>
                <w:lang w:val="en-US" w:eastAsia="zh-CN"/>
              </w:rPr>
            </w:pPr>
            <w:r>
              <w:rPr>
                <w:rFonts w:hint="eastAsia"/>
                <w:color w:val="auto"/>
                <w:vertAlign w:val="baseline"/>
                <w:lang w:val="en-US" w:eastAsia="zh-CN"/>
              </w:rPr>
              <w:t>16</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环境质量现状地表水、空气应收集2019年数据</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eastAsia"/>
                <w:color w:val="auto"/>
                <w:vertAlign w:val="baseline"/>
                <w:lang w:val="en-US" w:eastAsia="zh-CN"/>
              </w:rPr>
            </w:pPr>
            <w:r>
              <w:rPr>
                <w:rFonts w:hint="eastAsia"/>
                <w:color w:val="auto"/>
                <w:vertAlign w:val="baseline"/>
                <w:lang w:val="en-US" w:eastAsia="zh-CN"/>
              </w:rPr>
              <w:t>17</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环境保护目标应说明临时堆场周边环境保护目标。</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P41-42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eastAsia"/>
                <w:color w:val="auto"/>
                <w:vertAlign w:val="baseline"/>
                <w:lang w:val="en-US" w:eastAsia="zh-CN"/>
              </w:rPr>
            </w:pPr>
            <w:r>
              <w:rPr>
                <w:rFonts w:hint="eastAsia"/>
                <w:color w:val="auto"/>
                <w:vertAlign w:val="baseline"/>
                <w:lang w:val="en-US" w:eastAsia="zh-CN"/>
              </w:rPr>
              <w:t>18</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进一步细化施工期临时堆场大气环境、水环境的环保措施，核实初期雨水收集是否需硬化，据此核实环保投资。</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699"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eastAsia"/>
                <w:color w:val="auto"/>
                <w:vertAlign w:val="baseline"/>
                <w:lang w:val="en-US" w:eastAsia="zh-CN"/>
              </w:rPr>
            </w:pPr>
            <w:r>
              <w:rPr>
                <w:rFonts w:hint="eastAsia"/>
                <w:color w:val="auto"/>
                <w:vertAlign w:val="baseline"/>
                <w:lang w:val="en-US" w:eastAsia="zh-CN"/>
              </w:rPr>
              <w:t>19</w:t>
            </w:r>
          </w:p>
        </w:tc>
        <w:tc>
          <w:tcPr>
            <w:tcW w:w="6930"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eastAsia="zh-CN"/>
              </w:rPr>
            </w:pPr>
            <w:r>
              <w:rPr>
                <w:rFonts w:hint="default"/>
                <w:color w:val="auto"/>
                <w:vertAlign w:val="baseline"/>
                <w:lang w:eastAsia="zh-CN"/>
              </w:rPr>
              <w:t>根据生态专题结论细化堆场生态保护及恢复措施</w:t>
            </w:r>
          </w:p>
        </w:tc>
        <w:tc>
          <w:tcPr>
            <w:tcW w:w="1614"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9"/>
              <w:rPr>
                <w:rFonts w:hint="default"/>
                <w:color w:val="auto"/>
                <w:vertAlign w:val="baseline"/>
                <w:lang w:val="en-US" w:eastAsia="zh-CN"/>
              </w:rPr>
            </w:pPr>
            <w:r>
              <w:rPr>
                <w:rFonts w:hint="eastAsia"/>
                <w:color w:val="auto"/>
                <w:vertAlign w:val="baseline"/>
                <w:lang w:val="en-US" w:eastAsia="zh-CN"/>
              </w:rPr>
              <w:t>P50</w:t>
            </w:r>
          </w:p>
        </w:tc>
      </w:tr>
    </w:tbl>
    <w:p>
      <w:pPr>
        <w:pStyle w:val="12"/>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sdt>
      <w:sdtPr>
        <w:rPr>
          <w:rFonts w:ascii="宋体" w:hAnsi="宋体" w:eastAsia="宋体" w:cs="Times New Roman"/>
          <w:kern w:val="2"/>
          <w:sz w:val="21"/>
          <w:szCs w:val="24"/>
          <w:lang w:val="en-US" w:eastAsia="zh-CN" w:bidi="ar-SA"/>
        </w:rPr>
        <w:id w:val="147454482"/>
        <w15:color w:val="DBDBDB"/>
        <w:docPartObj>
          <w:docPartGallery w:val="Table of Contents"/>
          <w:docPartUnique/>
        </w:docPartObj>
      </w:sdtPr>
      <w:sdtEndPr>
        <w:rPr>
          <w:rFonts w:hint="default" w:ascii="Times New Roman" w:hAnsi="Times New Roman" w:eastAsia="宋体" w:cs="Times New Roman"/>
          <w:b/>
          <w:kern w:val="2"/>
          <w:sz w:val="24"/>
          <w:szCs w:val="24"/>
          <w:lang w:val="en-US" w:eastAsia="zh-CN" w:bidi="ar-SA"/>
        </w:rPr>
      </w:sdtEndPr>
      <w:sdtContent>
        <w:p>
          <w:pPr>
            <w:spacing w:before="0" w:beforeLines="0" w:after="0" w:afterLines="0" w:line="240" w:lineRule="auto"/>
            <w:ind w:left="0" w:leftChars="0" w:right="0" w:rightChars="0" w:firstLine="0" w:firstLineChars="0"/>
            <w:jc w:val="center"/>
            <w:rPr>
              <w:b/>
              <w:bCs/>
              <w:sz w:val="30"/>
              <w:szCs w:val="30"/>
            </w:rPr>
          </w:pPr>
          <w:r>
            <w:rPr>
              <w:rFonts w:ascii="宋体" w:hAnsi="宋体" w:eastAsia="宋体"/>
              <w:b/>
              <w:bCs/>
              <w:sz w:val="30"/>
              <w:szCs w:val="30"/>
            </w:rPr>
            <w:t>目录</w:t>
          </w:r>
        </w:p>
        <w:p>
          <w:pPr>
            <w:pStyle w:val="16"/>
            <w:tabs>
              <w:tab w:val="right" w:leader="dot" w:pos="8306"/>
            </w:tabs>
          </w:pPr>
          <w:r>
            <w:rPr>
              <w:rFonts w:hint="default"/>
              <w:lang w:val="en-US" w:eastAsia="zh-CN"/>
            </w:rPr>
            <w:fldChar w:fldCharType="begin"/>
          </w:r>
          <w:r>
            <w:rPr>
              <w:rFonts w:hint="default"/>
              <w:lang w:val="en-US" w:eastAsia="zh-CN"/>
            </w:rPr>
            <w:instrText xml:space="preserve">TOC \o "1-2" \h \u </w:instrText>
          </w:r>
          <w:r>
            <w:rPr>
              <w:rFonts w:hint="default"/>
              <w:lang w:val="en-US" w:eastAsia="zh-CN"/>
            </w:rPr>
            <w:fldChar w:fldCharType="separate"/>
          </w:r>
          <w:r>
            <w:rPr>
              <w:rFonts w:hint="default"/>
              <w:lang w:val="en-US" w:eastAsia="zh-CN"/>
            </w:rPr>
            <w:fldChar w:fldCharType="begin"/>
          </w:r>
          <w:r>
            <w:rPr>
              <w:rFonts w:hint="default"/>
              <w:lang w:val="en-US" w:eastAsia="zh-CN"/>
            </w:rPr>
            <w:instrText xml:space="preserve"> HYPERLINK \l _Toc24521 </w:instrText>
          </w:r>
          <w:r>
            <w:rPr>
              <w:rFonts w:hint="default"/>
              <w:lang w:val="en-US" w:eastAsia="zh-CN"/>
            </w:rPr>
            <w:fldChar w:fldCharType="separate"/>
          </w:r>
          <w:r>
            <w:rPr>
              <w:rFonts w:hint="eastAsia"/>
              <w:szCs w:val="22"/>
            </w:rPr>
            <w:t>岳阳市君山区水利安保工程（二洲子村-旅游路）项目</w:t>
          </w:r>
          <w:r>
            <w:rPr>
              <w:rFonts w:hint="eastAsia"/>
              <w:szCs w:val="22"/>
              <w:lang w:val="en-US" w:eastAsia="zh-CN"/>
            </w:rPr>
            <w:t>临时堆场</w:t>
          </w:r>
          <w:r>
            <w:rPr>
              <w:szCs w:val="22"/>
            </w:rPr>
            <w:t>变更环境影响说明</w:t>
          </w:r>
          <w:r>
            <w:tab/>
          </w:r>
          <w:r>
            <w:fldChar w:fldCharType="begin"/>
          </w:r>
          <w:r>
            <w:instrText xml:space="preserve"> PAGEREF _Toc24521 </w:instrText>
          </w:r>
          <w:r>
            <w:fldChar w:fldCharType="separate"/>
          </w:r>
          <w:r>
            <w:t>1</w:t>
          </w:r>
          <w:r>
            <w:fldChar w:fldCharType="end"/>
          </w:r>
          <w:r>
            <w:rPr>
              <w:rFonts w:hint="default"/>
              <w:lang w:val="en-US" w:eastAsia="zh-CN"/>
            </w:rPr>
            <w:fldChar w:fldCharType="end"/>
          </w:r>
        </w:p>
        <w:p>
          <w:pPr>
            <w:pStyle w:val="16"/>
            <w:tabs>
              <w:tab w:val="right" w:leader="dot" w:pos="8306"/>
            </w:tabs>
          </w:pPr>
          <w:r>
            <w:rPr>
              <w:rFonts w:hint="default"/>
              <w:lang w:val="en-US" w:eastAsia="zh-CN"/>
            </w:rPr>
            <w:fldChar w:fldCharType="begin"/>
          </w:r>
          <w:r>
            <w:rPr>
              <w:rFonts w:hint="default"/>
              <w:lang w:val="en-US" w:eastAsia="zh-CN"/>
            </w:rPr>
            <w:instrText xml:space="preserve"> HYPERLINK \l _Toc13865 </w:instrText>
          </w:r>
          <w:r>
            <w:rPr>
              <w:rFonts w:hint="default"/>
              <w:lang w:val="en-US" w:eastAsia="zh-CN"/>
            </w:rPr>
            <w:fldChar w:fldCharType="separate"/>
          </w:r>
          <w:r>
            <w:rPr>
              <w:rFonts w:hint="default"/>
            </w:rPr>
            <w:t xml:space="preserve">1. </w:t>
          </w:r>
          <w:r>
            <w:t>项目变更由来</w:t>
          </w:r>
          <w:r>
            <w:tab/>
          </w:r>
          <w:r>
            <w:fldChar w:fldCharType="begin"/>
          </w:r>
          <w:r>
            <w:instrText xml:space="preserve"> PAGEREF _Toc13865 </w:instrText>
          </w:r>
          <w:r>
            <w:fldChar w:fldCharType="separate"/>
          </w:r>
          <w:r>
            <w:t>5</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_Toc17709 </w:instrText>
          </w:r>
          <w:r>
            <w:rPr>
              <w:rFonts w:hint="default"/>
              <w:lang w:val="en-US" w:eastAsia="zh-CN"/>
            </w:rPr>
            <w:fldChar w:fldCharType="separate"/>
          </w:r>
          <w:r>
            <w:rPr>
              <w:rFonts w:hint="default"/>
              <w:lang w:eastAsia="zh-CN"/>
            </w:rPr>
            <w:t xml:space="preserve">1.1. </w:t>
          </w:r>
          <w:r>
            <w:rPr>
              <w:rFonts w:hint="eastAsia"/>
              <w:lang w:eastAsia="zh-CN"/>
            </w:rPr>
            <w:t>变更背景</w:t>
          </w:r>
          <w:r>
            <w:tab/>
          </w:r>
          <w:r>
            <w:fldChar w:fldCharType="begin"/>
          </w:r>
          <w:r>
            <w:instrText xml:space="preserve"> PAGEREF _Toc17709 </w:instrText>
          </w:r>
          <w:r>
            <w:fldChar w:fldCharType="separate"/>
          </w:r>
          <w:r>
            <w:t>5</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_Toc26409 </w:instrText>
          </w:r>
          <w:r>
            <w:rPr>
              <w:rFonts w:hint="default"/>
              <w:lang w:val="en-US" w:eastAsia="zh-CN"/>
            </w:rPr>
            <w:fldChar w:fldCharType="separate"/>
          </w:r>
          <w:r>
            <w:rPr>
              <w:rFonts w:hint="default"/>
            </w:rPr>
            <w:t xml:space="preserve">1.2. </w:t>
          </w:r>
          <w:r>
            <w:rPr>
              <w:rFonts w:hint="eastAsia"/>
              <w:lang w:eastAsia="zh-CN"/>
            </w:rPr>
            <w:t>编制依据</w:t>
          </w:r>
          <w:r>
            <w:tab/>
          </w:r>
          <w:r>
            <w:fldChar w:fldCharType="begin"/>
          </w:r>
          <w:r>
            <w:instrText xml:space="preserve"> PAGEREF _Toc26409 </w:instrText>
          </w:r>
          <w:r>
            <w:fldChar w:fldCharType="separate"/>
          </w:r>
          <w:r>
            <w:t>6</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_Toc17356 </w:instrText>
          </w:r>
          <w:r>
            <w:rPr>
              <w:rFonts w:hint="default"/>
              <w:lang w:val="en-US" w:eastAsia="zh-CN"/>
            </w:rPr>
            <w:fldChar w:fldCharType="separate"/>
          </w:r>
          <w:r>
            <w:rPr>
              <w:rFonts w:hint="default"/>
              <w:lang w:eastAsia="zh-CN"/>
            </w:rPr>
            <w:t xml:space="preserve">1.3. </w:t>
          </w:r>
          <w:r>
            <w:rPr>
              <w:rFonts w:hint="eastAsia"/>
              <w:lang w:eastAsia="zh-CN"/>
            </w:rPr>
            <w:t>评价标准</w:t>
          </w:r>
          <w:r>
            <w:tab/>
          </w:r>
          <w:r>
            <w:fldChar w:fldCharType="begin"/>
          </w:r>
          <w:r>
            <w:instrText xml:space="preserve"> PAGEREF _Toc17356 </w:instrText>
          </w:r>
          <w:r>
            <w:fldChar w:fldCharType="separate"/>
          </w:r>
          <w:r>
            <w:t>8</w:t>
          </w:r>
          <w:r>
            <w:fldChar w:fldCharType="end"/>
          </w:r>
          <w:r>
            <w:rPr>
              <w:rFonts w:hint="default"/>
              <w:lang w:val="en-US" w:eastAsia="zh-CN"/>
            </w:rPr>
            <w:fldChar w:fldCharType="end"/>
          </w:r>
        </w:p>
        <w:p>
          <w:pPr>
            <w:pStyle w:val="16"/>
            <w:tabs>
              <w:tab w:val="right" w:leader="dot" w:pos="8306"/>
            </w:tabs>
          </w:pPr>
          <w:r>
            <w:rPr>
              <w:rFonts w:hint="default"/>
              <w:lang w:val="en-US" w:eastAsia="zh-CN"/>
            </w:rPr>
            <w:fldChar w:fldCharType="begin"/>
          </w:r>
          <w:r>
            <w:rPr>
              <w:rFonts w:hint="default"/>
              <w:lang w:val="en-US" w:eastAsia="zh-CN"/>
            </w:rPr>
            <w:instrText xml:space="preserve"> HYPERLINK \l _Toc5902 </w:instrText>
          </w:r>
          <w:r>
            <w:rPr>
              <w:rFonts w:hint="default"/>
              <w:lang w:val="en-US" w:eastAsia="zh-CN"/>
            </w:rPr>
            <w:fldChar w:fldCharType="separate"/>
          </w:r>
          <w:r>
            <w:rPr>
              <w:rFonts w:hint="default"/>
            </w:rPr>
            <w:t xml:space="preserve">2. </w:t>
          </w:r>
          <w:r>
            <w:t>原有项目工程概况</w:t>
          </w:r>
          <w:r>
            <w:tab/>
          </w:r>
          <w:r>
            <w:fldChar w:fldCharType="begin"/>
          </w:r>
          <w:r>
            <w:instrText xml:space="preserve"> PAGEREF _Toc5902 </w:instrText>
          </w:r>
          <w:r>
            <w:fldChar w:fldCharType="separate"/>
          </w:r>
          <w:r>
            <w:t>10</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_Toc3833 </w:instrText>
          </w:r>
          <w:r>
            <w:rPr>
              <w:rFonts w:hint="default"/>
              <w:lang w:val="en-US" w:eastAsia="zh-CN"/>
            </w:rPr>
            <w:fldChar w:fldCharType="separate"/>
          </w:r>
          <w:r>
            <w:rPr>
              <w:rFonts w:hint="default"/>
            </w:rPr>
            <w:t xml:space="preserve">2.1. </w:t>
          </w:r>
          <w:r>
            <w:rPr>
              <w:bCs/>
              <w:szCs w:val="24"/>
            </w:rPr>
            <w:t>项</w:t>
          </w:r>
          <w:r>
            <w:rPr>
              <w:rFonts w:hint="eastAsia" w:ascii="宋体" w:hAnsi="宋体" w:cs="宋体"/>
              <w:bCs/>
              <w:szCs w:val="24"/>
            </w:rPr>
            <w:t>目建设内容及规模</w:t>
          </w:r>
          <w:r>
            <w:tab/>
          </w:r>
          <w:r>
            <w:fldChar w:fldCharType="begin"/>
          </w:r>
          <w:r>
            <w:instrText xml:space="preserve"> PAGEREF _Toc3833 </w:instrText>
          </w:r>
          <w:r>
            <w:fldChar w:fldCharType="separate"/>
          </w:r>
          <w:r>
            <w:t>10</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_Toc2702 </w:instrText>
          </w:r>
          <w:r>
            <w:rPr>
              <w:rFonts w:hint="default"/>
              <w:lang w:val="en-US" w:eastAsia="zh-CN"/>
            </w:rPr>
            <w:fldChar w:fldCharType="separate"/>
          </w:r>
          <w:r>
            <w:rPr>
              <w:rFonts w:hint="default"/>
            </w:rPr>
            <w:t xml:space="preserve">2.2. </w:t>
          </w:r>
          <w:r>
            <w:t>交通量预测</w:t>
          </w:r>
          <w:r>
            <w:tab/>
          </w:r>
          <w:r>
            <w:fldChar w:fldCharType="begin"/>
          </w:r>
          <w:r>
            <w:instrText xml:space="preserve"> PAGEREF _Toc2702 </w:instrText>
          </w:r>
          <w:r>
            <w:fldChar w:fldCharType="separate"/>
          </w:r>
          <w:r>
            <w:t>11</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_Toc1151 </w:instrText>
          </w:r>
          <w:r>
            <w:rPr>
              <w:rFonts w:hint="default"/>
              <w:lang w:val="en-US" w:eastAsia="zh-CN"/>
            </w:rPr>
            <w:fldChar w:fldCharType="separate"/>
          </w:r>
          <w:r>
            <w:rPr>
              <w:rFonts w:hint="default"/>
            </w:rPr>
            <w:t xml:space="preserve">2.3. </w:t>
          </w:r>
          <w:r>
            <w:rPr>
              <w:rFonts w:hint="eastAsia"/>
            </w:rPr>
            <w:t>筑路材料和运输条件</w:t>
          </w:r>
          <w:r>
            <w:tab/>
          </w:r>
          <w:r>
            <w:fldChar w:fldCharType="begin"/>
          </w:r>
          <w:r>
            <w:instrText xml:space="preserve"> PAGEREF _Toc1151 </w:instrText>
          </w:r>
          <w:r>
            <w:fldChar w:fldCharType="separate"/>
          </w:r>
          <w:r>
            <w:t>12</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_Toc19602 </w:instrText>
          </w:r>
          <w:r>
            <w:rPr>
              <w:rFonts w:hint="default"/>
              <w:lang w:val="en-US" w:eastAsia="zh-CN"/>
            </w:rPr>
            <w:fldChar w:fldCharType="separate"/>
          </w:r>
          <w:r>
            <w:rPr>
              <w:rFonts w:hint="default"/>
              <w:lang w:val="en-US" w:eastAsia="zh-CN"/>
            </w:rPr>
            <w:t>2.4. 工程方案</w:t>
          </w:r>
          <w:r>
            <w:tab/>
          </w:r>
          <w:r>
            <w:fldChar w:fldCharType="begin"/>
          </w:r>
          <w:r>
            <w:instrText xml:space="preserve"> PAGEREF _Toc19602 </w:instrText>
          </w:r>
          <w:r>
            <w:fldChar w:fldCharType="separate"/>
          </w:r>
          <w:r>
            <w:t>12</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_Toc7897 </w:instrText>
          </w:r>
          <w:r>
            <w:rPr>
              <w:rFonts w:hint="default"/>
              <w:lang w:val="en-US" w:eastAsia="zh-CN"/>
            </w:rPr>
            <w:fldChar w:fldCharType="separate"/>
          </w:r>
          <w:r>
            <w:rPr>
              <w:rFonts w:hint="default"/>
              <w:bCs/>
              <w:szCs w:val="24"/>
            </w:rPr>
            <w:t xml:space="preserve">2.5. </w:t>
          </w:r>
          <w:r>
            <w:rPr>
              <w:rFonts w:hint="eastAsia"/>
              <w:bCs/>
              <w:szCs w:val="24"/>
            </w:rPr>
            <w:t>土石方工程</w:t>
          </w:r>
          <w:r>
            <w:tab/>
          </w:r>
          <w:r>
            <w:fldChar w:fldCharType="begin"/>
          </w:r>
          <w:r>
            <w:instrText xml:space="preserve"> PAGEREF _Toc7897 </w:instrText>
          </w:r>
          <w:r>
            <w:fldChar w:fldCharType="separate"/>
          </w:r>
          <w:r>
            <w:t>12</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_Toc1011 </w:instrText>
          </w:r>
          <w:r>
            <w:rPr>
              <w:rFonts w:hint="default"/>
              <w:lang w:val="en-US" w:eastAsia="zh-CN"/>
            </w:rPr>
            <w:fldChar w:fldCharType="separate"/>
          </w:r>
          <w:r>
            <w:rPr>
              <w:rFonts w:hint="default"/>
              <w:bCs/>
              <w:szCs w:val="24"/>
              <w:lang w:val="en-US" w:eastAsia="zh-CN"/>
            </w:rPr>
            <w:t xml:space="preserve">2.6. </w:t>
          </w:r>
          <w:r>
            <w:rPr>
              <w:rFonts w:hint="eastAsia"/>
              <w:bCs/>
              <w:szCs w:val="24"/>
              <w:lang w:val="en-US" w:eastAsia="zh-CN"/>
            </w:rPr>
            <w:t>原辅材料</w:t>
          </w:r>
          <w:r>
            <w:tab/>
          </w:r>
          <w:r>
            <w:fldChar w:fldCharType="begin"/>
          </w:r>
          <w:r>
            <w:instrText xml:space="preserve"> PAGEREF _Toc1011 </w:instrText>
          </w:r>
          <w:r>
            <w:fldChar w:fldCharType="separate"/>
          </w:r>
          <w:r>
            <w:t>13</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_Toc28292 </w:instrText>
          </w:r>
          <w:r>
            <w:rPr>
              <w:rFonts w:hint="default"/>
              <w:lang w:val="en-US" w:eastAsia="zh-CN"/>
            </w:rPr>
            <w:fldChar w:fldCharType="separate"/>
          </w:r>
          <w:r>
            <w:rPr>
              <w:rFonts w:hint="default"/>
              <w:bCs/>
              <w:szCs w:val="24"/>
            </w:rPr>
            <w:t xml:space="preserve">2.7. </w:t>
          </w:r>
          <w:r>
            <w:rPr>
              <w:rFonts w:hint="eastAsia"/>
              <w:bCs/>
              <w:szCs w:val="24"/>
              <w:lang w:val="en-US" w:eastAsia="zh-CN"/>
            </w:rPr>
            <w:t>临时占地</w:t>
          </w:r>
          <w:r>
            <w:tab/>
          </w:r>
          <w:r>
            <w:fldChar w:fldCharType="begin"/>
          </w:r>
          <w:r>
            <w:instrText xml:space="preserve"> PAGEREF _Toc28292 </w:instrText>
          </w:r>
          <w:r>
            <w:fldChar w:fldCharType="separate"/>
          </w:r>
          <w:r>
            <w:t>13</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_Toc6175 </w:instrText>
          </w:r>
          <w:r>
            <w:rPr>
              <w:rFonts w:hint="default"/>
              <w:lang w:val="en-US" w:eastAsia="zh-CN"/>
            </w:rPr>
            <w:fldChar w:fldCharType="separate"/>
          </w:r>
          <w:r>
            <w:rPr>
              <w:rFonts w:hint="default"/>
              <w:lang w:eastAsia="zh-CN"/>
            </w:rPr>
            <w:t xml:space="preserve">2.8. </w:t>
          </w:r>
          <w:r>
            <w:rPr>
              <w:lang w:eastAsia="zh-CN"/>
            </w:rPr>
            <w:t>变更前工艺流程及产污环节</w:t>
          </w:r>
          <w:r>
            <w:tab/>
          </w:r>
          <w:r>
            <w:fldChar w:fldCharType="begin"/>
          </w:r>
          <w:r>
            <w:instrText xml:space="preserve"> PAGEREF _Toc6175 </w:instrText>
          </w:r>
          <w:r>
            <w:fldChar w:fldCharType="separate"/>
          </w:r>
          <w:r>
            <w:t>14</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_Toc31385 </w:instrText>
          </w:r>
          <w:r>
            <w:rPr>
              <w:rFonts w:hint="default"/>
              <w:lang w:val="en-US" w:eastAsia="zh-CN"/>
            </w:rPr>
            <w:fldChar w:fldCharType="separate"/>
          </w:r>
          <w:r>
            <w:rPr>
              <w:rFonts w:hint="default"/>
              <w:lang w:eastAsia="zh-CN"/>
            </w:rPr>
            <w:t xml:space="preserve">2.9. </w:t>
          </w:r>
          <w:r>
            <w:t>污染源排放情况</w:t>
          </w:r>
          <w:r>
            <w:tab/>
          </w:r>
          <w:r>
            <w:fldChar w:fldCharType="begin"/>
          </w:r>
          <w:r>
            <w:instrText xml:space="preserve"> PAGEREF _Toc31385 </w:instrText>
          </w:r>
          <w:r>
            <w:fldChar w:fldCharType="separate"/>
          </w:r>
          <w:r>
            <w:t>14</w:t>
          </w:r>
          <w:r>
            <w:fldChar w:fldCharType="end"/>
          </w:r>
          <w:r>
            <w:rPr>
              <w:rFonts w:hint="default"/>
              <w:lang w:val="en-US" w:eastAsia="zh-CN"/>
            </w:rPr>
            <w:fldChar w:fldCharType="end"/>
          </w:r>
        </w:p>
        <w:p>
          <w:pPr>
            <w:pStyle w:val="16"/>
            <w:tabs>
              <w:tab w:val="right" w:leader="dot" w:pos="8306"/>
            </w:tabs>
          </w:pPr>
          <w:r>
            <w:rPr>
              <w:rFonts w:hint="default"/>
              <w:lang w:val="en-US" w:eastAsia="zh-CN"/>
            </w:rPr>
            <w:fldChar w:fldCharType="begin"/>
          </w:r>
          <w:r>
            <w:rPr>
              <w:rFonts w:hint="default"/>
              <w:lang w:val="en-US" w:eastAsia="zh-CN"/>
            </w:rPr>
            <w:instrText xml:space="preserve"> HYPERLINK \l _Toc9151 </w:instrText>
          </w:r>
          <w:r>
            <w:rPr>
              <w:rFonts w:hint="default"/>
              <w:lang w:val="en-US" w:eastAsia="zh-CN"/>
            </w:rPr>
            <w:fldChar w:fldCharType="separate"/>
          </w:r>
          <w:r>
            <w:rPr>
              <w:rFonts w:hint="default"/>
            </w:rPr>
            <w:t xml:space="preserve">3. </w:t>
          </w:r>
          <w:r>
            <w:t>变更项目基本概况</w:t>
          </w:r>
          <w:r>
            <w:tab/>
          </w:r>
          <w:r>
            <w:fldChar w:fldCharType="begin"/>
          </w:r>
          <w:r>
            <w:instrText xml:space="preserve"> PAGEREF _Toc9151 </w:instrText>
          </w:r>
          <w:r>
            <w:fldChar w:fldCharType="separate"/>
          </w:r>
          <w:r>
            <w:t>17</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_Toc11068 </w:instrText>
          </w:r>
          <w:r>
            <w:rPr>
              <w:rFonts w:hint="default"/>
              <w:lang w:val="en-US" w:eastAsia="zh-CN"/>
            </w:rPr>
            <w:fldChar w:fldCharType="separate"/>
          </w:r>
          <w:r>
            <w:rPr>
              <w:rFonts w:hint="default"/>
            </w:rPr>
            <w:t xml:space="preserve">3.1. </w:t>
          </w:r>
          <w:r>
            <w:t>变更内容</w:t>
          </w:r>
          <w:r>
            <w:tab/>
          </w:r>
          <w:r>
            <w:fldChar w:fldCharType="begin"/>
          </w:r>
          <w:r>
            <w:instrText xml:space="preserve"> PAGEREF _Toc11068 </w:instrText>
          </w:r>
          <w:r>
            <w:fldChar w:fldCharType="separate"/>
          </w:r>
          <w:r>
            <w:t>17</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_Toc28133 </w:instrText>
          </w:r>
          <w:r>
            <w:rPr>
              <w:rFonts w:hint="default"/>
              <w:lang w:val="en-US" w:eastAsia="zh-CN"/>
            </w:rPr>
            <w:fldChar w:fldCharType="separate"/>
          </w:r>
          <w:r>
            <w:rPr>
              <w:rFonts w:hint="default"/>
              <w:lang w:val="en-US" w:eastAsia="zh-CN"/>
            </w:rPr>
            <w:t xml:space="preserve">3.2. </w:t>
          </w:r>
          <w:r>
            <w:rPr>
              <w:rFonts w:hint="eastAsia"/>
              <w:lang w:val="en-US" w:eastAsia="zh-CN"/>
            </w:rPr>
            <w:t>变更原因</w:t>
          </w:r>
          <w:r>
            <w:tab/>
          </w:r>
          <w:r>
            <w:fldChar w:fldCharType="begin"/>
          </w:r>
          <w:r>
            <w:instrText xml:space="preserve"> PAGEREF _Toc28133 </w:instrText>
          </w:r>
          <w:r>
            <w:fldChar w:fldCharType="separate"/>
          </w:r>
          <w:r>
            <w:t>17</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_Toc13497 </w:instrText>
          </w:r>
          <w:r>
            <w:rPr>
              <w:rFonts w:hint="default"/>
              <w:lang w:val="en-US" w:eastAsia="zh-CN"/>
            </w:rPr>
            <w:fldChar w:fldCharType="separate"/>
          </w:r>
          <w:r>
            <w:rPr>
              <w:rFonts w:hint="default"/>
              <w:lang w:val="en-US" w:eastAsia="zh-CN"/>
            </w:rPr>
            <w:t xml:space="preserve">3.3. </w:t>
          </w:r>
          <w:r>
            <w:rPr>
              <w:rFonts w:hint="eastAsia"/>
              <w:lang w:val="en-US" w:eastAsia="zh-CN"/>
            </w:rPr>
            <w:t>变更后堆场概述</w:t>
          </w:r>
          <w:r>
            <w:tab/>
          </w:r>
          <w:r>
            <w:fldChar w:fldCharType="begin"/>
          </w:r>
          <w:r>
            <w:instrText xml:space="preserve"> PAGEREF _Toc13497 </w:instrText>
          </w:r>
          <w:r>
            <w:fldChar w:fldCharType="separate"/>
          </w:r>
          <w:r>
            <w:t>19</w:t>
          </w:r>
          <w:r>
            <w:fldChar w:fldCharType="end"/>
          </w:r>
          <w:r>
            <w:rPr>
              <w:rFonts w:hint="default"/>
              <w:lang w:val="en-US" w:eastAsia="zh-CN"/>
            </w:rPr>
            <w:fldChar w:fldCharType="end"/>
          </w:r>
        </w:p>
        <w:p>
          <w:pPr>
            <w:pStyle w:val="16"/>
            <w:tabs>
              <w:tab w:val="right" w:leader="dot" w:pos="8306"/>
            </w:tabs>
          </w:pPr>
          <w:r>
            <w:rPr>
              <w:rFonts w:hint="default"/>
              <w:lang w:val="en-US" w:eastAsia="zh-CN"/>
            </w:rPr>
            <w:fldChar w:fldCharType="begin"/>
          </w:r>
          <w:r>
            <w:rPr>
              <w:rFonts w:hint="default"/>
              <w:lang w:val="en-US" w:eastAsia="zh-CN"/>
            </w:rPr>
            <w:instrText xml:space="preserve"> HYPERLINK \l _Toc9542 </w:instrText>
          </w:r>
          <w:r>
            <w:rPr>
              <w:rFonts w:hint="default"/>
              <w:lang w:val="en-US" w:eastAsia="zh-CN"/>
            </w:rPr>
            <w:fldChar w:fldCharType="separate"/>
          </w:r>
          <w:r>
            <w:rPr>
              <w:rFonts w:hint="default"/>
            </w:rPr>
            <w:t xml:space="preserve">4. </w:t>
          </w:r>
          <w:r>
            <w:t>变更后工程分析</w:t>
          </w:r>
          <w:r>
            <w:tab/>
          </w:r>
          <w:r>
            <w:fldChar w:fldCharType="begin"/>
          </w:r>
          <w:r>
            <w:instrText xml:space="preserve"> PAGEREF _Toc9542 </w:instrText>
          </w:r>
          <w:r>
            <w:fldChar w:fldCharType="separate"/>
          </w:r>
          <w:r>
            <w:t>21</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_Toc28729 </w:instrText>
          </w:r>
          <w:r>
            <w:rPr>
              <w:rFonts w:hint="default"/>
              <w:lang w:val="en-US" w:eastAsia="zh-CN"/>
            </w:rPr>
            <w:fldChar w:fldCharType="separate"/>
          </w:r>
          <w:r>
            <w:rPr>
              <w:rFonts w:hint="default"/>
              <w:lang w:eastAsia="zh-CN"/>
            </w:rPr>
            <w:t xml:space="preserve">4.1. </w:t>
          </w:r>
          <w:r>
            <w:rPr>
              <w:rFonts w:hint="eastAsia"/>
              <w:lang w:val="en-US" w:eastAsia="zh-CN"/>
            </w:rPr>
            <w:t>工艺流程</w:t>
          </w:r>
          <w:r>
            <w:tab/>
          </w:r>
          <w:r>
            <w:fldChar w:fldCharType="begin"/>
          </w:r>
          <w:r>
            <w:instrText xml:space="preserve"> PAGEREF _Toc28729 </w:instrText>
          </w:r>
          <w:r>
            <w:fldChar w:fldCharType="separate"/>
          </w:r>
          <w:r>
            <w:t>21</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_Toc13951 </w:instrText>
          </w:r>
          <w:r>
            <w:rPr>
              <w:rFonts w:hint="default"/>
              <w:lang w:val="en-US" w:eastAsia="zh-CN"/>
            </w:rPr>
            <w:fldChar w:fldCharType="separate"/>
          </w:r>
          <w:r>
            <w:rPr>
              <w:rFonts w:hint="default"/>
              <w:lang w:eastAsia="zh-CN"/>
            </w:rPr>
            <w:t xml:space="preserve">4.2. </w:t>
          </w:r>
          <w:r>
            <w:rPr>
              <w:rFonts w:hint="eastAsia"/>
              <w:lang w:val="en-US" w:eastAsia="zh-CN"/>
            </w:rPr>
            <w:t>施工期工程分析</w:t>
          </w:r>
          <w:r>
            <w:tab/>
          </w:r>
          <w:r>
            <w:fldChar w:fldCharType="begin"/>
          </w:r>
          <w:r>
            <w:instrText xml:space="preserve"> PAGEREF _Toc13951 </w:instrText>
          </w:r>
          <w:r>
            <w:fldChar w:fldCharType="separate"/>
          </w:r>
          <w:r>
            <w:t>21</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_Toc14202 </w:instrText>
          </w:r>
          <w:r>
            <w:rPr>
              <w:rFonts w:hint="default"/>
              <w:lang w:val="en-US" w:eastAsia="zh-CN"/>
            </w:rPr>
            <w:fldChar w:fldCharType="separate"/>
          </w:r>
          <w:r>
            <w:rPr>
              <w:rFonts w:hint="default"/>
              <w:lang w:eastAsia="zh-CN"/>
            </w:rPr>
            <w:t xml:space="preserve">4.3. </w:t>
          </w:r>
          <w:r>
            <w:rPr>
              <w:rFonts w:hint="eastAsia"/>
              <w:lang w:eastAsia="zh-CN"/>
            </w:rPr>
            <w:t>环保设施变更</w:t>
          </w:r>
          <w:r>
            <w:tab/>
          </w:r>
          <w:r>
            <w:fldChar w:fldCharType="begin"/>
          </w:r>
          <w:r>
            <w:instrText xml:space="preserve"> PAGEREF _Toc14202 </w:instrText>
          </w:r>
          <w:r>
            <w:fldChar w:fldCharType="separate"/>
          </w:r>
          <w:r>
            <w:t>26</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_Toc7567 </w:instrText>
          </w:r>
          <w:r>
            <w:rPr>
              <w:rFonts w:hint="default"/>
              <w:lang w:val="en-US" w:eastAsia="zh-CN"/>
            </w:rPr>
            <w:fldChar w:fldCharType="separate"/>
          </w:r>
          <w:r>
            <w:rPr>
              <w:rFonts w:hint="default"/>
              <w:lang w:eastAsia="zh-CN"/>
            </w:rPr>
            <w:t xml:space="preserve">4.4. </w:t>
          </w:r>
          <w:r>
            <w:t>变更后污染物汇总</w:t>
          </w:r>
          <w:r>
            <w:tab/>
          </w:r>
          <w:r>
            <w:fldChar w:fldCharType="begin"/>
          </w:r>
          <w:r>
            <w:instrText xml:space="preserve"> PAGEREF _Toc7567 </w:instrText>
          </w:r>
          <w:r>
            <w:fldChar w:fldCharType="separate"/>
          </w:r>
          <w:r>
            <w:t>27</w:t>
          </w:r>
          <w:r>
            <w:fldChar w:fldCharType="end"/>
          </w:r>
          <w:r>
            <w:rPr>
              <w:rFonts w:hint="default"/>
              <w:lang w:val="en-US" w:eastAsia="zh-CN"/>
            </w:rPr>
            <w:fldChar w:fldCharType="end"/>
          </w:r>
        </w:p>
        <w:p>
          <w:pPr>
            <w:pStyle w:val="16"/>
            <w:tabs>
              <w:tab w:val="right" w:leader="dot" w:pos="8306"/>
            </w:tabs>
          </w:pPr>
          <w:r>
            <w:rPr>
              <w:rFonts w:hint="default"/>
              <w:lang w:val="en-US" w:eastAsia="zh-CN"/>
            </w:rPr>
            <w:fldChar w:fldCharType="begin"/>
          </w:r>
          <w:r>
            <w:rPr>
              <w:rFonts w:hint="default"/>
              <w:lang w:val="en-US" w:eastAsia="zh-CN"/>
            </w:rPr>
            <w:instrText xml:space="preserve"> HYPERLINK \l _Toc17138 </w:instrText>
          </w:r>
          <w:r>
            <w:rPr>
              <w:rFonts w:hint="default"/>
              <w:lang w:val="en-US" w:eastAsia="zh-CN"/>
            </w:rPr>
            <w:fldChar w:fldCharType="separate"/>
          </w:r>
          <w:r>
            <w:rPr>
              <w:rFonts w:hint="default"/>
              <w:lang w:eastAsia="zh-CN"/>
            </w:rPr>
            <w:t xml:space="preserve">5. </w:t>
          </w:r>
          <w:r>
            <w:t>环境质量现状</w:t>
          </w:r>
          <w:r>
            <w:rPr>
              <w:rFonts w:hint="eastAsia"/>
              <w:lang w:eastAsia="zh-CN"/>
            </w:rPr>
            <w:t>调查</w:t>
          </w:r>
          <w:r>
            <w:rPr>
              <w:rFonts w:hint="eastAsia"/>
            </w:rPr>
            <w:t>与评价</w:t>
          </w:r>
          <w:r>
            <w:tab/>
          </w:r>
          <w:r>
            <w:fldChar w:fldCharType="begin"/>
          </w:r>
          <w:r>
            <w:instrText xml:space="preserve"> PAGEREF _Toc17138 </w:instrText>
          </w:r>
          <w:r>
            <w:fldChar w:fldCharType="separate"/>
          </w:r>
          <w:r>
            <w:t>28</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_Toc21460 </w:instrText>
          </w:r>
          <w:r>
            <w:rPr>
              <w:rFonts w:hint="default"/>
              <w:lang w:val="en-US" w:eastAsia="zh-CN"/>
            </w:rPr>
            <w:fldChar w:fldCharType="separate"/>
          </w:r>
          <w:r>
            <w:rPr>
              <w:rFonts w:hint="default"/>
            </w:rPr>
            <w:t xml:space="preserve">5.1. </w:t>
          </w:r>
          <w:r>
            <w:rPr>
              <w:rFonts w:hint="eastAsia"/>
            </w:rPr>
            <w:t>自然环境现状调查</w:t>
          </w:r>
          <w:r>
            <w:tab/>
          </w:r>
          <w:r>
            <w:fldChar w:fldCharType="begin"/>
          </w:r>
          <w:r>
            <w:instrText xml:space="preserve"> PAGEREF _Toc21460 </w:instrText>
          </w:r>
          <w:r>
            <w:fldChar w:fldCharType="separate"/>
          </w:r>
          <w:r>
            <w:t>28</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_Toc17977 </w:instrText>
          </w:r>
          <w:r>
            <w:rPr>
              <w:rFonts w:hint="default"/>
              <w:lang w:val="en-US" w:eastAsia="zh-CN"/>
            </w:rPr>
            <w:fldChar w:fldCharType="separate"/>
          </w:r>
          <w:r>
            <w:rPr>
              <w:rFonts w:hint="default"/>
            </w:rPr>
            <w:t xml:space="preserve">5.2. </w:t>
          </w:r>
          <w:r>
            <w:rPr>
              <w:rFonts w:hint="eastAsia"/>
            </w:rPr>
            <w:t>环境质量现状调查与评价</w:t>
          </w:r>
          <w:r>
            <w:tab/>
          </w:r>
          <w:r>
            <w:fldChar w:fldCharType="begin"/>
          </w:r>
          <w:r>
            <w:instrText xml:space="preserve"> PAGEREF _Toc17977 </w:instrText>
          </w:r>
          <w:r>
            <w:fldChar w:fldCharType="separate"/>
          </w:r>
          <w:r>
            <w:t>36</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_Toc18266 </w:instrText>
          </w:r>
          <w:r>
            <w:rPr>
              <w:rFonts w:hint="default"/>
              <w:lang w:val="en-US" w:eastAsia="zh-CN"/>
            </w:rPr>
            <w:fldChar w:fldCharType="separate"/>
          </w:r>
          <w:r>
            <w:rPr>
              <w:rFonts w:hint="default"/>
            </w:rPr>
            <w:t xml:space="preserve">5.3. </w:t>
          </w:r>
          <w:r>
            <w:t>环境保护目标</w:t>
          </w:r>
          <w:r>
            <w:tab/>
          </w:r>
          <w:r>
            <w:fldChar w:fldCharType="begin"/>
          </w:r>
          <w:r>
            <w:instrText xml:space="preserve"> PAGEREF _Toc18266 </w:instrText>
          </w:r>
          <w:r>
            <w:fldChar w:fldCharType="separate"/>
          </w:r>
          <w:r>
            <w:t>41</w:t>
          </w:r>
          <w:r>
            <w:fldChar w:fldCharType="end"/>
          </w:r>
          <w:r>
            <w:rPr>
              <w:rFonts w:hint="default"/>
              <w:lang w:val="en-US" w:eastAsia="zh-CN"/>
            </w:rPr>
            <w:fldChar w:fldCharType="end"/>
          </w:r>
        </w:p>
        <w:p>
          <w:pPr>
            <w:pStyle w:val="16"/>
            <w:tabs>
              <w:tab w:val="right" w:leader="dot" w:pos="8306"/>
            </w:tabs>
          </w:pPr>
          <w:r>
            <w:rPr>
              <w:rFonts w:hint="default"/>
              <w:lang w:val="en-US" w:eastAsia="zh-CN"/>
            </w:rPr>
            <w:fldChar w:fldCharType="begin"/>
          </w:r>
          <w:r>
            <w:rPr>
              <w:rFonts w:hint="default"/>
              <w:lang w:val="en-US" w:eastAsia="zh-CN"/>
            </w:rPr>
            <w:instrText xml:space="preserve"> HYPERLINK \l _Toc9403 </w:instrText>
          </w:r>
          <w:r>
            <w:rPr>
              <w:rFonts w:hint="default"/>
              <w:lang w:val="en-US" w:eastAsia="zh-CN"/>
            </w:rPr>
            <w:fldChar w:fldCharType="separate"/>
          </w:r>
          <w:r>
            <w:rPr>
              <w:rFonts w:hint="default"/>
              <w:lang w:eastAsia="zh-CN"/>
            </w:rPr>
            <w:t xml:space="preserve">6. </w:t>
          </w:r>
          <w:r>
            <w:t>污染防治措施及影响分析</w:t>
          </w:r>
          <w:r>
            <w:tab/>
          </w:r>
          <w:r>
            <w:fldChar w:fldCharType="begin"/>
          </w:r>
          <w:r>
            <w:instrText xml:space="preserve"> PAGEREF _Toc9403 </w:instrText>
          </w:r>
          <w:r>
            <w:fldChar w:fldCharType="separate"/>
          </w:r>
          <w:r>
            <w:t>44</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_Toc27964 </w:instrText>
          </w:r>
          <w:r>
            <w:rPr>
              <w:rFonts w:hint="default"/>
              <w:lang w:val="en-US" w:eastAsia="zh-CN"/>
            </w:rPr>
            <w:fldChar w:fldCharType="separate"/>
          </w:r>
          <w:r>
            <w:rPr>
              <w:rFonts w:hint="default"/>
              <w:lang w:eastAsia="zh-CN"/>
            </w:rPr>
            <w:t xml:space="preserve">6.1. </w:t>
          </w:r>
          <w:r>
            <w:rPr>
              <w:rFonts w:hint="eastAsia"/>
            </w:rPr>
            <w:t>大气环境</w:t>
          </w:r>
          <w:r>
            <w:t>影响分析</w:t>
          </w:r>
          <w:r>
            <w:tab/>
          </w:r>
          <w:r>
            <w:fldChar w:fldCharType="begin"/>
          </w:r>
          <w:r>
            <w:instrText xml:space="preserve"> PAGEREF _Toc27964 </w:instrText>
          </w:r>
          <w:r>
            <w:fldChar w:fldCharType="separate"/>
          </w:r>
          <w:r>
            <w:t>44</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_Toc10492 </w:instrText>
          </w:r>
          <w:r>
            <w:rPr>
              <w:rFonts w:hint="default"/>
              <w:lang w:val="en-US" w:eastAsia="zh-CN"/>
            </w:rPr>
            <w:fldChar w:fldCharType="separate"/>
          </w:r>
          <w:r>
            <w:rPr>
              <w:rFonts w:hint="default"/>
            </w:rPr>
            <w:t>6.2. 水环境影响分析</w:t>
          </w:r>
          <w:r>
            <w:tab/>
          </w:r>
          <w:r>
            <w:fldChar w:fldCharType="begin"/>
          </w:r>
          <w:r>
            <w:instrText xml:space="preserve"> PAGEREF _Toc10492 </w:instrText>
          </w:r>
          <w:r>
            <w:fldChar w:fldCharType="separate"/>
          </w:r>
          <w:r>
            <w:t>48</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_Toc20577 </w:instrText>
          </w:r>
          <w:r>
            <w:rPr>
              <w:rFonts w:hint="default"/>
              <w:lang w:val="en-US" w:eastAsia="zh-CN"/>
            </w:rPr>
            <w:fldChar w:fldCharType="separate"/>
          </w:r>
          <w:r>
            <w:rPr>
              <w:rFonts w:hint="default"/>
              <w:lang w:eastAsia="zh-CN"/>
            </w:rPr>
            <w:t xml:space="preserve">6.3. </w:t>
          </w:r>
          <w:r>
            <w:rPr>
              <w:rFonts w:hint="eastAsia"/>
              <w:lang w:eastAsia="zh-CN"/>
            </w:rPr>
            <w:t>声</w:t>
          </w:r>
          <w:r>
            <w:rPr>
              <w:rFonts w:hint="eastAsia"/>
            </w:rPr>
            <w:t>环境</w:t>
          </w:r>
          <w:r>
            <w:t>影响分析</w:t>
          </w:r>
          <w:r>
            <w:tab/>
          </w:r>
          <w:r>
            <w:fldChar w:fldCharType="begin"/>
          </w:r>
          <w:r>
            <w:instrText xml:space="preserve"> PAGEREF _Toc20577 </w:instrText>
          </w:r>
          <w:r>
            <w:fldChar w:fldCharType="separate"/>
          </w:r>
          <w:r>
            <w:t>49</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_Toc15092 </w:instrText>
          </w:r>
          <w:r>
            <w:rPr>
              <w:rFonts w:hint="default"/>
              <w:lang w:val="en-US" w:eastAsia="zh-CN"/>
            </w:rPr>
            <w:fldChar w:fldCharType="separate"/>
          </w:r>
          <w:r>
            <w:rPr>
              <w:rFonts w:hint="default" w:ascii="Times New Roman" w:hAnsi="Times New Roman" w:cs="Times New Roman"/>
              <w:lang w:eastAsia="zh-CN"/>
            </w:rPr>
            <w:t xml:space="preserve">6.4. </w:t>
          </w:r>
          <w:r>
            <w:rPr>
              <w:rFonts w:hint="eastAsia" w:ascii="Times New Roman" w:hAnsi="Times New Roman" w:cs="Times New Roman"/>
              <w:lang w:eastAsia="zh-CN"/>
            </w:rPr>
            <w:t>固体废物</w:t>
          </w:r>
          <w:r>
            <w:tab/>
          </w:r>
          <w:r>
            <w:fldChar w:fldCharType="begin"/>
          </w:r>
          <w:r>
            <w:instrText xml:space="preserve"> PAGEREF _Toc15092 </w:instrText>
          </w:r>
          <w:r>
            <w:fldChar w:fldCharType="separate"/>
          </w:r>
          <w:r>
            <w:t>49</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_Toc18149 </w:instrText>
          </w:r>
          <w:r>
            <w:rPr>
              <w:rFonts w:hint="default"/>
              <w:lang w:val="en-US" w:eastAsia="zh-CN"/>
            </w:rPr>
            <w:fldChar w:fldCharType="separate"/>
          </w:r>
          <w:r>
            <w:rPr>
              <w:rFonts w:hint="default"/>
            </w:rPr>
            <w:t xml:space="preserve">6.5. </w:t>
          </w:r>
          <w:r>
            <w:rPr>
              <w:rFonts w:hint="eastAsia"/>
              <w:bCs/>
            </w:rPr>
            <w:t>生态环境影响</w:t>
          </w:r>
          <w:r>
            <w:tab/>
          </w:r>
          <w:r>
            <w:fldChar w:fldCharType="begin"/>
          </w:r>
          <w:r>
            <w:instrText xml:space="preserve"> PAGEREF _Toc18149 </w:instrText>
          </w:r>
          <w:r>
            <w:fldChar w:fldCharType="separate"/>
          </w:r>
          <w:r>
            <w:t>50</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_Toc13899 </w:instrText>
          </w:r>
          <w:r>
            <w:rPr>
              <w:rFonts w:hint="default"/>
              <w:lang w:val="en-US" w:eastAsia="zh-CN"/>
            </w:rPr>
            <w:fldChar w:fldCharType="separate"/>
          </w:r>
          <w:r>
            <w:rPr>
              <w:rFonts w:hint="default"/>
            </w:rPr>
            <w:t xml:space="preserve">6.6. </w:t>
          </w:r>
          <w:r>
            <w:t>变更后工程总量控制</w:t>
          </w:r>
          <w:r>
            <w:tab/>
          </w:r>
          <w:r>
            <w:fldChar w:fldCharType="begin"/>
          </w:r>
          <w:r>
            <w:instrText xml:space="preserve"> PAGEREF _Toc13899 </w:instrText>
          </w:r>
          <w:r>
            <w:fldChar w:fldCharType="separate"/>
          </w:r>
          <w:r>
            <w:t>50</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_Toc3039 </w:instrText>
          </w:r>
          <w:r>
            <w:rPr>
              <w:rFonts w:hint="default"/>
              <w:lang w:val="en-US" w:eastAsia="zh-CN"/>
            </w:rPr>
            <w:fldChar w:fldCharType="separate"/>
          </w:r>
          <w:r>
            <w:rPr>
              <w:rFonts w:hint="default"/>
            </w:rPr>
            <w:t xml:space="preserve">6.7. </w:t>
          </w:r>
          <w:r>
            <w:t>环保投资估算</w:t>
          </w:r>
          <w:r>
            <w:tab/>
          </w:r>
          <w:r>
            <w:fldChar w:fldCharType="begin"/>
          </w:r>
          <w:r>
            <w:instrText xml:space="preserve"> PAGEREF _Toc3039 </w:instrText>
          </w:r>
          <w:r>
            <w:fldChar w:fldCharType="separate"/>
          </w:r>
          <w:r>
            <w:t>51</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_Toc18304 </w:instrText>
          </w:r>
          <w:r>
            <w:rPr>
              <w:rFonts w:hint="default"/>
              <w:lang w:val="en-US" w:eastAsia="zh-CN"/>
            </w:rPr>
            <w:fldChar w:fldCharType="separate"/>
          </w:r>
          <w:r>
            <w:rPr>
              <w:rFonts w:hint="default"/>
            </w:rPr>
            <w:t xml:space="preserve">6.8. </w:t>
          </w:r>
          <w:r>
            <w:t>环保竣工验收</w:t>
          </w:r>
          <w:r>
            <w:tab/>
          </w:r>
          <w:r>
            <w:fldChar w:fldCharType="begin"/>
          </w:r>
          <w:r>
            <w:instrText xml:space="preserve"> PAGEREF _Toc18304 </w:instrText>
          </w:r>
          <w:r>
            <w:fldChar w:fldCharType="separate"/>
          </w:r>
          <w:r>
            <w:t>51</w:t>
          </w:r>
          <w:r>
            <w:fldChar w:fldCharType="end"/>
          </w:r>
          <w:r>
            <w:rPr>
              <w:rFonts w:hint="default"/>
              <w:lang w:val="en-US" w:eastAsia="zh-CN"/>
            </w:rPr>
            <w:fldChar w:fldCharType="end"/>
          </w:r>
        </w:p>
        <w:p>
          <w:pPr>
            <w:pStyle w:val="16"/>
            <w:tabs>
              <w:tab w:val="right" w:leader="dot" w:pos="8306"/>
            </w:tabs>
          </w:pPr>
          <w:r>
            <w:rPr>
              <w:rFonts w:hint="default"/>
              <w:lang w:val="en-US" w:eastAsia="zh-CN"/>
            </w:rPr>
            <w:fldChar w:fldCharType="begin"/>
          </w:r>
          <w:r>
            <w:rPr>
              <w:rFonts w:hint="default"/>
              <w:lang w:val="en-US" w:eastAsia="zh-CN"/>
            </w:rPr>
            <w:instrText xml:space="preserve"> HYPERLINK \l _Toc10356 </w:instrText>
          </w:r>
          <w:r>
            <w:rPr>
              <w:rFonts w:hint="default"/>
              <w:lang w:val="en-US" w:eastAsia="zh-CN"/>
            </w:rPr>
            <w:fldChar w:fldCharType="separate"/>
          </w:r>
          <w:r>
            <w:rPr>
              <w:rFonts w:hint="default"/>
            </w:rPr>
            <w:t xml:space="preserve">7. </w:t>
          </w:r>
          <w:r>
            <w:t>结论与建议</w:t>
          </w:r>
          <w:r>
            <w:tab/>
          </w:r>
          <w:r>
            <w:fldChar w:fldCharType="begin"/>
          </w:r>
          <w:r>
            <w:instrText xml:space="preserve"> PAGEREF _Toc10356 </w:instrText>
          </w:r>
          <w:r>
            <w:fldChar w:fldCharType="separate"/>
          </w:r>
          <w:r>
            <w:t>53</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_Toc12097 </w:instrText>
          </w:r>
          <w:r>
            <w:rPr>
              <w:rFonts w:hint="default"/>
              <w:lang w:val="en-US" w:eastAsia="zh-CN"/>
            </w:rPr>
            <w:fldChar w:fldCharType="separate"/>
          </w:r>
          <w:r>
            <w:rPr>
              <w:rFonts w:hint="default"/>
            </w:rPr>
            <w:t xml:space="preserve">7.1. </w:t>
          </w:r>
          <w:r>
            <w:t>结论</w:t>
          </w:r>
          <w:r>
            <w:tab/>
          </w:r>
          <w:r>
            <w:fldChar w:fldCharType="begin"/>
          </w:r>
          <w:r>
            <w:instrText xml:space="preserve"> PAGEREF _Toc12097 </w:instrText>
          </w:r>
          <w:r>
            <w:fldChar w:fldCharType="separate"/>
          </w:r>
          <w:r>
            <w:t>53</w:t>
          </w:r>
          <w:r>
            <w:fldChar w:fldCharType="end"/>
          </w:r>
          <w:r>
            <w:rPr>
              <w:rFonts w:hint="default"/>
              <w:lang w:val="en-US" w:eastAsia="zh-CN"/>
            </w:rPr>
            <w:fldChar w:fldCharType="end"/>
          </w:r>
        </w:p>
        <w:p>
          <w:pPr>
            <w:pStyle w:val="17"/>
            <w:tabs>
              <w:tab w:val="right" w:leader="dot" w:pos="8306"/>
            </w:tabs>
          </w:pPr>
          <w:r>
            <w:rPr>
              <w:rFonts w:hint="default"/>
              <w:lang w:val="en-US" w:eastAsia="zh-CN"/>
            </w:rPr>
            <w:fldChar w:fldCharType="begin"/>
          </w:r>
          <w:r>
            <w:rPr>
              <w:rFonts w:hint="default"/>
              <w:lang w:val="en-US" w:eastAsia="zh-CN"/>
            </w:rPr>
            <w:instrText xml:space="preserve"> HYPERLINK \l _Toc11855 </w:instrText>
          </w:r>
          <w:r>
            <w:rPr>
              <w:rFonts w:hint="default"/>
              <w:lang w:val="en-US" w:eastAsia="zh-CN"/>
            </w:rPr>
            <w:fldChar w:fldCharType="separate"/>
          </w:r>
          <w:r>
            <w:rPr>
              <w:rFonts w:hint="default"/>
            </w:rPr>
            <w:t xml:space="preserve">7.2. </w:t>
          </w:r>
          <w:r>
            <w:t>建议</w:t>
          </w:r>
          <w:r>
            <w:rPr>
              <w:rFonts w:hint="eastAsia"/>
              <w:lang w:eastAsia="zh-CN"/>
            </w:rPr>
            <w:t>及要求</w:t>
          </w:r>
          <w:r>
            <w:tab/>
          </w:r>
          <w:r>
            <w:fldChar w:fldCharType="begin"/>
          </w:r>
          <w:r>
            <w:instrText xml:space="preserve"> PAGEREF _Toc11855 </w:instrText>
          </w:r>
          <w:r>
            <w:fldChar w:fldCharType="separate"/>
          </w:r>
          <w:r>
            <w:t>53</w:t>
          </w:r>
          <w:r>
            <w:fldChar w:fldCharType="end"/>
          </w:r>
          <w:r>
            <w:rPr>
              <w:rFonts w:hint="default"/>
              <w:lang w:val="en-US" w:eastAsia="zh-CN"/>
            </w:rPr>
            <w:fldChar w:fldCharType="end"/>
          </w:r>
        </w:p>
        <w:p>
          <w:pPr>
            <w:pStyle w:val="12"/>
            <w:rPr>
              <w:rFonts w:hint="default"/>
              <w:lang w:val="en-US" w:eastAsia="zh-CN"/>
            </w:rPr>
          </w:pPr>
          <w:r>
            <w:rPr>
              <w:rFonts w:hint="default"/>
              <w:lang w:val="en-US" w:eastAsia="zh-CN"/>
            </w:rPr>
            <w:fldChar w:fldCharType="end"/>
          </w:r>
        </w:p>
      </w:sdtContent>
    </w:sdt>
    <w:p>
      <w:pPr>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3"/>
        <w:bidi w:val="0"/>
      </w:pPr>
      <w:bookmarkStart w:id="7" w:name="_Toc13865"/>
      <w:bookmarkStart w:id="8" w:name="_Toc13034"/>
      <w:bookmarkStart w:id="9" w:name="_Toc517214615"/>
      <w:r>
        <w:t>项目变更由来</w:t>
      </w:r>
      <w:bookmarkEnd w:id="7"/>
      <w:bookmarkEnd w:id="8"/>
      <w:bookmarkEnd w:id="9"/>
    </w:p>
    <w:p>
      <w:pPr>
        <w:pStyle w:val="4"/>
        <w:bidi w:val="0"/>
        <w:rPr>
          <w:rFonts w:hint="eastAsia"/>
          <w:lang w:eastAsia="zh-CN"/>
        </w:rPr>
      </w:pPr>
      <w:bookmarkStart w:id="10" w:name="_Toc17709"/>
      <w:bookmarkStart w:id="11" w:name="_Toc26920"/>
      <w:r>
        <w:rPr>
          <w:rFonts w:hint="eastAsia"/>
          <w:lang w:eastAsia="zh-CN"/>
        </w:rPr>
        <w:t>变更背景</w:t>
      </w:r>
      <w:bookmarkEnd w:id="10"/>
      <w:bookmarkEnd w:id="11"/>
    </w:p>
    <w:p>
      <w:pPr>
        <w:spacing w:line="360" w:lineRule="auto"/>
        <w:ind w:firstLine="480" w:firstLineChars="200"/>
        <w:rPr>
          <w:sz w:val="24"/>
        </w:rPr>
      </w:pPr>
      <w:r>
        <w:rPr>
          <w:rFonts w:hint="eastAsia"/>
          <w:sz w:val="24"/>
          <w:lang w:val="en-US" w:eastAsia="zh-CN"/>
        </w:rPr>
        <w:t>1、</w:t>
      </w:r>
      <w:r>
        <w:rPr>
          <w:rFonts w:hint="eastAsia"/>
          <w:sz w:val="24"/>
        </w:rPr>
        <w:t>建设背景</w:t>
      </w:r>
    </w:p>
    <w:p>
      <w:pPr>
        <w:bidi w:val="0"/>
        <w:rPr>
          <w:rFonts w:hint="default"/>
          <w:lang w:val="en-US" w:eastAsia="zh-CN"/>
        </w:rPr>
      </w:pPr>
      <w:r>
        <w:rPr>
          <w:rFonts w:hint="default"/>
          <w:lang w:val="en-US" w:eastAsia="zh-CN"/>
        </w:rPr>
        <w:t>岳阳市君山区地处洞庭湖平原东北部、长江中游荆江门段南岸，北靠长江，南濒洞庭，因君山岛而得名，有着“洞庭明珠”的美誉。君山区北、东、南三面环水，紧临东洞庭湖国家级自然保护区，是湖南省唯一的国家级湿地类型保护区。</w:t>
      </w:r>
    </w:p>
    <w:p>
      <w:pPr>
        <w:bidi w:val="0"/>
        <w:rPr>
          <w:rFonts w:hint="default"/>
          <w:lang w:val="en-US" w:eastAsia="zh-CN"/>
        </w:rPr>
      </w:pPr>
      <w:r>
        <w:rPr>
          <w:rFonts w:hint="default"/>
          <w:lang w:val="en-US" w:eastAsia="zh-CN"/>
        </w:rPr>
        <w:t>长江岸线是一道美丽的风景线，是珍贵的发展资源，是城市生产生活赖以依存的“黄金岸线”。君山区作为岳阳市“一主三副”城区布局中的重要副城区之一，拥有得天独厚的长江、洞庭湖滨水资源和未经开发的濠河湿地，为生态农业和旅游开发储备了丰富的资源，是岳阳市区主要的生态观光旅游区和都市休闲农业基地。</w:t>
      </w:r>
    </w:p>
    <w:p>
      <w:pPr>
        <w:bidi w:val="0"/>
        <w:rPr>
          <w:rFonts w:hint="default"/>
          <w:lang w:val="en-US" w:eastAsia="zh-CN"/>
        </w:rPr>
      </w:pPr>
      <w:r>
        <w:rPr>
          <w:rFonts w:hint="default"/>
          <w:lang w:val="en-US" w:eastAsia="zh-CN"/>
        </w:rPr>
        <w:t>2018年4月25日，习近平总书记在长江岳阳段考察时强调要做好长江保护和修复工作，守护好一江碧水。4月26日，总书记在推动长江经济带发展座谈会上强调，要把修复长江生态环境摆在压倒性位置，共抓大保护、不搞大开发，努力把长江经济带建设成“生态更优美、交通更顺畅、经济更协调、市场更统一、机制更科学”的黄金经济带，探索出一条生态优先、绿色发展的新路子。</w:t>
      </w:r>
    </w:p>
    <w:p>
      <w:pPr>
        <w:bidi w:val="0"/>
        <w:rPr>
          <w:rFonts w:hint="default"/>
          <w:lang w:val="en-US" w:eastAsia="zh-CN"/>
        </w:rPr>
      </w:pPr>
      <w:r>
        <w:rPr>
          <w:rFonts w:hint="default"/>
          <w:lang w:val="en-US" w:eastAsia="zh-CN"/>
        </w:rPr>
        <w:t>根据《长江流域综合规划（2012-2030年）》，君山垸为蓄滞洪保留区，是防御超标准洪水还需启用的蓄滞洪区。由于受蓄滞洪区建设管理限制，君山区经济社会发展受到制约。目前正在编制的《长江上中游控制性水库建成后蓄滞洪区布局调整总体方案》中拟将君山垸调整为防洪保护区，给君山生态示范区的建设与发展带来了发展机遇，同时对君山垸的防洪标准提出了更高的要求。</w:t>
      </w:r>
    </w:p>
    <w:p>
      <w:pPr>
        <w:bidi w:val="0"/>
        <w:rPr>
          <w:rFonts w:hint="default"/>
          <w:lang w:val="en-US" w:eastAsia="zh-CN"/>
        </w:rPr>
      </w:pPr>
      <w:r>
        <w:rPr>
          <w:rFonts w:hint="eastAsia"/>
          <w:lang w:val="en-US" w:eastAsia="zh-CN"/>
        </w:rPr>
        <w:t>2、</w:t>
      </w:r>
      <w:r>
        <w:rPr>
          <w:rFonts w:hint="default"/>
          <w:lang w:val="en-US" w:eastAsia="zh-CN"/>
        </w:rPr>
        <w:t>必要性</w:t>
      </w:r>
    </w:p>
    <w:p>
      <w:pPr>
        <w:bidi w:val="0"/>
        <w:rPr>
          <w:rFonts w:hint="default"/>
          <w:lang w:val="en-US" w:eastAsia="zh-CN"/>
        </w:rPr>
      </w:pPr>
      <w:r>
        <w:rPr>
          <w:rFonts w:hint="default"/>
          <w:lang w:val="en-US" w:eastAsia="zh-CN"/>
        </w:rPr>
        <w:t>目前君山垸的防洪保护圈堤防防洪标准长江段干堤为Ⅱ级堤防标准，洞庭湖段干堤为Ⅲ级堤防标准，在君山垸从蓄滞洪保留区调整为防洪保护区的前提下，提升洞庭湖段堤防标准要求显得尤为重要，本项目建设拟将提升洞庭湖段堤防至Ⅱ级堤防标准，与长江段干堤堤防标准保持一致，同时项目建设将完善大堤防渗系统，通过以上两方面的建设，项目对提升区域防洪能力、保障城市防洪安全起到十分重要的作用；此外，项目投产后，将车行道从大堤分流出来，间接保护了防洪大堤，同时有利于防汛物资的运输及当地居民的出行，对区域经济发展起到促进作用，因此项目建设势在必行。</w:t>
      </w:r>
    </w:p>
    <w:p>
      <w:pPr>
        <w:bidi w:val="0"/>
        <w:rPr>
          <w:rFonts w:hint="default"/>
          <w:lang w:val="en-US" w:eastAsia="zh-CN"/>
        </w:rPr>
      </w:pPr>
      <w:r>
        <w:rPr>
          <w:rFonts w:hint="default"/>
          <w:lang w:val="en-US" w:eastAsia="zh-CN"/>
        </w:rPr>
        <w:t>为提升区域防洪能力、保障城市防洪安全，完善区</w:t>
      </w:r>
      <w:r>
        <w:rPr>
          <w:rFonts w:hint="default"/>
          <w:color w:val="auto"/>
          <w:lang w:val="en-US" w:eastAsia="zh-CN"/>
        </w:rPr>
        <w:t>域交通路网结构，岳阳市君山区水利局实施岳阳市君山区水利安保工程(二洲子村-旅游路)项目</w:t>
      </w:r>
      <w:r>
        <w:rPr>
          <w:rFonts w:hint="eastAsia"/>
          <w:color w:val="auto"/>
          <w:lang w:val="en-US" w:eastAsia="zh-CN"/>
        </w:rPr>
        <w:t>，</w:t>
      </w:r>
      <w:r>
        <w:rPr>
          <w:rFonts w:hint="default"/>
          <w:color w:val="auto"/>
          <w:lang w:val="en-US" w:eastAsia="zh-CN"/>
        </w:rPr>
        <w:t>该项目建设范围为君山区二洲子村至旅游路段，路线起点与二洲子村垃圾处理中心连接道相接，终点与旅游路南段相接，全长11738m。项目总投资8</w:t>
      </w:r>
      <w:r>
        <w:rPr>
          <w:rFonts w:hint="default"/>
          <w:lang w:val="en-US" w:eastAsia="zh-CN"/>
        </w:rPr>
        <w:t>1327.39万元(其中环保投资1511万元)，道路设计标准为城市次干道，沥青混凝土路面，道路宽度29m，含堤顶慢行系统8m(由现状堤路改造)。设计车速40km/h,双向四车道，全线设下穿通道1座共28m长，无桥梁，不跨河湖。项目基本沿长江干堤和洞庭湖堤防布线，沿线设置雨水管收集道路路面雨水，同时布设适用于直饮水的供水管，污水管仅从6个固定卫生间敷设至附近市政管网。主要工程内容包括道路工程、涵洞结构工程、堤防工程、给排水工程、景观绿化及环境保护工程、交通配套设施工程、照明工程、S306省道临时保通道路及起点处连接道复建工程。</w:t>
      </w:r>
    </w:p>
    <w:p>
      <w:pPr>
        <w:bidi w:val="0"/>
        <w:rPr>
          <w:rFonts w:hint="default"/>
          <w:lang w:val="en-US" w:eastAsia="zh-CN"/>
        </w:rPr>
      </w:pPr>
      <w:bookmarkStart w:id="143" w:name="_GoBack"/>
      <w:bookmarkEnd w:id="143"/>
      <w:r>
        <w:rPr>
          <w:rFonts w:hint="default"/>
          <w:lang w:val="en-US" w:eastAsia="zh-CN"/>
        </w:rPr>
        <w:t>岳阳市君山区水利局于2019年</w:t>
      </w:r>
      <w:r>
        <w:rPr>
          <w:rFonts w:hint="eastAsia"/>
          <w:lang w:val="en-US" w:eastAsia="zh-CN"/>
        </w:rPr>
        <w:t>7</w:t>
      </w:r>
      <w:r>
        <w:rPr>
          <w:rFonts w:hint="default"/>
          <w:lang w:val="en-US" w:eastAsia="zh-CN"/>
        </w:rPr>
        <w:t>月委托湖南道和环保科技有限公司进行环境影响评价，并于2019年</w:t>
      </w:r>
      <w:r>
        <w:rPr>
          <w:rFonts w:hint="eastAsia"/>
          <w:lang w:val="en-US" w:eastAsia="zh-CN"/>
        </w:rPr>
        <w:t>9</w:t>
      </w:r>
      <w:r>
        <w:rPr>
          <w:rFonts w:hint="default"/>
          <w:lang w:val="en-US" w:eastAsia="zh-CN"/>
        </w:rPr>
        <w:t>月</w:t>
      </w:r>
      <w:r>
        <w:rPr>
          <w:rFonts w:hint="eastAsia"/>
          <w:lang w:val="en-US" w:eastAsia="zh-CN"/>
        </w:rPr>
        <w:t>6</w:t>
      </w:r>
      <w:r>
        <w:rPr>
          <w:rFonts w:hint="default"/>
          <w:lang w:val="en-US" w:eastAsia="zh-CN"/>
        </w:rPr>
        <w:t>日取得了</w:t>
      </w:r>
      <w:r>
        <w:rPr>
          <w:rFonts w:hint="eastAsia"/>
          <w:lang w:val="en-US" w:eastAsia="zh-CN"/>
        </w:rPr>
        <w:t>岳阳</w:t>
      </w:r>
      <w:r>
        <w:rPr>
          <w:rFonts w:hint="default"/>
          <w:lang w:val="en-US" w:eastAsia="zh-CN"/>
        </w:rPr>
        <w:t>市生态环境局批复，目前项目</w:t>
      </w:r>
      <w:r>
        <w:rPr>
          <w:rFonts w:hint="eastAsia"/>
          <w:lang w:val="en-US" w:eastAsia="zh-CN"/>
        </w:rPr>
        <w:t>正在建设中</w:t>
      </w:r>
      <w:r>
        <w:rPr>
          <w:rFonts w:hint="default"/>
          <w:lang w:val="en-US" w:eastAsia="zh-CN"/>
        </w:rPr>
        <w:t>。</w:t>
      </w:r>
      <w:r>
        <w:rPr>
          <w:rFonts w:hint="eastAsia"/>
          <w:u w:val="none"/>
          <w:lang w:val="en-US" w:eastAsia="zh-CN"/>
        </w:rPr>
        <w:t>由于项目内部调整，现</w:t>
      </w:r>
      <w:r>
        <w:rPr>
          <w:rFonts w:hint="eastAsia"/>
          <w:u w:val="none"/>
        </w:rPr>
        <w:t>岳阳市君山区</w:t>
      </w:r>
      <w:r>
        <w:rPr>
          <w:rFonts w:hint="eastAsia"/>
        </w:rPr>
        <w:t>水利安保工程（二洲子村-旅游路）项目</w:t>
      </w:r>
      <w:r>
        <w:rPr>
          <w:rFonts w:hint="eastAsia"/>
          <w:lang w:eastAsia="zh-CN"/>
        </w:rPr>
        <w:t>的建设单位变更为岳阳市君山区城市建设投资有限公司。</w:t>
      </w:r>
    </w:p>
    <w:p>
      <w:pPr>
        <w:pStyle w:val="48"/>
        <w:bidi w:val="0"/>
        <w:rPr>
          <w:rFonts w:hint="eastAsia"/>
          <w:lang w:val="en-US" w:eastAsia="zh-CN"/>
        </w:rPr>
      </w:pPr>
      <w:r>
        <w:rPr>
          <w:rFonts w:hint="eastAsia"/>
          <w:lang w:val="en-US" w:eastAsia="zh-CN"/>
        </w:rPr>
        <w:t>现由于原临时堆场距离居民位置过近，运输过程不便，因此建设过程中临时堆场位置发生变化，其他建设内容道路工程、涵洞结构工程、堤防工程、给排水工程、景观绿化及环境保护工程、交通配套设施工程、照明工程、S306省道临时保通道路及起点处连接道复建工程等均未发生变化。故需要办理环评变更手续，岳阳市君山区城市建设投资有限公司委托江西曼霖环保科技有限公司对岳阳市君山区水利安保工程（二洲子村-旅游路）项目临时堆场变更环境影</w:t>
      </w:r>
      <w:r>
        <w:rPr>
          <w:rFonts w:hint="eastAsia"/>
          <w:color w:val="auto"/>
          <w:lang w:val="en-US" w:eastAsia="zh-CN"/>
        </w:rPr>
        <w:t>响说明工作。我单位接受委托后对该项且进行了详细调查和踏勘，对有关资料进行了认真分析，按照有关法律、法规及环境影响评价技术导则和技术规范，编制了变更环境影响说明，并报岳阳市生态环境局君山分局进行审批。</w:t>
      </w:r>
    </w:p>
    <w:p>
      <w:pPr>
        <w:pStyle w:val="4"/>
        <w:bidi w:val="0"/>
        <w:rPr>
          <w:rFonts w:hint="eastAsia"/>
        </w:rPr>
      </w:pPr>
      <w:bookmarkStart w:id="12" w:name="_Toc26409"/>
      <w:bookmarkStart w:id="13" w:name="_Toc3338"/>
      <w:r>
        <w:rPr>
          <w:rFonts w:hint="eastAsia"/>
          <w:lang w:eastAsia="zh-CN"/>
        </w:rPr>
        <w:t>编制依据</w:t>
      </w:r>
      <w:bookmarkEnd w:id="12"/>
      <w:bookmarkEnd w:id="13"/>
    </w:p>
    <w:p>
      <w:pPr>
        <w:pStyle w:val="2"/>
        <w:bidi w:val="0"/>
        <w:rPr>
          <w:rFonts w:hint="eastAsia"/>
        </w:rPr>
      </w:pPr>
      <w:r>
        <w:rPr>
          <w:rFonts w:hint="eastAsia"/>
        </w:rPr>
        <w:t>法律法规</w:t>
      </w:r>
    </w:p>
    <w:p>
      <w:pPr>
        <w:bidi w:val="0"/>
      </w:pPr>
      <w:r>
        <w:rPr>
          <w:rFonts w:hint="eastAsia"/>
        </w:rPr>
        <w:t>（1）《中华人民共和国环境保护法》，（2015.1.1施行）；</w:t>
      </w:r>
    </w:p>
    <w:p>
      <w:pPr>
        <w:bidi w:val="0"/>
      </w:pPr>
      <w:r>
        <w:rPr>
          <w:rFonts w:hint="eastAsia"/>
        </w:rPr>
        <w:t>（2）《中华人民共和国环境影响评价法》，（2018.12.29修订）；</w:t>
      </w:r>
    </w:p>
    <w:p>
      <w:pPr>
        <w:bidi w:val="0"/>
      </w:pPr>
      <w:r>
        <w:rPr>
          <w:rFonts w:hint="eastAsia"/>
        </w:rPr>
        <w:t>（3）《中华人民共和国大气污染防治法》，（</w:t>
      </w:r>
      <w:r>
        <w:t>2018年10月26日修订</w:t>
      </w:r>
      <w:r>
        <w:rPr>
          <w:rFonts w:hint="eastAsia"/>
        </w:rPr>
        <w:t>）；</w:t>
      </w:r>
    </w:p>
    <w:p>
      <w:pPr>
        <w:bidi w:val="0"/>
      </w:pPr>
      <w:r>
        <w:rPr>
          <w:rFonts w:hint="eastAsia"/>
        </w:rPr>
        <w:t>（4）《中华人民共和国环境噪声污染防治法》，（2018.12.29修订）；</w:t>
      </w:r>
    </w:p>
    <w:p>
      <w:pPr>
        <w:bidi w:val="0"/>
        <w:rPr>
          <w:rFonts w:hint="eastAsia"/>
        </w:rPr>
      </w:pPr>
      <w:r>
        <w:rPr>
          <w:rFonts w:hint="eastAsia"/>
        </w:rPr>
        <w:t>（5）《中华人民共和国水污染防治法》（修正），（2018年1月1日施行）；</w:t>
      </w:r>
    </w:p>
    <w:p>
      <w:pPr>
        <w:bidi w:val="0"/>
        <w:rPr>
          <w:rFonts w:hint="eastAsia"/>
        </w:rPr>
      </w:pPr>
      <w:r>
        <w:rPr>
          <w:rFonts w:hint="eastAsia"/>
        </w:rPr>
        <w:t>（6）《中华人民共和国土壤污染防治法》，（2019年1月1日施行）；</w:t>
      </w:r>
    </w:p>
    <w:p>
      <w:pPr>
        <w:bidi w:val="0"/>
      </w:pPr>
      <w:r>
        <w:rPr>
          <w:rFonts w:hint="eastAsia"/>
        </w:rPr>
        <w:t>（7）《中华人民共和国固体废物污染环境防治法》，（2019年6月5日修正）；</w:t>
      </w:r>
    </w:p>
    <w:p>
      <w:pPr>
        <w:bidi w:val="0"/>
      </w:pPr>
      <w:r>
        <w:rPr>
          <w:rFonts w:hint="eastAsia"/>
        </w:rPr>
        <w:t>（8）《中华人民共和国城乡规划法》，（2008.1.1 施行）；</w:t>
      </w:r>
    </w:p>
    <w:p>
      <w:pPr>
        <w:bidi w:val="0"/>
        <w:rPr>
          <w:rFonts w:hint="eastAsia"/>
        </w:rPr>
      </w:pPr>
      <w:r>
        <w:rPr>
          <w:rFonts w:hint="eastAsia"/>
        </w:rPr>
        <w:t>（9）《建设项目环境保护管理条例》，（国务院令第682号文）；</w:t>
      </w:r>
    </w:p>
    <w:p>
      <w:pPr>
        <w:bidi w:val="0"/>
      </w:pPr>
      <w:r>
        <w:rPr>
          <w:rFonts w:hint="eastAsia"/>
        </w:rPr>
        <w:t>（10）《中华人民共和国水土保持法（2010 年修订）》（主席令第39 号，2011.3.1施行）；</w:t>
      </w:r>
    </w:p>
    <w:p>
      <w:pPr>
        <w:pStyle w:val="2"/>
        <w:bidi w:val="0"/>
        <w:rPr>
          <w:rFonts w:hint="eastAsia"/>
        </w:rPr>
      </w:pPr>
      <w:r>
        <w:rPr>
          <w:rFonts w:hint="eastAsia"/>
        </w:rPr>
        <w:t>行政规章及规范性文件</w:t>
      </w:r>
    </w:p>
    <w:p>
      <w:pPr>
        <w:ind w:firstLine="480"/>
      </w:pPr>
      <w:r>
        <w:rPr>
          <w:rFonts w:hint="eastAsia"/>
        </w:rPr>
        <w:t>（1）《建设项目环境环境影响评价分类管理名录》（</w:t>
      </w:r>
      <w:r>
        <w:t>201</w:t>
      </w:r>
      <w:r>
        <w:rPr>
          <w:rFonts w:hint="eastAsia"/>
        </w:rPr>
        <w:t>8</w:t>
      </w:r>
      <w:r>
        <w:t>年</w:t>
      </w:r>
      <w:r>
        <w:rPr>
          <w:rFonts w:hint="eastAsia"/>
        </w:rPr>
        <w:t>4</w:t>
      </w:r>
      <w:r>
        <w:t>月</w:t>
      </w:r>
      <w:r>
        <w:rPr>
          <w:rFonts w:hint="eastAsia"/>
        </w:rPr>
        <w:t>28</w:t>
      </w:r>
      <w:r>
        <w:t>日</w:t>
      </w:r>
      <w:r>
        <w:rPr>
          <w:rFonts w:hint="eastAsia"/>
        </w:rPr>
        <w:t>修订</w:t>
      </w:r>
      <w:r>
        <w:t>）</w:t>
      </w:r>
      <w:r>
        <w:rPr>
          <w:rFonts w:hint="eastAsia"/>
        </w:rPr>
        <w:t xml:space="preserve">； </w:t>
      </w:r>
    </w:p>
    <w:p>
      <w:pPr>
        <w:ind w:firstLine="480"/>
      </w:pPr>
      <w:r>
        <w:rPr>
          <w:rFonts w:hint="eastAsia"/>
        </w:rPr>
        <w:t xml:space="preserve">（2）《产业结构调整指导目录》（2019年本），国家发展和改革委员会； </w:t>
      </w:r>
    </w:p>
    <w:p>
      <w:pPr>
        <w:ind w:firstLine="480"/>
      </w:pPr>
      <w:r>
        <w:rPr>
          <w:rFonts w:hint="eastAsia"/>
        </w:rPr>
        <w:t xml:space="preserve">（3）《建设项目环境影响评价文件分级审批规定》（环保部令第5号）； </w:t>
      </w:r>
    </w:p>
    <w:p>
      <w:pPr>
        <w:ind w:firstLine="480"/>
      </w:pPr>
      <w:r>
        <w:rPr>
          <w:rFonts w:hint="eastAsia"/>
        </w:rPr>
        <w:t>（4）《国务院关于落实科学发展观加强环境保护的决定》（国发[2005]39号）；</w:t>
      </w:r>
    </w:p>
    <w:p>
      <w:pPr>
        <w:ind w:firstLine="480"/>
      </w:pPr>
      <w:r>
        <w:rPr>
          <w:rFonts w:hint="eastAsia"/>
        </w:rPr>
        <w:t>（5）《建设项目竣工环境保护验收管理办法》，（国家环境保护总局令第13号）；</w:t>
      </w:r>
    </w:p>
    <w:p>
      <w:pPr>
        <w:ind w:firstLine="480"/>
        <w:rPr>
          <w:rFonts w:hint="eastAsia"/>
        </w:rPr>
      </w:pPr>
      <w:r>
        <w:rPr>
          <w:rFonts w:hint="eastAsia"/>
        </w:rPr>
        <w:t>（6）《国家危险废物名录》（环境保护部令第39号，2016.8.1施行）；</w:t>
      </w:r>
    </w:p>
    <w:p>
      <w:pPr>
        <w:ind w:firstLine="480"/>
        <w:rPr>
          <w:rFonts w:hint="eastAsia"/>
        </w:rPr>
      </w:pPr>
      <w:r>
        <w:rPr>
          <w:rFonts w:hint="eastAsia"/>
        </w:rPr>
        <w:t>（</w:t>
      </w:r>
      <w:r>
        <w:rPr>
          <w:rFonts w:hint="eastAsia"/>
          <w:lang w:val="en-US" w:eastAsia="zh-CN"/>
        </w:rPr>
        <w:t>7</w:t>
      </w:r>
      <w:r>
        <w:rPr>
          <w:rFonts w:hint="eastAsia"/>
        </w:rPr>
        <w:t>）《国务院关于印发水污染防治行动计划的通知》（国发（2015）17号，2015年4月2日）；</w:t>
      </w:r>
    </w:p>
    <w:p>
      <w:pPr>
        <w:ind w:firstLine="480"/>
        <w:rPr>
          <w:rFonts w:hint="eastAsia"/>
        </w:rPr>
      </w:pPr>
      <w:r>
        <w:rPr>
          <w:rFonts w:hint="eastAsia"/>
        </w:rPr>
        <w:t>（</w:t>
      </w:r>
      <w:r>
        <w:rPr>
          <w:rFonts w:hint="eastAsia"/>
          <w:lang w:val="en-US" w:eastAsia="zh-CN"/>
        </w:rPr>
        <w:t>8</w:t>
      </w:r>
      <w:r>
        <w:rPr>
          <w:rFonts w:hint="eastAsia"/>
        </w:rPr>
        <w:t>）《国务院关于印发大气污染防治行动计划的通知》（国发（2013）37号，2013年9月10日）；</w:t>
      </w:r>
    </w:p>
    <w:p>
      <w:pPr>
        <w:ind w:firstLine="480"/>
        <w:rPr>
          <w:rFonts w:hint="eastAsia"/>
        </w:rPr>
      </w:pPr>
      <w:r>
        <w:rPr>
          <w:rFonts w:hint="eastAsia"/>
        </w:rPr>
        <w:t>（</w:t>
      </w:r>
      <w:r>
        <w:rPr>
          <w:rFonts w:hint="eastAsia"/>
          <w:lang w:val="en-US" w:eastAsia="zh-CN"/>
        </w:rPr>
        <w:t>9</w:t>
      </w:r>
      <w:r>
        <w:rPr>
          <w:rFonts w:hint="eastAsia"/>
        </w:rPr>
        <w:t>《国务院关于印发土壤污染防治行动计划的通知》（国发（2016）31号，2016年5月28日）；</w:t>
      </w:r>
    </w:p>
    <w:p>
      <w:pPr>
        <w:ind w:firstLine="480"/>
        <w:rPr>
          <w:rFonts w:hint="eastAsia" w:eastAsia="宋体"/>
          <w:lang w:eastAsia="zh-CN"/>
        </w:rPr>
      </w:pPr>
      <w:r>
        <w:rPr>
          <w:rFonts w:hint="eastAsia"/>
        </w:rPr>
        <w:t>（</w:t>
      </w:r>
      <w:r>
        <w:rPr>
          <w:rFonts w:hint="eastAsia"/>
          <w:lang w:val="en-US" w:eastAsia="zh-CN"/>
        </w:rPr>
        <w:t>10</w:t>
      </w:r>
      <w:r>
        <w:rPr>
          <w:rFonts w:hint="eastAsia"/>
        </w:rPr>
        <w:t>）《排污许可管理办法（试行）》（环境保护部令第48号，2019年8月22日生态环境部令第7号修改）</w:t>
      </w:r>
      <w:r>
        <w:rPr>
          <w:rFonts w:hint="eastAsia"/>
          <w:lang w:eastAsia="zh-CN"/>
        </w:rPr>
        <w:t>；</w:t>
      </w:r>
    </w:p>
    <w:p>
      <w:pPr>
        <w:ind w:firstLine="480"/>
        <w:rPr>
          <w:rFonts w:hint="eastAsia" w:eastAsia="宋体"/>
          <w:lang w:eastAsia="zh-CN"/>
        </w:rPr>
      </w:pPr>
      <w:r>
        <w:rPr>
          <w:rFonts w:hint="eastAsia"/>
        </w:rPr>
        <w:t>（</w:t>
      </w:r>
      <w:r>
        <w:rPr>
          <w:rFonts w:hint="eastAsia"/>
          <w:lang w:val="en-US" w:eastAsia="zh-CN"/>
        </w:rPr>
        <w:t>11</w:t>
      </w:r>
      <w:r>
        <w:rPr>
          <w:rFonts w:hint="eastAsia"/>
        </w:rPr>
        <w:t>）《固定污染源排污许可分类管理名录（2017年版）》（环境保护部令第45号）</w:t>
      </w:r>
      <w:r>
        <w:rPr>
          <w:rFonts w:hint="eastAsia"/>
          <w:lang w:eastAsia="zh-CN"/>
        </w:rPr>
        <w:t>；</w:t>
      </w:r>
    </w:p>
    <w:p>
      <w:pPr>
        <w:ind w:firstLine="480"/>
        <w:rPr>
          <w:rFonts w:hint="eastAsia" w:eastAsia="宋体"/>
          <w:lang w:eastAsia="zh-CN"/>
        </w:rPr>
      </w:pPr>
      <w:r>
        <w:rPr>
          <w:rFonts w:hint="eastAsia"/>
        </w:rPr>
        <w:t>（1</w:t>
      </w:r>
      <w:r>
        <w:rPr>
          <w:rFonts w:hint="eastAsia"/>
          <w:lang w:val="en-US" w:eastAsia="zh-CN"/>
        </w:rPr>
        <w:t>2</w:t>
      </w:r>
      <w:r>
        <w:rPr>
          <w:rFonts w:hint="eastAsia"/>
        </w:rPr>
        <w:t>）《突发环境事件应急管理办法》（环保部令第34号，2015.6.5施行）</w:t>
      </w:r>
      <w:r>
        <w:rPr>
          <w:rFonts w:hint="eastAsia"/>
          <w:lang w:eastAsia="zh-CN"/>
        </w:rPr>
        <w:t>。</w:t>
      </w:r>
    </w:p>
    <w:p>
      <w:pPr>
        <w:pStyle w:val="2"/>
        <w:rPr>
          <w:rFonts w:hint="eastAsia"/>
        </w:rPr>
      </w:pPr>
      <w:r>
        <w:rPr>
          <w:rFonts w:hint="eastAsia"/>
        </w:rPr>
        <w:t>技术导则及相关规范</w:t>
      </w:r>
    </w:p>
    <w:p>
      <w:pPr>
        <w:autoSpaceDE w:val="0"/>
        <w:autoSpaceDN w:val="0"/>
        <w:adjustRightInd w:val="0"/>
        <w:ind w:firstLine="480"/>
        <w:jc w:val="left"/>
        <w:rPr>
          <w:kern w:val="0"/>
        </w:rPr>
      </w:pPr>
      <w:r>
        <w:rPr>
          <w:kern w:val="0"/>
        </w:rPr>
        <w:t>（1）《</w:t>
      </w:r>
      <w:r>
        <w:rPr>
          <w:kern w:val="0"/>
          <w:lang w:val="zh-CN"/>
        </w:rPr>
        <w:t>建设项目环境影响评价技术导则</w:t>
      </w:r>
      <w:r>
        <w:rPr>
          <w:kern w:val="0"/>
        </w:rPr>
        <w:t>——</w:t>
      </w:r>
      <w:r>
        <w:rPr>
          <w:kern w:val="0"/>
          <w:lang w:val="zh-CN"/>
        </w:rPr>
        <w:t>总纲</w:t>
      </w:r>
      <w:r>
        <w:rPr>
          <w:kern w:val="0"/>
        </w:rPr>
        <w:t>》（HJ2.1—2016）；</w:t>
      </w:r>
    </w:p>
    <w:p>
      <w:pPr>
        <w:autoSpaceDE w:val="0"/>
        <w:autoSpaceDN w:val="0"/>
        <w:adjustRightInd w:val="0"/>
        <w:ind w:firstLine="480"/>
        <w:jc w:val="left"/>
        <w:rPr>
          <w:kern w:val="0"/>
        </w:rPr>
      </w:pPr>
      <w:r>
        <w:rPr>
          <w:kern w:val="0"/>
        </w:rPr>
        <w:t>（2）《环境影响评价技术导则——大气环境》（HJ2.2—2018）；</w:t>
      </w:r>
    </w:p>
    <w:p>
      <w:pPr>
        <w:autoSpaceDE w:val="0"/>
        <w:autoSpaceDN w:val="0"/>
        <w:adjustRightInd w:val="0"/>
        <w:ind w:firstLine="480"/>
        <w:jc w:val="left"/>
        <w:rPr>
          <w:kern w:val="0"/>
        </w:rPr>
      </w:pPr>
      <w:r>
        <w:rPr>
          <w:kern w:val="0"/>
        </w:rPr>
        <w:t>（3）《环境影响评价技术导则——地表水环境》（HJ/T2.3—2018）；</w:t>
      </w:r>
    </w:p>
    <w:p>
      <w:pPr>
        <w:autoSpaceDE w:val="0"/>
        <w:autoSpaceDN w:val="0"/>
        <w:adjustRightInd w:val="0"/>
        <w:ind w:firstLine="480"/>
        <w:jc w:val="left"/>
        <w:rPr>
          <w:kern w:val="0"/>
        </w:rPr>
      </w:pPr>
      <w:r>
        <w:rPr>
          <w:kern w:val="0"/>
        </w:rPr>
        <w:t>（4）《环境影响评价技术导则——地下水环境》（HJ610—2016）；</w:t>
      </w:r>
    </w:p>
    <w:p>
      <w:pPr>
        <w:autoSpaceDE w:val="0"/>
        <w:autoSpaceDN w:val="0"/>
        <w:adjustRightInd w:val="0"/>
        <w:ind w:firstLine="480"/>
        <w:jc w:val="left"/>
        <w:rPr>
          <w:kern w:val="0"/>
        </w:rPr>
      </w:pPr>
      <w:r>
        <w:rPr>
          <w:kern w:val="0"/>
        </w:rPr>
        <w:t>（5）《环境影响评价技术导则——声环境》（HJ2.4—2009）；</w:t>
      </w:r>
    </w:p>
    <w:p>
      <w:pPr>
        <w:ind w:firstLine="480"/>
      </w:pPr>
      <w:r>
        <w:t>（6）《环境影响评价技术导则——生态影响》（HJ19-2011）；</w:t>
      </w:r>
    </w:p>
    <w:p>
      <w:pPr>
        <w:autoSpaceDE w:val="0"/>
        <w:autoSpaceDN w:val="0"/>
        <w:adjustRightInd w:val="0"/>
        <w:ind w:firstLine="480"/>
        <w:jc w:val="left"/>
        <w:rPr>
          <w:kern w:val="0"/>
        </w:rPr>
      </w:pPr>
      <w:r>
        <w:rPr>
          <w:kern w:val="0"/>
        </w:rPr>
        <w:t>（</w:t>
      </w:r>
      <w:r>
        <w:rPr>
          <w:rFonts w:hint="eastAsia"/>
          <w:kern w:val="0"/>
        </w:rPr>
        <w:t>7</w:t>
      </w:r>
      <w:r>
        <w:rPr>
          <w:kern w:val="0"/>
        </w:rPr>
        <w:t>）《环境影响评价技术导则——</w:t>
      </w:r>
      <w:r>
        <w:rPr>
          <w:rFonts w:hint="eastAsia"/>
          <w:kern w:val="0"/>
        </w:rPr>
        <w:t>土壤环境（试行）</w:t>
      </w:r>
      <w:r>
        <w:rPr>
          <w:kern w:val="0"/>
        </w:rPr>
        <w:t>》（HJ</w:t>
      </w:r>
      <w:r>
        <w:rPr>
          <w:rFonts w:hint="eastAsia"/>
          <w:kern w:val="0"/>
        </w:rPr>
        <w:t>964</w:t>
      </w:r>
      <w:r>
        <w:rPr>
          <w:kern w:val="0"/>
        </w:rPr>
        <w:t>-201</w:t>
      </w:r>
      <w:r>
        <w:rPr>
          <w:rFonts w:hint="eastAsia"/>
          <w:kern w:val="0"/>
        </w:rPr>
        <w:t>8</w:t>
      </w:r>
      <w:r>
        <w:rPr>
          <w:kern w:val="0"/>
        </w:rPr>
        <w:t>）</w:t>
      </w:r>
    </w:p>
    <w:p>
      <w:pPr>
        <w:ind w:firstLine="480"/>
        <w:rPr>
          <w:rFonts w:hint="eastAsia"/>
          <w:lang w:eastAsia="zh-CN"/>
        </w:rPr>
      </w:pPr>
      <w:r>
        <w:rPr>
          <w:rFonts w:ascii="Times New Roman" w:hAnsi="Times New Roman" w:eastAsia="宋体" w:cs="Times New Roman"/>
        </w:rPr>
        <w:t>（</w:t>
      </w:r>
      <w:r>
        <w:rPr>
          <w:rFonts w:hint="eastAsia" w:ascii="Times New Roman" w:hAnsi="Times New Roman" w:eastAsia="宋体" w:cs="Times New Roman"/>
        </w:rPr>
        <w:t>8</w:t>
      </w:r>
      <w:r>
        <w:rPr>
          <w:rFonts w:ascii="Times New Roman" w:hAnsi="Times New Roman" w:eastAsia="宋体" w:cs="Times New Roman"/>
        </w:rPr>
        <w:t>）《建设项目环境风险评价技术导则》（HJ169-2018）；</w:t>
      </w:r>
    </w:p>
    <w:p>
      <w:pPr>
        <w:pStyle w:val="2"/>
        <w:rPr>
          <w:rFonts w:hint="eastAsia"/>
        </w:rPr>
      </w:pPr>
      <w:r>
        <w:rPr>
          <w:rFonts w:hint="eastAsia"/>
        </w:rPr>
        <w:t>建设项目相关资料</w:t>
      </w:r>
    </w:p>
    <w:p>
      <w:pPr>
        <w:ind w:firstLine="480"/>
        <w:rPr>
          <w:rFonts w:hint="eastAsia" w:ascii="Times New Roman" w:hAnsi="Times New Roman" w:eastAsia="宋体" w:cs="Times New Roman"/>
          <w:lang w:val="zh-CN"/>
        </w:rPr>
      </w:pPr>
      <w:r>
        <w:rPr>
          <w:rFonts w:hint="eastAsia"/>
          <w:lang w:eastAsia="zh-CN"/>
        </w:rPr>
        <w:t>（</w:t>
      </w:r>
      <w:r>
        <w:rPr>
          <w:rFonts w:hint="eastAsia"/>
          <w:lang w:val="en-US" w:eastAsia="zh-CN"/>
        </w:rPr>
        <w:t>1</w:t>
      </w:r>
      <w:r>
        <w:rPr>
          <w:rFonts w:hint="eastAsia"/>
          <w:lang w:eastAsia="zh-CN"/>
        </w:rPr>
        <w:t>）</w:t>
      </w:r>
      <w:r>
        <w:rPr>
          <w:rFonts w:hint="eastAsia"/>
        </w:rPr>
        <w:t>《</w:t>
      </w:r>
      <w:r>
        <w:rPr>
          <w:rFonts w:hint="eastAsia"/>
          <w:snapToGrid w:val="0"/>
          <w:kern w:val="0"/>
          <w:sz w:val="24"/>
          <w:szCs w:val="24"/>
        </w:rPr>
        <w:t>岳阳市君山区水利安保工程（二洲子村-旅游路）项目</w:t>
      </w:r>
      <w:r>
        <w:rPr>
          <w:rFonts w:hint="eastAsia"/>
          <w:snapToGrid w:val="0"/>
          <w:kern w:val="0"/>
          <w:sz w:val="24"/>
          <w:szCs w:val="24"/>
          <w:lang w:eastAsia="zh-CN"/>
        </w:rPr>
        <w:t>环境影响报告</w:t>
      </w:r>
      <w:r>
        <w:rPr>
          <w:rFonts w:hint="eastAsia" w:ascii="Times New Roman" w:hAnsi="Times New Roman" w:eastAsia="宋体" w:cs="Times New Roman"/>
          <w:lang w:val="zh-CN" w:eastAsia="zh-CN"/>
        </w:rPr>
        <w:t>表</w:t>
      </w:r>
      <w:r>
        <w:rPr>
          <w:rFonts w:hint="eastAsia" w:ascii="Times New Roman" w:hAnsi="Times New Roman" w:eastAsia="宋体" w:cs="Times New Roman"/>
          <w:lang w:val="zh-CN"/>
        </w:rPr>
        <w:t>》（201</w:t>
      </w:r>
      <w:r>
        <w:rPr>
          <w:rFonts w:hint="eastAsia" w:ascii="Times New Roman" w:hAnsi="Times New Roman" w:eastAsia="宋体" w:cs="Times New Roman"/>
          <w:lang w:val="en-US" w:eastAsia="zh-CN"/>
        </w:rPr>
        <w:t>9</w:t>
      </w:r>
      <w:r>
        <w:rPr>
          <w:rFonts w:hint="eastAsia" w:ascii="Times New Roman" w:hAnsi="Times New Roman" w:eastAsia="宋体" w:cs="Times New Roman"/>
          <w:lang w:val="zh-CN"/>
        </w:rPr>
        <w:t>.</w:t>
      </w:r>
      <w:r>
        <w:rPr>
          <w:rFonts w:hint="eastAsia" w:cs="Times New Roman"/>
          <w:lang w:val="en-US" w:eastAsia="zh-CN"/>
        </w:rPr>
        <w:t>8</w:t>
      </w:r>
      <w:r>
        <w:rPr>
          <w:rFonts w:hint="eastAsia" w:ascii="Times New Roman" w:hAnsi="Times New Roman" w:eastAsia="宋体" w:cs="Times New Roman"/>
          <w:lang w:val="zh-CN"/>
        </w:rPr>
        <w:t>）；</w:t>
      </w:r>
    </w:p>
    <w:p>
      <w:pPr>
        <w:ind w:firstLine="480"/>
        <w:rPr>
          <w:rFonts w:hint="eastAsia" w:ascii="Times New Roman" w:hAnsi="Times New Roman" w:eastAsia="宋体" w:cs="Times New Roman"/>
          <w:lang w:val="zh-CN"/>
        </w:rPr>
      </w:pPr>
      <w:r>
        <w:rPr>
          <w:rFonts w:hint="eastAsia" w:ascii="Times New Roman" w:hAnsi="Times New Roman" w:eastAsia="宋体" w:cs="Times New Roman"/>
          <w:lang w:val="zh-CN"/>
        </w:rPr>
        <w:t>（2）</w:t>
      </w:r>
      <w:r>
        <w:rPr>
          <w:rFonts w:hint="eastAsia" w:ascii="Times New Roman" w:hAnsi="Times New Roman" w:eastAsia="宋体" w:cs="Times New Roman"/>
          <w:lang w:val="zh-CN" w:eastAsia="zh-CN"/>
        </w:rPr>
        <w:t>关于</w:t>
      </w:r>
      <w:r>
        <w:rPr>
          <w:rFonts w:hint="eastAsia" w:ascii="Times New Roman" w:hAnsi="Times New Roman" w:eastAsia="宋体" w:cs="Times New Roman"/>
          <w:lang w:val="zh-CN"/>
        </w:rPr>
        <w:t>《岳阳市君山区水利安保工程（二洲子村-旅游路）项目</w:t>
      </w:r>
      <w:r>
        <w:rPr>
          <w:rFonts w:hint="eastAsia" w:ascii="Times New Roman" w:hAnsi="Times New Roman" w:eastAsia="宋体" w:cs="Times New Roman"/>
          <w:lang w:val="zh-CN" w:eastAsia="zh-CN"/>
        </w:rPr>
        <w:t>环境影响报告表</w:t>
      </w:r>
      <w:r>
        <w:rPr>
          <w:rFonts w:hint="eastAsia" w:ascii="Times New Roman" w:hAnsi="Times New Roman" w:eastAsia="宋体" w:cs="Times New Roman"/>
          <w:lang w:val="zh-CN"/>
        </w:rPr>
        <w:t>》</w:t>
      </w:r>
      <w:r>
        <w:rPr>
          <w:rFonts w:hint="eastAsia" w:ascii="Times New Roman" w:hAnsi="Times New Roman" w:eastAsia="宋体" w:cs="Times New Roman"/>
          <w:lang w:val="zh-CN" w:eastAsia="zh-CN"/>
        </w:rPr>
        <w:t>的批复（</w:t>
      </w:r>
      <w:r>
        <w:rPr>
          <w:rFonts w:hint="eastAsia" w:ascii="Times New Roman" w:hAnsi="Times New Roman" w:eastAsia="宋体" w:cs="Times New Roman"/>
          <w:lang w:val="en-US" w:eastAsia="zh-CN"/>
        </w:rPr>
        <w:t>2019.</w:t>
      </w:r>
      <w:r>
        <w:rPr>
          <w:rFonts w:hint="eastAsia" w:cs="Times New Roman"/>
          <w:lang w:val="en-US" w:eastAsia="zh-CN"/>
        </w:rPr>
        <w:t>9</w:t>
      </w:r>
      <w:r>
        <w:rPr>
          <w:rFonts w:hint="eastAsia" w:ascii="Times New Roman" w:hAnsi="Times New Roman" w:eastAsia="宋体" w:cs="Times New Roman"/>
          <w:lang w:val="zh-CN" w:eastAsia="zh-CN"/>
        </w:rPr>
        <w:t>）</w:t>
      </w:r>
      <w:r>
        <w:rPr>
          <w:rFonts w:hint="eastAsia" w:ascii="Times New Roman" w:hAnsi="Times New Roman" w:eastAsia="宋体" w:cs="Times New Roman"/>
          <w:lang w:val="zh-CN"/>
        </w:rPr>
        <w:t>；</w:t>
      </w:r>
    </w:p>
    <w:p>
      <w:pPr>
        <w:ind w:firstLine="480"/>
        <w:rPr>
          <w:rFonts w:hint="eastAsia"/>
        </w:rPr>
      </w:pPr>
      <w:r>
        <w:rPr>
          <w:rFonts w:hint="eastAsia" w:ascii="Times New Roman" w:hAnsi="Times New Roman" w:eastAsia="宋体" w:cs="Times New Roman"/>
          <w:lang w:val="zh-CN"/>
        </w:rPr>
        <w:t>（</w:t>
      </w:r>
      <w:r>
        <w:rPr>
          <w:rFonts w:hint="eastAsia" w:cs="Times New Roman"/>
          <w:lang w:val="en-US" w:eastAsia="zh-CN"/>
        </w:rPr>
        <w:t>3</w:t>
      </w:r>
      <w:r>
        <w:rPr>
          <w:rFonts w:hint="eastAsia" w:ascii="Times New Roman" w:hAnsi="Times New Roman" w:eastAsia="宋体" w:cs="Times New Roman"/>
          <w:lang w:val="zh-CN"/>
        </w:rPr>
        <w:t>）建</w:t>
      </w:r>
      <w:r>
        <w:rPr>
          <w:rFonts w:hint="eastAsia"/>
        </w:rPr>
        <w:t>设方提供的其他资料。</w:t>
      </w:r>
    </w:p>
    <w:p>
      <w:pPr>
        <w:pStyle w:val="4"/>
        <w:bidi w:val="0"/>
        <w:rPr>
          <w:rFonts w:hint="eastAsia"/>
          <w:lang w:eastAsia="zh-CN"/>
        </w:rPr>
      </w:pPr>
      <w:bookmarkStart w:id="14" w:name="_Toc17356"/>
      <w:bookmarkStart w:id="15" w:name="_Toc15104"/>
      <w:r>
        <w:rPr>
          <w:rFonts w:hint="eastAsia"/>
          <w:lang w:eastAsia="zh-CN"/>
        </w:rPr>
        <w:t>评价标准</w:t>
      </w:r>
      <w:bookmarkEnd w:id="14"/>
      <w:bookmarkEnd w:id="15"/>
    </w:p>
    <w:p>
      <w:pPr>
        <w:pStyle w:val="2"/>
        <w:bidi w:val="0"/>
        <w:rPr>
          <w:rFonts w:hint="eastAsia"/>
          <w:lang w:eastAsia="zh-CN"/>
        </w:rPr>
      </w:pPr>
      <w:r>
        <w:rPr>
          <w:rFonts w:hint="eastAsia"/>
        </w:rPr>
        <w:t>环境质量标准</w:t>
      </w:r>
    </w:p>
    <w:p>
      <w:pPr>
        <w:bidi w:val="0"/>
        <w:rPr>
          <w:b/>
          <w:bCs/>
        </w:rPr>
      </w:pPr>
      <w:r>
        <w:rPr>
          <w:b/>
          <w:bCs/>
        </w:rPr>
        <w:t>1.空气环境</w:t>
      </w:r>
    </w:p>
    <w:p>
      <w:pPr>
        <w:bidi w:val="0"/>
      </w:pPr>
      <w:r>
        <w:t>本项目所在区域环境空气执行《环境空气质量标准》（GB3095-2012）中二级标准。标准限值见表</w:t>
      </w:r>
      <w:r>
        <w:rPr>
          <w:rFonts w:hint="eastAsia"/>
          <w:lang w:val="en-US" w:eastAsia="zh-CN"/>
        </w:rPr>
        <w:t>1.3</w:t>
      </w:r>
      <w:r>
        <w:rPr>
          <w:rFonts w:hint="eastAsia"/>
        </w:rPr>
        <w:t>-1</w:t>
      </w:r>
      <w:r>
        <w:t>。</w:t>
      </w:r>
    </w:p>
    <w:p>
      <w:pPr>
        <w:pStyle w:val="29"/>
        <w:bidi w:val="0"/>
      </w:pPr>
      <w:r>
        <w:t>表</w:t>
      </w:r>
      <w:r>
        <w:rPr>
          <w:rFonts w:hint="eastAsia"/>
          <w:lang w:val="en-US" w:eastAsia="zh-CN"/>
        </w:rPr>
        <w:t>1.3</w:t>
      </w:r>
      <w:r>
        <w:t>-1  《环境空气质量标准》（GB3095-2012）二级标准（摘录）</w:t>
      </w:r>
    </w:p>
    <w:tbl>
      <w:tblPr>
        <w:tblStyle w:val="21"/>
        <w:tblW w:w="4999"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2128"/>
        <w:gridCol w:w="1534"/>
        <w:gridCol w:w="2724"/>
        <w:gridCol w:w="213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3" w:hRule="atLeast"/>
          <w:jc w:val="center"/>
        </w:trPr>
        <w:tc>
          <w:tcPr>
            <w:tcW w:w="1249" w:type="pct"/>
            <w:vMerge w:val="restart"/>
            <w:noWrap w:val="0"/>
            <w:vAlign w:val="center"/>
          </w:tcPr>
          <w:p>
            <w:pPr>
              <w:pStyle w:val="30"/>
              <w:bidi w:val="0"/>
            </w:pPr>
            <w:r>
              <w:t>污染物名称</w:t>
            </w:r>
          </w:p>
        </w:tc>
        <w:tc>
          <w:tcPr>
            <w:tcW w:w="3750" w:type="pct"/>
            <w:gridSpan w:val="3"/>
            <w:noWrap w:val="0"/>
            <w:vAlign w:val="top"/>
          </w:tcPr>
          <w:p>
            <w:pPr>
              <w:pStyle w:val="30"/>
              <w:bidi w:val="0"/>
            </w:pPr>
            <w:r>
              <w:t>标准限值（μg/</w:t>
            </w:r>
            <w:r>
              <w:rPr>
                <w:rFonts w:hint="eastAsia"/>
                <w:lang w:eastAsia="zh-CN"/>
              </w:rPr>
              <w:t>m</w:t>
            </w:r>
            <w:r>
              <w:rPr>
                <w:rFonts w:hint="eastAsia"/>
                <w:vertAlign w:val="superscript"/>
                <w:lang w:eastAsia="zh-CN"/>
              </w:rPr>
              <w:t>3</w:t>
            </w:r>
            <w: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8" w:hRule="atLeast"/>
          <w:jc w:val="center"/>
        </w:trPr>
        <w:tc>
          <w:tcPr>
            <w:tcW w:w="1249" w:type="pct"/>
            <w:vMerge w:val="continue"/>
            <w:noWrap w:val="0"/>
            <w:vAlign w:val="top"/>
          </w:tcPr>
          <w:p>
            <w:pPr>
              <w:pStyle w:val="30"/>
              <w:bidi w:val="0"/>
            </w:pPr>
          </w:p>
        </w:tc>
        <w:tc>
          <w:tcPr>
            <w:tcW w:w="900" w:type="pct"/>
            <w:noWrap w:val="0"/>
            <w:vAlign w:val="top"/>
          </w:tcPr>
          <w:p>
            <w:pPr>
              <w:pStyle w:val="30"/>
              <w:bidi w:val="0"/>
            </w:pPr>
            <w:r>
              <w:t>年平均</w:t>
            </w:r>
            <w:r>
              <w:rPr>
                <w:rFonts w:hint="eastAsia"/>
              </w:rPr>
              <w:t>值</w:t>
            </w:r>
          </w:p>
        </w:tc>
        <w:tc>
          <w:tcPr>
            <w:tcW w:w="1598" w:type="pct"/>
            <w:noWrap w:val="0"/>
            <w:vAlign w:val="top"/>
          </w:tcPr>
          <w:p>
            <w:pPr>
              <w:pStyle w:val="30"/>
              <w:bidi w:val="0"/>
            </w:pPr>
            <w:r>
              <w:t>24小时平均值</w:t>
            </w:r>
          </w:p>
        </w:tc>
        <w:tc>
          <w:tcPr>
            <w:tcW w:w="1251" w:type="pct"/>
            <w:noWrap w:val="0"/>
            <w:vAlign w:val="top"/>
          </w:tcPr>
          <w:p>
            <w:pPr>
              <w:pStyle w:val="30"/>
              <w:bidi w:val="0"/>
            </w:pPr>
            <w:r>
              <w:t>1小时平均值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2" w:hRule="atLeast"/>
          <w:jc w:val="center"/>
        </w:trPr>
        <w:tc>
          <w:tcPr>
            <w:tcW w:w="1249" w:type="pct"/>
            <w:noWrap w:val="0"/>
            <w:vAlign w:val="top"/>
          </w:tcPr>
          <w:p>
            <w:pPr>
              <w:pStyle w:val="30"/>
              <w:bidi w:val="0"/>
              <w:rPr>
                <w:rFonts w:hint="eastAsia" w:eastAsia="宋体"/>
                <w:lang w:eastAsia="zh-CN"/>
              </w:rPr>
            </w:pPr>
            <w:r>
              <w:rPr>
                <w:rFonts w:hint="eastAsia"/>
                <w:lang w:eastAsia="zh-CN"/>
              </w:rPr>
              <w:t>SO</w:t>
            </w:r>
            <w:r>
              <w:rPr>
                <w:rFonts w:hint="eastAsia"/>
                <w:vertAlign w:val="subscript"/>
                <w:lang w:eastAsia="zh-CN"/>
              </w:rPr>
              <w:t>2</w:t>
            </w:r>
          </w:p>
        </w:tc>
        <w:tc>
          <w:tcPr>
            <w:tcW w:w="900" w:type="pct"/>
            <w:noWrap w:val="0"/>
            <w:vAlign w:val="top"/>
          </w:tcPr>
          <w:p>
            <w:pPr>
              <w:pStyle w:val="30"/>
              <w:bidi w:val="0"/>
            </w:pPr>
            <w:r>
              <w:rPr>
                <w:rFonts w:hint="eastAsia"/>
              </w:rPr>
              <w:t>60</w:t>
            </w:r>
          </w:p>
        </w:tc>
        <w:tc>
          <w:tcPr>
            <w:tcW w:w="1598" w:type="pct"/>
            <w:noWrap w:val="0"/>
            <w:vAlign w:val="top"/>
          </w:tcPr>
          <w:p>
            <w:pPr>
              <w:pStyle w:val="30"/>
              <w:bidi w:val="0"/>
            </w:pPr>
            <w:r>
              <w:t>15</w:t>
            </w:r>
            <w:r>
              <w:rPr>
                <w:rFonts w:hint="eastAsia"/>
              </w:rPr>
              <w:t>0</w:t>
            </w:r>
          </w:p>
        </w:tc>
        <w:tc>
          <w:tcPr>
            <w:tcW w:w="1251" w:type="pct"/>
            <w:noWrap w:val="0"/>
            <w:vAlign w:val="top"/>
          </w:tcPr>
          <w:p>
            <w:pPr>
              <w:pStyle w:val="30"/>
              <w:bidi w:val="0"/>
            </w:pPr>
            <w:r>
              <w:rPr>
                <w:rFonts w:hint="eastAsia"/>
              </w:rPr>
              <w:t>500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2" w:hRule="atLeast"/>
          <w:jc w:val="center"/>
        </w:trPr>
        <w:tc>
          <w:tcPr>
            <w:tcW w:w="1249" w:type="pct"/>
            <w:noWrap w:val="0"/>
            <w:vAlign w:val="top"/>
          </w:tcPr>
          <w:p>
            <w:pPr>
              <w:pStyle w:val="30"/>
              <w:bidi w:val="0"/>
              <w:rPr>
                <w:rFonts w:hint="eastAsia" w:eastAsia="宋体"/>
                <w:lang w:eastAsia="zh-CN"/>
              </w:rPr>
            </w:pPr>
            <w:r>
              <w:rPr>
                <w:rFonts w:hint="eastAsia"/>
                <w:lang w:eastAsia="zh-CN"/>
              </w:rPr>
              <w:t>NO</w:t>
            </w:r>
            <w:r>
              <w:rPr>
                <w:rFonts w:hint="eastAsia"/>
                <w:vertAlign w:val="subscript"/>
                <w:lang w:eastAsia="zh-CN"/>
              </w:rPr>
              <w:t>2</w:t>
            </w:r>
          </w:p>
        </w:tc>
        <w:tc>
          <w:tcPr>
            <w:tcW w:w="900" w:type="pct"/>
            <w:noWrap w:val="0"/>
            <w:vAlign w:val="top"/>
          </w:tcPr>
          <w:p>
            <w:pPr>
              <w:pStyle w:val="30"/>
              <w:bidi w:val="0"/>
            </w:pPr>
            <w:r>
              <w:t>40</w:t>
            </w:r>
          </w:p>
        </w:tc>
        <w:tc>
          <w:tcPr>
            <w:tcW w:w="1598" w:type="pct"/>
            <w:noWrap w:val="0"/>
            <w:vAlign w:val="top"/>
          </w:tcPr>
          <w:p>
            <w:pPr>
              <w:pStyle w:val="30"/>
              <w:bidi w:val="0"/>
            </w:pPr>
            <w:r>
              <w:t>80</w:t>
            </w:r>
          </w:p>
        </w:tc>
        <w:tc>
          <w:tcPr>
            <w:tcW w:w="1251" w:type="pct"/>
            <w:noWrap w:val="0"/>
            <w:vAlign w:val="top"/>
          </w:tcPr>
          <w:p>
            <w:pPr>
              <w:pStyle w:val="30"/>
              <w:bidi w:val="0"/>
            </w:pPr>
            <w:r>
              <w:t>200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58" w:hRule="atLeast"/>
          <w:jc w:val="center"/>
        </w:trPr>
        <w:tc>
          <w:tcPr>
            <w:tcW w:w="1249" w:type="pct"/>
            <w:noWrap w:val="0"/>
            <w:vAlign w:val="top"/>
          </w:tcPr>
          <w:p>
            <w:pPr>
              <w:pStyle w:val="30"/>
              <w:bidi w:val="0"/>
            </w:pPr>
            <w:r>
              <w:t>TSP</w:t>
            </w:r>
          </w:p>
        </w:tc>
        <w:tc>
          <w:tcPr>
            <w:tcW w:w="900" w:type="pct"/>
            <w:noWrap w:val="0"/>
            <w:vAlign w:val="top"/>
          </w:tcPr>
          <w:p>
            <w:pPr>
              <w:pStyle w:val="30"/>
              <w:bidi w:val="0"/>
            </w:pPr>
            <w:r>
              <w:t>200</w:t>
            </w:r>
          </w:p>
        </w:tc>
        <w:tc>
          <w:tcPr>
            <w:tcW w:w="1598" w:type="pct"/>
            <w:noWrap w:val="0"/>
            <w:vAlign w:val="top"/>
          </w:tcPr>
          <w:p>
            <w:pPr>
              <w:pStyle w:val="30"/>
              <w:bidi w:val="0"/>
            </w:pPr>
            <w:r>
              <w:t>300</w:t>
            </w:r>
          </w:p>
        </w:tc>
        <w:tc>
          <w:tcPr>
            <w:tcW w:w="1251" w:type="pct"/>
            <w:noWrap w:val="0"/>
            <w:vAlign w:val="top"/>
          </w:tcPr>
          <w:p>
            <w:pPr>
              <w:pStyle w:val="30"/>
              <w:bidi w:val="0"/>
            </w:pPr>
            <w: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2" w:hRule="atLeast"/>
          <w:jc w:val="center"/>
        </w:trPr>
        <w:tc>
          <w:tcPr>
            <w:tcW w:w="1249" w:type="pct"/>
            <w:noWrap w:val="0"/>
            <w:vAlign w:val="top"/>
          </w:tcPr>
          <w:p>
            <w:pPr>
              <w:pStyle w:val="30"/>
              <w:bidi w:val="0"/>
              <w:rPr>
                <w:rFonts w:hint="eastAsia" w:eastAsia="宋体"/>
                <w:lang w:eastAsia="zh-CN"/>
              </w:rPr>
            </w:pPr>
            <w:r>
              <w:rPr>
                <w:rFonts w:hint="eastAsia"/>
                <w:lang w:eastAsia="zh-CN"/>
              </w:rPr>
              <w:t>PM</w:t>
            </w:r>
            <w:r>
              <w:rPr>
                <w:rFonts w:hint="eastAsia"/>
                <w:vertAlign w:val="subscript"/>
                <w:lang w:eastAsia="zh-CN"/>
              </w:rPr>
              <w:t>10</w:t>
            </w:r>
          </w:p>
        </w:tc>
        <w:tc>
          <w:tcPr>
            <w:tcW w:w="900" w:type="pct"/>
            <w:noWrap w:val="0"/>
            <w:vAlign w:val="top"/>
          </w:tcPr>
          <w:p>
            <w:pPr>
              <w:pStyle w:val="30"/>
              <w:bidi w:val="0"/>
            </w:pPr>
            <w:r>
              <w:rPr>
                <w:rFonts w:hint="eastAsia"/>
              </w:rPr>
              <w:t>70</w:t>
            </w:r>
          </w:p>
        </w:tc>
        <w:tc>
          <w:tcPr>
            <w:tcW w:w="1598" w:type="pct"/>
            <w:noWrap w:val="0"/>
            <w:vAlign w:val="top"/>
          </w:tcPr>
          <w:p>
            <w:pPr>
              <w:pStyle w:val="30"/>
              <w:bidi w:val="0"/>
            </w:pPr>
            <w:r>
              <w:rPr>
                <w:rFonts w:hint="eastAsia"/>
              </w:rPr>
              <w:t>150</w:t>
            </w:r>
          </w:p>
        </w:tc>
        <w:tc>
          <w:tcPr>
            <w:tcW w:w="1251" w:type="pct"/>
            <w:noWrap w:val="0"/>
            <w:vAlign w:val="top"/>
          </w:tcPr>
          <w:p>
            <w:pPr>
              <w:pStyle w:val="30"/>
              <w:bidi w:val="0"/>
            </w:pPr>
            <w: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2" w:hRule="atLeast"/>
          <w:jc w:val="center"/>
        </w:trPr>
        <w:tc>
          <w:tcPr>
            <w:tcW w:w="1249" w:type="pct"/>
            <w:noWrap w:val="0"/>
            <w:vAlign w:val="top"/>
          </w:tcPr>
          <w:p>
            <w:pPr>
              <w:pStyle w:val="30"/>
              <w:bidi w:val="0"/>
              <w:rPr>
                <w:rFonts w:hint="eastAsia" w:eastAsia="宋体"/>
                <w:lang w:eastAsia="zh-CN"/>
              </w:rPr>
            </w:pPr>
            <w:r>
              <w:rPr>
                <w:rFonts w:hint="eastAsia"/>
                <w:lang w:eastAsia="zh-CN"/>
              </w:rPr>
              <w:t>PM</w:t>
            </w:r>
            <w:r>
              <w:rPr>
                <w:rFonts w:hint="eastAsia"/>
                <w:vertAlign w:val="subscript"/>
                <w:lang w:eastAsia="zh-CN"/>
              </w:rPr>
              <w:t>2.5</w:t>
            </w:r>
          </w:p>
        </w:tc>
        <w:tc>
          <w:tcPr>
            <w:tcW w:w="900" w:type="pct"/>
            <w:noWrap w:val="0"/>
            <w:vAlign w:val="top"/>
          </w:tcPr>
          <w:p>
            <w:pPr>
              <w:pStyle w:val="30"/>
              <w:bidi w:val="0"/>
            </w:pPr>
            <w:r>
              <w:rPr>
                <w:rFonts w:hint="eastAsia"/>
              </w:rPr>
              <w:t>35</w:t>
            </w:r>
          </w:p>
        </w:tc>
        <w:tc>
          <w:tcPr>
            <w:tcW w:w="1598" w:type="pct"/>
            <w:noWrap w:val="0"/>
            <w:vAlign w:val="top"/>
          </w:tcPr>
          <w:p>
            <w:pPr>
              <w:pStyle w:val="30"/>
              <w:bidi w:val="0"/>
            </w:pPr>
            <w:r>
              <w:rPr>
                <w:rFonts w:hint="eastAsia"/>
              </w:rPr>
              <w:t>75</w:t>
            </w:r>
          </w:p>
        </w:tc>
        <w:tc>
          <w:tcPr>
            <w:tcW w:w="1251" w:type="pct"/>
            <w:noWrap w:val="0"/>
            <w:vAlign w:val="top"/>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2" w:hRule="atLeast"/>
          <w:jc w:val="center"/>
        </w:trPr>
        <w:tc>
          <w:tcPr>
            <w:tcW w:w="1249" w:type="pct"/>
            <w:noWrap w:val="0"/>
            <w:vAlign w:val="top"/>
          </w:tcPr>
          <w:p>
            <w:pPr>
              <w:pStyle w:val="30"/>
              <w:bidi w:val="0"/>
              <w:rPr>
                <w:u w:val="single"/>
              </w:rPr>
            </w:pPr>
            <w:r>
              <w:rPr>
                <w:rFonts w:hint="eastAsia"/>
                <w:u w:val="single"/>
              </w:rPr>
              <w:t>CO</w:t>
            </w:r>
          </w:p>
        </w:tc>
        <w:tc>
          <w:tcPr>
            <w:tcW w:w="900" w:type="pct"/>
            <w:noWrap w:val="0"/>
            <w:vAlign w:val="top"/>
          </w:tcPr>
          <w:p>
            <w:pPr>
              <w:pStyle w:val="30"/>
              <w:bidi w:val="0"/>
              <w:rPr>
                <w:u w:val="single"/>
              </w:rPr>
            </w:pPr>
            <w:r>
              <w:rPr>
                <w:rFonts w:hint="eastAsia"/>
                <w:u w:val="single"/>
              </w:rPr>
              <w:t>-</w:t>
            </w:r>
          </w:p>
        </w:tc>
        <w:tc>
          <w:tcPr>
            <w:tcW w:w="1598" w:type="pct"/>
            <w:noWrap w:val="0"/>
            <w:vAlign w:val="top"/>
          </w:tcPr>
          <w:p>
            <w:pPr>
              <w:pStyle w:val="30"/>
              <w:bidi w:val="0"/>
              <w:rPr>
                <w:rFonts w:hint="default" w:eastAsia="宋体"/>
                <w:u w:val="single"/>
                <w:lang w:val="en-US" w:eastAsia="zh-CN"/>
              </w:rPr>
            </w:pPr>
            <w:r>
              <w:rPr>
                <w:rFonts w:hint="eastAsia"/>
                <w:u w:val="single"/>
              </w:rPr>
              <w:t>4</w:t>
            </w:r>
            <w:r>
              <w:rPr>
                <w:rFonts w:hint="eastAsia"/>
                <w:u w:val="single"/>
                <w:lang w:val="en-US" w:eastAsia="zh-CN"/>
              </w:rPr>
              <w:t>000</w:t>
            </w:r>
          </w:p>
        </w:tc>
        <w:tc>
          <w:tcPr>
            <w:tcW w:w="1251" w:type="pct"/>
            <w:noWrap w:val="0"/>
            <w:vAlign w:val="top"/>
          </w:tcPr>
          <w:p>
            <w:pPr>
              <w:pStyle w:val="30"/>
              <w:bidi w:val="0"/>
              <w:rPr>
                <w:rFonts w:hint="default" w:eastAsia="宋体"/>
                <w:u w:val="single"/>
                <w:lang w:val="en-US" w:eastAsia="zh-CN"/>
              </w:rPr>
            </w:pPr>
            <w:r>
              <w:rPr>
                <w:rFonts w:hint="eastAsia"/>
                <w:u w:val="single"/>
              </w:rPr>
              <w:t>10</w:t>
            </w:r>
            <w:r>
              <w:rPr>
                <w:rFonts w:hint="eastAsia"/>
                <w:u w:val="single"/>
                <w:lang w:val="en-US" w:eastAsia="zh-CN"/>
              </w:rPr>
              <w:t>000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3" w:hRule="atLeast"/>
          <w:jc w:val="center"/>
        </w:trPr>
        <w:tc>
          <w:tcPr>
            <w:tcW w:w="1249" w:type="pct"/>
            <w:noWrap w:val="0"/>
            <w:vAlign w:val="top"/>
          </w:tcPr>
          <w:p>
            <w:pPr>
              <w:pStyle w:val="30"/>
              <w:bidi w:val="0"/>
            </w:pPr>
            <w:r>
              <w:rPr>
                <w:rFonts w:hint="eastAsia"/>
              </w:rPr>
              <w:t>O</w:t>
            </w:r>
            <w:r>
              <w:rPr>
                <w:rFonts w:hint="eastAsia"/>
                <w:vertAlign w:val="subscript"/>
              </w:rPr>
              <w:t>3</w:t>
            </w:r>
          </w:p>
        </w:tc>
        <w:tc>
          <w:tcPr>
            <w:tcW w:w="900" w:type="pct"/>
            <w:noWrap w:val="0"/>
            <w:vAlign w:val="top"/>
          </w:tcPr>
          <w:p>
            <w:pPr>
              <w:pStyle w:val="30"/>
              <w:bidi w:val="0"/>
            </w:pPr>
            <w:r>
              <w:rPr>
                <w:rFonts w:hint="eastAsia"/>
              </w:rPr>
              <w:t>-</w:t>
            </w:r>
          </w:p>
        </w:tc>
        <w:tc>
          <w:tcPr>
            <w:tcW w:w="1598" w:type="pct"/>
            <w:noWrap w:val="0"/>
            <w:vAlign w:val="top"/>
          </w:tcPr>
          <w:p>
            <w:pPr>
              <w:pStyle w:val="30"/>
              <w:bidi w:val="0"/>
            </w:pPr>
            <w:r>
              <w:rPr>
                <w:rFonts w:hint="eastAsia"/>
              </w:rPr>
              <w:t>160(日最大八小时平均)</w:t>
            </w:r>
          </w:p>
        </w:tc>
        <w:tc>
          <w:tcPr>
            <w:tcW w:w="1251" w:type="pct"/>
            <w:noWrap w:val="0"/>
            <w:vAlign w:val="top"/>
          </w:tcPr>
          <w:p>
            <w:pPr>
              <w:pStyle w:val="30"/>
              <w:bidi w:val="0"/>
            </w:pPr>
            <w:r>
              <w:rPr>
                <w:rFonts w:hint="eastAsia"/>
              </w:rPr>
              <w:t>200</w:t>
            </w:r>
          </w:p>
        </w:tc>
      </w:tr>
    </w:tbl>
    <w:p>
      <w:pPr>
        <w:bidi w:val="0"/>
        <w:rPr>
          <w:b/>
          <w:bCs/>
        </w:rPr>
      </w:pPr>
      <w:r>
        <w:rPr>
          <w:b/>
          <w:bCs/>
        </w:rPr>
        <w:t>2</w:t>
      </w:r>
      <w:r>
        <w:rPr>
          <w:rFonts w:hint="eastAsia"/>
          <w:b/>
          <w:bCs/>
          <w:lang w:eastAsia="zh-CN"/>
        </w:rPr>
        <w:t>、</w:t>
      </w:r>
      <w:r>
        <w:rPr>
          <w:b/>
          <w:bCs/>
        </w:rPr>
        <w:t>地表水环境</w:t>
      </w:r>
    </w:p>
    <w:p>
      <w:pPr>
        <w:bidi w:val="0"/>
        <w:rPr>
          <w:rFonts w:hint="eastAsia" w:ascii="宋体" w:cs="宋体"/>
          <w:kern w:val="0"/>
          <w:sz w:val="24"/>
        </w:rPr>
      </w:pPr>
      <w:r>
        <w:rPr>
          <w:kern w:val="0"/>
          <w:sz w:val="24"/>
        </w:rPr>
        <w:t>执行《地表水环境质量标准》（GB3838-2002）Ⅲ类水质标准</w:t>
      </w:r>
      <w:r>
        <w:rPr>
          <w:rFonts w:hint="eastAsia" w:ascii="宋体" w:cs="宋体"/>
          <w:kern w:val="0"/>
          <w:sz w:val="24"/>
        </w:rPr>
        <w:t>。</w:t>
      </w:r>
    </w:p>
    <w:p>
      <w:pPr>
        <w:pStyle w:val="29"/>
        <w:bidi w:val="0"/>
        <w:rPr>
          <w:rFonts w:hint="eastAsia"/>
        </w:rPr>
      </w:pPr>
      <w:r>
        <w:rPr>
          <w:rFonts w:hint="eastAsia"/>
        </w:rPr>
        <w:t>表</w:t>
      </w:r>
      <w:r>
        <w:rPr>
          <w:rFonts w:hint="eastAsia"/>
          <w:lang w:val="en-US" w:eastAsia="zh-CN"/>
        </w:rPr>
        <w:t>1.3</w:t>
      </w:r>
      <w:r>
        <w:rPr>
          <w:rFonts w:hint="eastAsia"/>
        </w:rPr>
        <w:t>-2   地表水环境质量标准   单位：mg/L，pH除外</w:t>
      </w:r>
    </w:p>
    <w:tbl>
      <w:tblPr>
        <w:tblStyle w:val="21"/>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522"/>
        <w:gridCol w:w="2219"/>
        <w:gridCol w:w="377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0" w:type="pct"/>
            <w:noWrap w:val="0"/>
            <w:vAlign w:val="center"/>
          </w:tcPr>
          <w:p>
            <w:pPr>
              <w:pStyle w:val="30"/>
              <w:bidi w:val="0"/>
            </w:pPr>
            <w:r>
              <w:t>序号</w:t>
            </w:r>
          </w:p>
        </w:tc>
        <w:tc>
          <w:tcPr>
            <w:tcW w:w="1302" w:type="pct"/>
            <w:noWrap w:val="0"/>
            <w:vAlign w:val="center"/>
          </w:tcPr>
          <w:p>
            <w:pPr>
              <w:pStyle w:val="30"/>
              <w:bidi w:val="0"/>
            </w:pPr>
            <w:r>
              <w:t>参数</w:t>
            </w:r>
          </w:p>
        </w:tc>
        <w:tc>
          <w:tcPr>
            <w:tcW w:w="2217" w:type="pct"/>
            <w:noWrap w:val="0"/>
            <w:vAlign w:val="center"/>
          </w:tcPr>
          <w:p>
            <w:pPr>
              <w:pStyle w:val="30"/>
              <w:bidi w:val="0"/>
            </w:pPr>
            <w:r>
              <w:rPr>
                <w:rFonts w:hint="eastAsia"/>
              </w:rPr>
              <w:t>Ⅲ</w:t>
            </w:r>
            <w:r>
              <w:t>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0" w:type="pct"/>
            <w:noWrap w:val="0"/>
            <w:vAlign w:val="center"/>
          </w:tcPr>
          <w:p>
            <w:pPr>
              <w:pStyle w:val="30"/>
              <w:bidi w:val="0"/>
            </w:pPr>
            <w:r>
              <w:t>1</w:t>
            </w:r>
          </w:p>
        </w:tc>
        <w:tc>
          <w:tcPr>
            <w:tcW w:w="1302" w:type="pct"/>
            <w:noWrap w:val="0"/>
            <w:vAlign w:val="center"/>
          </w:tcPr>
          <w:p>
            <w:pPr>
              <w:pStyle w:val="30"/>
              <w:bidi w:val="0"/>
            </w:pPr>
            <w:r>
              <w:rPr>
                <w:rFonts w:hint="eastAsia"/>
                <w:lang w:val="en-US" w:eastAsia="zh-CN"/>
              </w:rPr>
              <w:t>p</w:t>
            </w:r>
            <w:r>
              <w:t>H</w:t>
            </w:r>
          </w:p>
        </w:tc>
        <w:tc>
          <w:tcPr>
            <w:tcW w:w="2217" w:type="pct"/>
            <w:noWrap w:val="0"/>
            <w:vAlign w:val="center"/>
          </w:tcPr>
          <w:p>
            <w:pPr>
              <w:pStyle w:val="30"/>
              <w:bidi w:val="0"/>
            </w:pPr>
            <w:r>
              <w:rPr>
                <w:rFonts w:hint="eastAsia"/>
              </w:rPr>
              <w:t>6-9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0" w:type="pct"/>
            <w:noWrap w:val="0"/>
            <w:vAlign w:val="center"/>
          </w:tcPr>
          <w:p>
            <w:pPr>
              <w:pStyle w:val="30"/>
              <w:bidi w:val="0"/>
            </w:pPr>
            <w:r>
              <w:t>2</w:t>
            </w:r>
          </w:p>
        </w:tc>
        <w:tc>
          <w:tcPr>
            <w:tcW w:w="1302" w:type="pct"/>
            <w:noWrap w:val="0"/>
            <w:vAlign w:val="center"/>
          </w:tcPr>
          <w:p>
            <w:pPr>
              <w:pStyle w:val="30"/>
              <w:bidi w:val="0"/>
            </w:pPr>
            <w:r>
              <w:t>COD</w:t>
            </w:r>
          </w:p>
        </w:tc>
        <w:tc>
          <w:tcPr>
            <w:tcW w:w="2217" w:type="pct"/>
            <w:noWrap w:val="0"/>
            <w:vAlign w:val="center"/>
          </w:tcPr>
          <w:p>
            <w:pPr>
              <w:pStyle w:val="30"/>
              <w:bidi w:val="0"/>
            </w:pPr>
            <w:r>
              <w:t>≤</w:t>
            </w:r>
            <w:r>
              <w:rPr>
                <w:rFonts w:hint="eastAsia"/>
              </w:rPr>
              <w:t>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0" w:type="pct"/>
            <w:noWrap w:val="0"/>
            <w:vAlign w:val="center"/>
          </w:tcPr>
          <w:p>
            <w:pPr>
              <w:pStyle w:val="30"/>
              <w:bidi w:val="0"/>
            </w:pPr>
            <w:r>
              <w:t>3</w:t>
            </w:r>
          </w:p>
        </w:tc>
        <w:tc>
          <w:tcPr>
            <w:tcW w:w="1302" w:type="pct"/>
            <w:noWrap w:val="0"/>
            <w:vAlign w:val="center"/>
          </w:tcPr>
          <w:p>
            <w:pPr>
              <w:pStyle w:val="30"/>
              <w:bidi w:val="0"/>
              <w:rPr>
                <w:rFonts w:hint="eastAsia" w:eastAsia="宋体"/>
                <w:lang w:eastAsia="zh-CN"/>
              </w:rPr>
            </w:pPr>
            <w:r>
              <w:rPr>
                <w:rFonts w:hint="eastAsia"/>
                <w:lang w:eastAsia="zh-CN"/>
              </w:rPr>
              <w:t>BOD</w:t>
            </w:r>
            <w:r>
              <w:rPr>
                <w:rFonts w:hint="eastAsia"/>
                <w:vertAlign w:val="subscript"/>
                <w:lang w:eastAsia="zh-CN"/>
              </w:rPr>
              <w:t>5</w:t>
            </w:r>
          </w:p>
        </w:tc>
        <w:tc>
          <w:tcPr>
            <w:tcW w:w="2217" w:type="pct"/>
            <w:noWrap w:val="0"/>
            <w:vAlign w:val="center"/>
          </w:tcPr>
          <w:p>
            <w:pPr>
              <w:pStyle w:val="30"/>
              <w:bidi w:val="0"/>
            </w:pPr>
            <w:r>
              <w:t>≤</w:t>
            </w:r>
            <w:r>
              <w:rPr>
                <w:rFonts w:hint="eastAsia"/>
              </w:rPr>
              <w:t>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0" w:type="pct"/>
            <w:noWrap w:val="0"/>
            <w:vAlign w:val="center"/>
          </w:tcPr>
          <w:p>
            <w:pPr>
              <w:pStyle w:val="30"/>
              <w:bidi w:val="0"/>
              <w:rPr>
                <w:rFonts w:hint="eastAsia"/>
              </w:rPr>
            </w:pPr>
            <w:r>
              <w:rPr>
                <w:rFonts w:hint="eastAsia"/>
              </w:rPr>
              <w:t>4</w:t>
            </w:r>
          </w:p>
        </w:tc>
        <w:tc>
          <w:tcPr>
            <w:tcW w:w="1302" w:type="pct"/>
            <w:noWrap w:val="0"/>
            <w:vAlign w:val="center"/>
          </w:tcPr>
          <w:p>
            <w:pPr>
              <w:pStyle w:val="30"/>
              <w:bidi w:val="0"/>
            </w:pPr>
            <w:r>
              <w:t>氨氮</w:t>
            </w:r>
          </w:p>
        </w:tc>
        <w:tc>
          <w:tcPr>
            <w:tcW w:w="2217" w:type="pct"/>
            <w:noWrap w:val="0"/>
            <w:vAlign w:val="center"/>
          </w:tcPr>
          <w:p>
            <w:pPr>
              <w:pStyle w:val="30"/>
              <w:bidi w:val="0"/>
            </w:pPr>
            <w:r>
              <w:t>≤</w:t>
            </w:r>
            <w:r>
              <w:rPr>
                <w:rFonts w:hint="eastAsia"/>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0" w:type="pct"/>
            <w:noWrap w:val="0"/>
            <w:vAlign w:val="center"/>
          </w:tcPr>
          <w:p>
            <w:pPr>
              <w:pStyle w:val="30"/>
              <w:bidi w:val="0"/>
              <w:rPr>
                <w:rFonts w:hint="eastAsia"/>
              </w:rPr>
            </w:pPr>
            <w:r>
              <w:rPr>
                <w:rFonts w:hint="eastAsia"/>
              </w:rPr>
              <w:t>5</w:t>
            </w:r>
          </w:p>
        </w:tc>
        <w:tc>
          <w:tcPr>
            <w:tcW w:w="1302" w:type="pct"/>
            <w:noWrap w:val="0"/>
            <w:vAlign w:val="center"/>
          </w:tcPr>
          <w:p>
            <w:pPr>
              <w:pStyle w:val="30"/>
              <w:bidi w:val="0"/>
            </w:pPr>
            <w:r>
              <w:rPr>
                <w:rFonts w:hint="eastAsia"/>
              </w:rPr>
              <w:t>总磷</w:t>
            </w:r>
          </w:p>
        </w:tc>
        <w:tc>
          <w:tcPr>
            <w:tcW w:w="2217" w:type="pct"/>
            <w:noWrap w:val="0"/>
            <w:vAlign w:val="center"/>
          </w:tcPr>
          <w:p>
            <w:pPr>
              <w:pStyle w:val="30"/>
              <w:bidi w:val="0"/>
            </w:pPr>
            <w:r>
              <w:t>≤</w:t>
            </w:r>
            <w:r>
              <w:rPr>
                <w:rFonts w:hint="eastAsia"/>
              </w:rPr>
              <w:t>0.2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0" w:type="pct"/>
            <w:noWrap w:val="0"/>
            <w:vAlign w:val="center"/>
          </w:tcPr>
          <w:p>
            <w:pPr>
              <w:pStyle w:val="30"/>
              <w:bidi w:val="0"/>
              <w:rPr>
                <w:rFonts w:hint="eastAsia"/>
              </w:rPr>
            </w:pPr>
            <w:r>
              <w:rPr>
                <w:rFonts w:hint="eastAsia"/>
              </w:rPr>
              <w:t>6</w:t>
            </w:r>
          </w:p>
        </w:tc>
        <w:tc>
          <w:tcPr>
            <w:tcW w:w="1302" w:type="pct"/>
            <w:noWrap w:val="0"/>
            <w:vAlign w:val="center"/>
          </w:tcPr>
          <w:p>
            <w:pPr>
              <w:pStyle w:val="30"/>
              <w:bidi w:val="0"/>
              <w:rPr>
                <w:rFonts w:hint="eastAsia"/>
              </w:rPr>
            </w:pPr>
            <w:r>
              <w:rPr>
                <w:rFonts w:hint="eastAsia"/>
              </w:rPr>
              <w:t>SS</w:t>
            </w:r>
          </w:p>
        </w:tc>
        <w:tc>
          <w:tcPr>
            <w:tcW w:w="2217" w:type="pct"/>
            <w:noWrap w:val="0"/>
            <w:vAlign w:val="center"/>
          </w:tcPr>
          <w:p>
            <w:pPr>
              <w:pStyle w:val="30"/>
              <w:bidi w:val="0"/>
            </w:pPr>
            <w: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0" w:type="pct"/>
            <w:noWrap w:val="0"/>
            <w:vAlign w:val="center"/>
          </w:tcPr>
          <w:p>
            <w:pPr>
              <w:pStyle w:val="30"/>
              <w:bidi w:val="0"/>
              <w:rPr>
                <w:rFonts w:hint="eastAsia"/>
              </w:rPr>
            </w:pPr>
            <w:r>
              <w:rPr>
                <w:rFonts w:hint="eastAsia"/>
              </w:rPr>
              <w:t>7</w:t>
            </w:r>
          </w:p>
        </w:tc>
        <w:tc>
          <w:tcPr>
            <w:tcW w:w="1302" w:type="pct"/>
            <w:noWrap w:val="0"/>
            <w:vAlign w:val="center"/>
          </w:tcPr>
          <w:p>
            <w:pPr>
              <w:pStyle w:val="30"/>
              <w:bidi w:val="0"/>
            </w:pPr>
            <w:r>
              <w:t>总氮</w:t>
            </w:r>
          </w:p>
        </w:tc>
        <w:tc>
          <w:tcPr>
            <w:tcW w:w="2217" w:type="pct"/>
            <w:noWrap w:val="0"/>
            <w:vAlign w:val="center"/>
          </w:tcPr>
          <w:p>
            <w:pPr>
              <w:pStyle w:val="30"/>
              <w:bidi w:val="0"/>
            </w:pPr>
            <w:r>
              <w:t>≤</w:t>
            </w:r>
            <w:r>
              <w:rPr>
                <w:rFonts w:hint="eastAsia"/>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480" w:type="pct"/>
            <w:noWrap w:val="0"/>
            <w:vAlign w:val="center"/>
          </w:tcPr>
          <w:p>
            <w:pPr>
              <w:pStyle w:val="30"/>
              <w:bidi w:val="0"/>
              <w:rPr>
                <w:rFonts w:hint="eastAsia"/>
              </w:rPr>
            </w:pPr>
            <w:r>
              <w:rPr>
                <w:rFonts w:hint="eastAsia"/>
              </w:rPr>
              <w:t>8</w:t>
            </w:r>
          </w:p>
        </w:tc>
        <w:tc>
          <w:tcPr>
            <w:tcW w:w="1302" w:type="pct"/>
            <w:noWrap w:val="0"/>
            <w:vAlign w:val="center"/>
          </w:tcPr>
          <w:p>
            <w:pPr>
              <w:pStyle w:val="30"/>
              <w:bidi w:val="0"/>
              <w:rPr>
                <w:rFonts w:hint="eastAsia"/>
              </w:rPr>
            </w:pPr>
            <w:r>
              <w:rPr>
                <w:rFonts w:hint="eastAsia"/>
              </w:rPr>
              <w:t>石油类</w:t>
            </w:r>
          </w:p>
        </w:tc>
        <w:tc>
          <w:tcPr>
            <w:tcW w:w="2217" w:type="pct"/>
            <w:noWrap w:val="0"/>
            <w:vAlign w:val="center"/>
          </w:tcPr>
          <w:p>
            <w:pPr>
              <w:pStyle w:val="30"/>
              <w:bidi w:val="0"/>
            </w:pPr>
            <w:r>
              <w:t>≤</w:t>
            </w:r>
            <w:r>
              <w:rPr>
                <w:rFonts w:hint="eastAsia"/>
              </w:rPr>
              <w:t>0.05</w:t>
            </w:r>
          </w:p>
        </w:tc>
      </w:tr>
    </w:tbl>
    <w:p>
      <w:pPr>
        <w:bidi w:val="0"/>
        <w:rPr>
          <w:b/>
          <w:bCs/>
        </w:rPr>
      </w:pPr>
      <w:r>
        <w:rPr>
          <w:b/>
          <w:bCs/>
        </w:rPr>
        <w:t>3</w:t>
      </w:r>
      <w:r>
        <w:rPr>
          <w:rFonts w:hint="eastAsia"/>
          <w:b/>
          <w:bCs/>
          <w:lang w:eastAsia="zh-CN"/>
        </w:rPr>
        <w:t>、</w:t>
      </w:r>
      <w:r>
        <w:rPr>
          <w:b/>
          <w:bCs/>
        </w:rPr>
        <w:t>声环境</w:t>
      </w:r>
    </w:p>
    <w:p>
      <w:pPr>
        <w:bidi w:val="0"/>
        <w:rPr>
          <w:rFonts w:hint="eastAsia"/>
        </w:rPr>
      </w:pPr>
      <w:r>
        <w:rPr>
          <w:rFonts w:hint="eastAsia"/>
        </w:rPr>
        <w:t>项目</w:t>
      </w:r>
      <w:r>
        <w:t>所在地</w:t>
      </w:r>
      <w:r>
        <w:rPr>
          <w:rFonts w:hint="eastAsia"/>
        </w:rPr>
        <w:t>执行</w:t>
      </w:r>
      <w:r>
        <w:t>《声环境质量标准》（GB3096-2008）</w:t>
      </w:r>
      <w:r>
        <w:rPr>
          <w:rFonts w:hint="eastAsia"/>
        </w:rPr>
        <w:t>2</w:t>
      </w:r>
      <w:r>
        <w:t>类标准</w:t>
      </w:r>
      <w:r>
        <w:rPr>
          <w:rFonts w:hint="eastAsia"/>
        </w:rPr>
        <w:t>，</w:t>
      </w:r>
      <w:r>
        <w:t>标准限值见表</w:t>
      </w:r>
      <w:r>
        <w:rPr>
          <w:rFonts w:hint="eastAsia"/>
          <w:lang w:val="en-US" w:eastAsia="zh-CN"/>
        </w:rPr>
        <w:t>1.3</w:t>
      </w:r>
      <w:r>
        <w:rPr>
          <w:rFonts w:hint="eastAsia"/>
        </w:rPr>
        <w:t>-3。</w:t>
      </w:r>
    </w:p>
    <w:p>
      <w:pPr>
        <w:pStyle w:val="29"/>
        <w:bidi w:val="0"/>
      </w:pPr>
      <w:r>
        <w:t>表</w:t>
      </w:r>
      <w:r>
        <w:rPr>
          <w:rFonts w:hint="eastAsia"/>
          <w:lang w:val="en-US" w:eastAsia="zh-CN"/>
        </w:rPr>
        <w:t>1.3</w:t>
      </w:r>
      <w:r>
        <w:t>-3  《声环境质量标准》（GB3096-2008）标准限值（摘录）</w:t>
      </w:r>
    </w:p>
    <w:tbl>
      <w:tblPr>
        <w:tblStyle w:val="21"/>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839"/>
        <w:gridCol w:w="2840"/>
        <w:gridCol w:w="284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6" w:type="pct"/>
            <w:noWrap w:val="0"/>
            <w:vAlign w:val="center"/>
          </w:tcPr>
          <w:p>
            <w:pPr>
              <w:pStyle w:val="30"/>
              <w:bidi w:val="0"/>
            </w:pPr>
            <w:r>
              <w:t>类别</w:t>
            </w:r>
          </w:p>
        </w:tc>
        <w:tc>
          <w:tcPr>
            <w:tcW w:w="1666" w:type="pct"/>
            <w:noWrap w:val="0"/>
            <w:vAlign w:val="center"/>
          </w:tcPr>
          <w:p>
            <w:pPr>
              <w:pStyle w:val="30"/>
              <w:bidi w:val="0"/>
            </w:pPr>
            <w:r>
              <w:t>昼间</w:t>
            </w:r>
          </w:p>
        </w:tc>
        <w:tc>
          <w:tcPr>
            <w:tcW w:w="1666" w:type="pct"/>
            <w:noWrap w:val="0"/>
            <w:vAlign w:val="center"/>
          </w:tcPr>
          <w:p>
            <w:pPr>
              <w:pStyle w:val="30"/>
              <w:bidi w:val="0"/>
            </w:pPr>
            <w: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6" w:type="pct"/>
            <w:noWrap w:val="0"/>
            <w:vAlign w:val="center"/>
          </w:tcPr>
          <w:p>
            <w:pPr>
              <w:pStyle w:val="30"/>
              <w:bidi w:val="0"/>
            </w:pPr>
            <w:r>
              <w:rPr>
                <w:rFonts w:hint="eastAsia"/>
              </w:rPr>
              <w:t>2</w:t>
            </w:r>
            <w:r>
              <w:t>类</w:t>
            </w:r>
          </w:p>
        </w:tc>
        <w:tc>
          <w:tcPr>
            <w:tcW w:w="1666" w:type="pct"/>
            <w:noWrap w:val="0"/>
            <w:vAlign w:val="center"/>
          </w:tcPr>
          <w:p>
            <w:pPr>
              <w:pStyle w:val="30"/>
              <w:bidi w:val="0"/>
            </w:pPr>
            <w:r>
              <w:rPr>
                <w:rFonts w:hint="eastAsia"/>
              </w:rPr>
              <w:t>60</w:t>
            </w:r>
          </w:p>
        </w:tc>
        <w:tc>
          <w:tcPr>
            <w:tcW w:w="1666" w:type="pct"/>
            <w:noWrap w:val="0"/>
            <w:vAlign w:val="center"/>
          </w:tcPr>
          <w:p>
            <w:pPr>
              <w:pStyle w:val="30"/>
              <w:bidi w:val="0"/>
            </w:pPr>
            <w:r>
              <w:rPr>
                <w:rFonts w:hint="eastAsia"/>
              </w:rPr>
              <w:t>50</w:t>
            </w:r>
          </w:p>
        </w:tc>
      </w:tr>
    </w:tbl>
    <w:p>
      <w:pPr>
        <w:pStyle w:val="2"/>
        <w:bidi w:val="0"/>
        <w:rPr>
          <w:rFonts w:hint="eastAsia"/>
          <w:lang w:eastAsia="zh-CN"/>
        </w:rPr>
      </w:pPr>
      <w:r>
        <w:rPr>
          <w:rFonts w:hint="eastAsia"/>
          <w:lang w:eastAsia="zh-CN"/>
        </w:rPr>
        <w:t>排放标准</w:t>
      </w:r>
    </w:p>
    <w:p>
      <w:pPr>
        <w:rPr>
          <w:rFonts w:hint="eastAsia"/>
          <w:lang w:eastAsia="zh-CN"/>
        </w:rPr>
      </w:pPr>
      <w:r>
        <w:rPr>
          <w:rFonts w:hint="eastAsia"/>
          <w:lang w:eastAsia="zh-CN"/>
        </w:rPr>
        <w:t>本次变更执行的排放标准如下。</w:t>
      </w:r>
    </w:p>
    <w:p>
      <w:pPr>
        <w:numPr>
          <w:ilvl w:val="0"/>
          <w:numId w:val="2"/>
        </w:numPr>
        <w:bidi w:val="0"/>
        <w:rPr>
          <w:b/>
          <w:bCs/>
        </w:rPr>
      </w:pPr>
      <w:r>
        <w:rPr>
          <w:b/>
          <w:bCs/>
        </w:rPr>
        <w:t>废气</w:t>
      </w:r>
    </w:p>
    <w:p>
      <w:pPr>
        <w:bidi w:val="0"/>
        <w:rPr>
          <w:rFonts w:hint="eastAsia" w:eastAsia="宋体"/>
          <w:lang w:val="en-US" w:eastAsia="zh-CN"/>
        </w:rPr>
      </w:pPr>
      <w:r>
        <w:rPr>
          <w:sz w:val="24"/>
          <w:szCs w:val="24"/>
        </w:rPr>
        <w:t>大气污染物执行《大气污染物综合排放标准》(GB16297- 1996)中</w:t>
      </w:r>
      <w:r>
        <w:rPr>
          <w:rFonts w:hint="eastAsia" w:ascii="宋体" w:cs="宋体"/>
          <w:kern w:val="0"/>
          <w:sz w:val="24"/>
          <w:szCs w:val="24"/>
        </w:rPr>
        <w:t>无组织排放监控浓度限值</w:t>
      </w:r>
      <w:r>
        <w:rPr>
          <w:rFonts w:hint="eastAsia" w:ascii="宋体" w:cs="宋体"/>
          <w:kern w:val="0"/>
          <w:sz w:val="24"/>
          <w:szCs w:val="24"/>
          <w:lang w:eastAsia="zh-CN"/>
        </w:rPr>
        <w:t>。</w:t>
      </w:r>
    </w:p>
    <w:p>
      <w:pPr>
        <w:pStyle w:val="29"/>
        <w:bidi w:val="0"/>
        <w:rPr>
          <w:rFonts w:hint="eastAsia"/>
        </w:rPr>
      </w:pPr>
      <w:r>
        <w:rPr>
          <w:rFonts w:hint="eastAsia"/>
        </w:rPr>
        <w:t>表</w:t>
      </w:r>
      <w:r>
        <w:rPr>
          <w:rFonts w:hint="eastAsia"/>
          <w:lang w:val="en-US" w:eastAsia="zh-CN"/>
        </w:rPr>
        <w:t>1.3-4</w:t>
      </w:r>
      <w:r>
        <w:rPr>
          <w:rFonts w:hint="eastAsia"/>
        </w:rPr>
        <w:t xml:space="preserve">   大气污染物排放标准（GB16297-1996）</w:t>
      </w:r>
    </w:p>
    <w:tbl>
      <w:tblPr>
        <w:tblStyle w:val="21"/>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425"/>
        <w:gridCol w:w="1707"/>
        <w:gridCol w:w="1553"/>
        <w:gridCol w:w="1553"/>
        <w:gridCol w:w="22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4" w:hRule="exact"/>
          <w:jc w:val="center"/>
        </w:trPr>
        <w:tc>
          <w:tcPr>
            <w:tcW w:w="836" w:type="pct"/>
            <w:vMerge w:val="restart"/>
            <w:noWrap w:val="0"/>
            <w:vAlign w:val="center"/>
          </w:tcPr>
          <w:p>
            <w:pPr>
              <w:pStyle w:val="30"/>
              <w:bidi w:val="0"/>
            </w:pPr>
            <w:r>
              <w:t>污染物</w:t>
            </w:r>
          </w:p>
        </w:tc>
        <w:tc>
          <w:tcPr>
            <w:tcW w:w="1001" w:type="pct"/>
            <w:vMerge w:val="restart"/>
            <w:noWrap w:val="0"/>
            <w:vAlign w:val="center"/>
          </w:tcPr>
          <w:p>
            <w:pPr>
              <w:pStyle w:val="30"/>
              <w:bidi w:val="0"/>
            </w:pPr>
            <w:r>
              <w:t>最高允许排放浓度（mg/</w:t>
            </w:r>
            <w:r>
              <w:rPr>
                <w:rFonts w:hint="eastAsia"/>
                <w:lang w:eastAsia="zh-CN"/>
              </w:rPr>
              <w:t>m</w:t>
            </w:r>
            <w:r>
              <w:rPr>
                <w:rFonts w:hint="eastAsia"/>
                <w:vertAlign w:val="superscript"/>
                <w:lang w:eastAsia="zh-CN"/>
              </w:rPr>
              <w:t>3</w:t>
            </w:r>
            <w:r>
              <w:t>）</w:t>
            </w:r>
          </w:p>
        </w:tc>
        <w:tc>
          <w:tcPr>
            <w:tcW w:w="1822" w:type="pct"/>
            <w:gridSpan w:val="2"/>
            <w:noWrap w:val="0"/>
            <w:vAlign w:val="center"/>
          </w:tcPr>
          <w:p>
            <w:pPr>
              <w:pStyle w:val="30"/>
              <w:bidi w:val="0"/>
            </w:pPr>
            <w:r>
              <w:t>最高允许排放速率（kg/h）</w:t>
            </w:r>
          </w:p>
        </w:tc>
        <w:tc>
          <w:tcPr>
            <w:tcW w:w="1338" w:type="pct"/>
            <w:vMerge w:val="restart"/>
            <w:noWrap w:val="0"/>
            <w:vAlign w:val="center"/>
          </w:tcPr>
          <w:p>
            <w:pPr>
              <w:pStyle w:val="30"/>
              <w:bidi w:val="0"/>
            </w:pPr>
            <w:r>
              <w:t>无组织排放监控浓度限值（mg/</w:t>
            </w:r>
            <w:r>
              <w:rPr>
                <w:rFonts w:hint="eastAsia"/>
                <w:lang w:eastAsia="zh-CN"/>
              </w:rPr>
              <w:t>m</w:t>
            </w:r>
            <w:r>
              <w:rPr>
                <w:rFonts w:hint="eastAsia"/>
                <w:vertAlign w:val="superscript"/>
                <w:lang w:eastAsia="zh-CN"/>
              </w:rPr>
              <w:t>3</w:t>
            </w:r>
            <w: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4" w:hRule="exact"/>
          <w:jc w:val="center"/>
        </w:trPr>
        <w:tc>
          <w:tcPr>
            <w:tcW w:w="836" w:type="pct"/>
            <w:vMerge w:val="continue"/>
            <w:shd w:val="clear" w:color="auto" w:fill="CCFFCC"/>
            <w:noWrap w:val="0"/>
            <w:vAlign w:val="center"/>
          </w:tcPr>
          <w:p>
            <w:pPr>
              <w:pStyle w:val="30"/>
              <w:bidi w:val="0"/>
            </w:pPr>
          </w:p>
        </w:tc>
        <w:tc>
          <w:tcPr>
            <w:tcW w:w="1001" w:type="pct"/>
            <w:vMerge w:val="continue"/>
            <w:shd w:val="clear" w:color="auto" w:fill="CCFFCC"/>
            <w:noWrap w:val="0"/>
            <w:vAlign w:val="center"/>
          </w:tcPr>
          <w:p>
            <w:pPr>
              <w:pStyle w:val="30"/>
              <w:bidi w:val="0"/>
            </w:pPr>
          </w:p>
        </w:tc>
        <w:tc>
          <w:tcPr>
            <w:tcW w:w="911" w:type="pct"/>
            <w:shd w:val="clear" w:color="auto" w:fill="auto"/>
            <w:noWrap w:val="0"/>
            <w:vAlign w:val="center"/>
          </w:tcPr>
          <w:p>
            <w:pPr>
              <w:pStyle w:val="30"/>
              <w:bidi w:val="0"/>
            </w:pPr>
            <w:r>
              <w:t>排气筒（m）</w:t>
            </w:r>
          </w:p>
        </w:tc>
        <w:tc>
          <w:tcPr>
            <w:tcW w:w="911" w:type="pct"/>
            <w:shd w:val="clear" w:color="auto" w:fill="auto"/>
            <w:noWrap w:val="0"/>
            <w:vAlign w:val="center"/>
          </w:tcPr>
          <w:p>
            <w:pPr>
              <w:pStyle w:val="30"/>
              <w:bidi w:val="0"/>
            </w:pPr>
            <w:r>
              <w:t>二级</w:t>
            </w:r>
          </w:p>
        </w:tc>
        <w:tc>
          <w:tcPr>
            <w:tcW w:w="1338" w:type="pct"/>
            <w:vMerge w:val="continue"/>
            <w:shd w:val="clear" w:color="auto" w:fill="CCFFCC"/>
            <w:noWrap w:val="0"/>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5" w:hRule="exact"/>
          <w:jc w:val="center"/>
        </w:trPr>
        <w:tc>
          <w:tcPr>
            <w:tcW w:w="836" w:type="pct"/>
            <w:noWrap w:val="0"/>
            <w:vAlign w:val="center"/>
          </w:tcPr>
          <w:p>
            <w:pPr>
              <w:pStyle w:val="30"/>
              <w:bidi w:val="0"/>
            </w:pPr>
            <w:r>
              <w:t>颗粒物</w:t>
            </w:r>
          </w:p>
        </w:tc>
        <w:tc>
          <w:tcPr>
            <w:tcW w:w="1001" w:type="pct"/>
            <w:noWrap w:val="0"/>
            <w:vAlign w:val="center"/>
          </w:tcPr>
          <w:p>
            <w:pPr>
              <w:pStyle w:val="30"/>
              <w:bidi w:val="0"/>
            </w:pPr>
            <w:r>
              <w:t>120</w:t>
            </w:r>
          </w:p>
        </w:tc>
        <w:tc>
          <w:tcPr>
            <w:tcW w:w="911" w:type="pct"/>
            <w:noWrap w:val="0"/>
            <w:vAlign w:val="center"/>
          </w:tcPr>
          <w:p>
            <w:pPr>
              <w:pStyle w:val="30"/>
              <w:bidi w:val="0"/>
              <w:rPr>
                <w:rFonts w:hint="eastAsia"/>
              </w:rPr>
            </w:pPr>
            <w:r>
              <w:rPr>
                <w:rFonts w:hint="eastAsia"/>
              </w:rPr>
              <w:t>15</w:t>
            </w:r>
          </w:p>
        </w:tc>
        <w:tc>
          <w:tcPr>
            <w:tcW w:w="911" w:type="pct"/>
            <w:noWrap w:val="0"/>
            <w:vAlign w:val="center"/>
          </w:tcPr>
          <w:p>
            <w:pPr>
              <w:pStyle w:val="30"/>
              <w:bidi w:val="0"/>
              <w:rPr>
                <w:rFonts w:hint="eastAsia"/>
              </w:rPr>
            </w:pPr>
            <w:r>
              <w:rPr>
                <w:rFonts w:hint="eastAsia"/>
              </w:rPr>
              <w:t>3.5</w:t>
            </w:r>
          </w:p>
        </w:tc>
        <w:tc>
          <w:tcPr>
            <w:tcW w:w="1338" w:type="pct"/>
            <w:noWrap w:val="0"/>
            <w:vAlign w:val="center"/>
          </w:tcPr>
          <w:p>
            <w:pPr>
              <w:pStyle w:val="30"/>
              <w:bidi w:val="0"/>
            </w:pPr>
            <w:r>
              <w:t>1.0</w:t>
            </w:r>
          </w:p>
        </w:tc>
      </w:tr>
    </w:tbl>
    <w:p>
      <w:pPr>
        <w:numPr>
          <w:ilvl w:val="0"/>
          <w:numId w:val="2"/>
        </w:numPr>
        <w:bidi w:val="0"/>
        <w:rPr>
          <w:rFonts w:hint="default"/>
          <w:b/>
          <w:bCs/>
          <w:lang w:val="en-US" w:eastAsia="zh-CN"/>
        </w:rPr>
      </w:pPr>
      <w:r>
        <w:rPr>
          <w:rFonts w:hint="eastAsia"/>
          <w:b/>
          <w:bCs/>
          <w:lang w:val="en-US" w:eastAsia="zh-CN"/>
        </w:rPr>
        <w:t>废水</w:t>
      </w:r>
    </w:p>
    <w:p>
      <w:pPr>
        <w:bidi w:val="0"/>
        <w:rPr>
          <w:rFonts w:hint="default"/>
          <w:sz w:val="24"/>
          <w:szCs w:val="24"/>
          <w:lang w:val="en-US" w:eastAsia="zh-CN"/>
        </w:rPr>
      </w:pPr>
      <w:r>
        <w:rPr>
          <w:rFonts w:hint="eastAsia"/>
          <w:sz w:val="24"/>
          <w:szCs w:val="24"/>
          <w:lang w:val="en-US" w:eastAsia="zh-CN"/>
        </w:rPr>
        <w:t>不设生活办公设施，无生活污水产生，破碎洒水用水进入产品后随之蒸发损失，不外排。车辆冲洗水沉淀后用于洒水抑尘，无废水外排。</w:t>
      </w:r>
    </w:p>
    <w:p>
      <w:pPr>
        <w:spacing w:line="360" w:lineRule="auto"/>
        <w:rPr>
          <w:b/>
          <w:sz w:val="24"/>
          <w:szCs w:val="28"/>
        </w:rPr>
      </w:pPr>
      <w:r>
        <w:rPr>
          <w:b/>
          <w:sz w:val="24"/>
        </w:rPr>
        <w:t>3</w:t>
      </w:r>
      <w:r>
        <w:rPr>
          <w:b/>
          <w:sz w:val="24"/>
          <w:szCs w:val="28"/>
        </w:rPr>
        <w:t>、噪声</w:t>
      </w:r>
    </w:p>
    <w:p>
      <w:pPr>
        <w:spacing w:line="360" w:lineRule="auto"/>
        <w:ind w:firstLine="480" w:firstLineChars="200"/>
        <w:rPr>
          <w:sz w:val="24"/>
        </w:rPr>
      </w:pPr>
      <w:r>
        <w:rPr>
          <w:sz w:val="24"/>
        </w:rPr>
        <w:t>施工期噪声执行《建筑施工场界环境噪声排放标准》（GB12523-2011）。</w:t>
      </w:r>
    </w:p>
    <w:p>
      <w:pPr>
        <w:pStyle w:val="29"/>
        <w:bidi w:val="0"/>
        <w:rPr>
          <w:rFonts w:hint="eastAsia"/>
        </w:rPr>
      </w:pPr>
      <w:r>
        <w:rPr>
          <w:rFonts w:hint="eastAsia"/>
        </w:rPr>
        <w:t>表</w:t>
      </w:r>
      <w:r>
        <w:rPr>
          <w:rFonts w:hint="eastAsia"/>
          <w:lang w:val="en-US" w:eastAsia="zh-CN"/>
        </w:rPr>
        <w:t>1.3</w:t>
      </w:r>
      <w:r>
        <w:rPr>
          <w:rFonts w:hint="eastAsia"/>
        </w:rPr>
        <w:t>-</w:t>
      </w:r>
      <w:r>
        <w:rPr>
          <w:rFonts w:hint="eastAsia"/>
          <w:lang w:val="en-US" w:eastAsia="zh-CN"/>
        </w:rPr>
        <w:t>5</w:t>
      </w:r>
      <w:r>
        <w:rPr>
          <w:rFonts w:hint="eastAsia"/>
        </w:rPr>
        <w:t xml:space="preserve">  噪声排放标准限值单位：dB（A）</w:t>
      </w:r>
    </w:p>
    <w:tbl>
      <w:tblPr>
        <w:tblStyle w:val="21"/>
        <w:tblW w:w="4998"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autofit"/>
        <w:tblCellMar>
          <w:top w:w="0" w:type="dxa"/>
          <w:left w:w="0" w:type="dxa"/>
          <w:bottom w:w="0" w:type="dxa"/>
          <w:right w:w="0" w:type="dxa"/>
        </w:tblCellMar>
      </w:tblPr>
      <w:tblGrid>
        <w:gridCol w:w="4738"/>
        <w:gridCol w:w="1915"/>
        <w:gridCol w:w="168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CellMar>
            <w:top w:w="0" w:type="dxa"/>
            <w:left w:w="0" w:type="dxa"/>
            <w:bottom w:w="0" w:type="dxa"/>
            <w:right w:w="0" w:type="dxa"/>
          </w:tblCellMar>
        </w:tblPrEx>
        <w:trPr>
          <w:cantSplit/>
          <w:jc w:val="center"/>
        </w:trPr>
        <w:tc>
          <w:tcPr>
            <w:tcW w:w="2842" w:type="pct"/>
            <w:shd w:val="clear" w:color="auto" w:fill="auto"/>
            <w:vAlign w:val="center"/>
          </w:tcPr>
          <w:p>
            <w:pPr>
              <w:pStyle w:val="30"/>
              <w:bidi w:val="0"/>
            </w:pPr>
            <w:r>
              <w:t>标准名称及代号</w:t>
            </w:r>
          </w:p>
        </w:tc>
        <w:tc>
          <w:tcPr>
            <w:tcW w:w="1149" w:type="pct"/>
            <w:shd w:val="clear" w:color="auto" w:fill="auto"/>
            <w:vAlign w:val="center"/>
          </w:tcPr>
          <w:p>
            <w:pPr>
              <w:pStyle w:val="30"/>
              <w:bidi w:val="0"/>
            </w:pPr>
            <w:r>
              <w:t>昼间</w:t>
            </w:r>
          </w:p>
        </w:tc>
        <w:tc>
          <w:tcPr>
            <w:tcW w:w="1008" w:type="pct"/>
            <w:shd w:val="clear" w:color="auto" w:fill="auto"/>
            <w:vAlign w:val="center"/>
          </w:tcPr>
          <w:p>
            <w:pPr>
              <w:pStyle w:val="30"/>
              <w:bidi w:val="0"/>
            </w:pPr>
            <w:r>
              <w:t>夜间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cantSplit/>
          <w:jc w:val="center"/>
        </w:trPr>
        <w:tc>
          <w:tcPr>
            <w:tcW w:w="2842" w:type="pct"/>
            <w:shd w:val="clear" w:color="auto" w:fill="auto"/>
            <w:vAlign w:val="center"/>
          </w:tcPr>
          <w:p>
            <w:pPr>
              <w:pStyle w:val="30"/>
              <w:bidi w:val="0"/>
            </w:pPr>
            <w:r>
              <w:t>《建筑施工场界环境噪声排放标准》（GB12523-2011）</w:t>
            </w:r>
          </w:p>
        </w:tc>
        <w:tc>
          <w:tcPr>
            <w:tcW w:w="1149" w:type="pct"/>
            <w:shd w:val="clear" w:color="auto" w:fill="auto"/>
            <w:vAlign w:val="center"/>
          </w:tcPr>
          <w:p>
            <w:pPr>
              <w:pStyle w:val="30"/>
              <w:bidi w:val="0"/>
            </w:pPr>
            <w:r>
              <w:t>70</w:t>
            </w:r>
          </w:p>
        </w:tc>
        <w:tc>
          <w:tcPr>
            <w:tcW w:w="1008" w:type="pct"/>
            <w:shd w:val="clear" w:color="auto" w:fill="auto"/>
            <w:vAlign w:val="center"/>
          </w:tcPr>
          <w:p>
            <w:pPr>
              <w:pStyle w:val="30"/>
              <w:bidi w:val="0"/>
            </w:pPr>
            <w:r>
              <w:t>55</w:t>
            </w:r>
          </w:p>
        </w:tc>
      </w:tr>
    </w:tbl>
    <w:p>
      <w:pPr>
        <w:pStyle w:val="3"/>
        <w:bidi w:val="0"/>
      </w:pPr>
      <w:bookmarkStart w:id="16" w:name="_Toc517214616"/>
      <w:bookmarkStart w:id="17" w:name="_Toc23551"/>
      <w:bookmarkStart w:id="18" w:name="_Toc5902"/>
      <w:r>
        <w:t>原有项目工程概况</w:t>
      </w:r>
      <w:bookmarkEnd w:id="16"/>
      <w:bookmarkEnd w:id="17"/>
      <w:bookmarkEnd w:id="18"/>
    </w:p>
    <w:p>
      <w:pPr>
        <w:pStyle w:val="4"/>
        <w:bidi w:val="0"/>
        <w:rPr>
          <w:rFonts w:hint="eastAsia"/>
        </w:rPr>
      </w:pPr>
      <w:bookmarkStart w:id="19" w:name="_Toc20812"/>
      <w:bookmarkStart w:id="20" w:name="_Toc3833"/>
      <w:r>
        <w:rPr>
          <w:b/>
          <w:bCs/>
          <w:sz w:val="24"/>
          <w:szCs w:val="24"/>
        </w:rPr>
        <w:t>项</w:t>
      </w:r>
      <w:r>
        <w:rPr>
          <w:rFonts w:hint="eastAsia" w:ascii="宋体" w:hAnsi="宋体" w:cs="宋体"/>
          <w:b/>
          <w:bCs/>
          <w:sz w:val="24"/>
          <w:szCs w:val="24"/>
        </w:rPr>
        <w:t>目建设内容及规模</w:t>
      </w:r>
      <w:bookmarkEnd w:id="19"/>
      <w:bookmarkEnd w:id="20"/>
    </w:p>
    <w:p>
      <w:pPr>
        <w:spacing w:line="360" w:lineRule="auto"/>
        <w:ind w:firstLine="480" w:firstLineChars="200"/>
        <w:rPr>
          <w:sz w:val="24"/>
        </w:rPr>
      </w:pPr>
      <w:r>
        <w:rPr>
          <w:sz w:val="24"/>
        </w:rPr>
        <w:t>项目名称：</w:t>
      </w:r>
      <w:r>
        <w:rPr>
          <w:rFonts w:hint="eastAsia"/>
          <w:sz w:val="24"/>
        </w:rPr>
        <w:t>岳阳市君山区水利安保工程（二洲子村-旅游路）项目</w:t>
      </w:r>
    </w:p>
    <w:p>
      <w:pPr>
        <w:spacing w:line="360" w:lineRule="auto"/>
        <w:ind w:firstLine="480" w:firstLineChars="200"/>
        <w:rPr>
          <w:rFonts w:hint="eastAsia" w:eastAsia="宋体"/>
          <w:sz w:val="24"/>
          <w:lang w:eastAsia="zh-CN"/>
        </w:rPr>
      </w:pPr>
      <w:r>
        <w:rPr>
          <w:sz w:val="24"/>
        </w:rPr>
        <w:t>建设单位：</w:t>
      </w:r>
      <w:r>
        <w:rPr>
          <w:rFonts w:hint="eastAsia"/>
          <w:sz w:val="24"/>
          <w:lang w:eastAsia="zh-CN"/>
        </w:rPr>
        <w:t>岳阳市君山区城市建设投资有限公司</w:t>
      </w:r>
    </w:p>
    <w:p>
      <w:pPr>
        <w:spacing w:line="360" w:lineRule="auto"/>
        <w:ind w:firstLine="480" w:firstLineChars="200"/>
        <w:rPr>
          <w:sz w:val="24"/>
        </w:rPr>
      </w:pPr>
      <w:r>
        <w:rPr>
          <w:sz w:val="24"/>
        </w:rPr>
        <w:t>建设地点：位于岳阳市</w:t>
      </w:r>
      <w:r>
        <w:rPr>
          <w:rFonts w:hint="eastAsia"/>
          <w:sz w:val="24"/>
        </w:rPr>
        <w:t>君山区，建设范围为二洲子村至旅游路段，路线起点与二洲子村垃圾处理中心连接道相接，终点与旅游路南段相接，全长</w:t>
      </w:r>
      <w:r>
        <w:rPr>
          <w:sz w:val="24"/>
        </w:rPr>
        <w:t>11738</w:t>
      </w:r>
      <w:r>
        <w:rPr>
          <w:rFonts w:hint="eastAsia"/>
          <w:sz w:val="24"/>
        </w:rPr>
        <w:t>m。</w:t>
      </w:r>
    </w:p>
    <w:p>
      <w:pPr>
        <w:spacing w:line="360" w:lineRule="auto"/>
        <w:ind w:firstLine="480" w:firstLineChars="200"/>
        <w:rPr>
          <w:sz w:val="24"/>
        </w:rPr>
      </w:pPr>
      <w:r>
        <w:rPr>
          <w:sz w:val="24"/>
        </w:rPr>
        <w:t>占地面积：</w:t>
      </w:r>
      <w:r>
        <w:rPr>
          <w:rFonts w:hint="eastAsia"/>
          <w:sz w:val="24"/>
        </w:rPr>
        <w:t>556694.45</w:t>
      </w:r>
      <w:r>
        <w:rPr>
          <w:rFonts w:hint="eastAsia"/>
          <w:sz w:val="24"/>
          <w:lang w:eastAsia="zh-CN"/>
        </w:rPr>
        <w:t>m</w:t>
      </w:r>
      <w:r>
        <w:rPr>
          <w:rFonts w:hint="eastAsia"/>
          <w:sz w:val="24"/>
          <w:vertAlign w:val="superscript"/>
          <w:lang w:eastAsia="zh-CN"/>
        </w:rPr>
        <w:t>2</w:t>
      </w:r>
      <w:r>
        <w:rPr>
          <w:rFonts w:hint="eastAsia"/>
          <w:sz w:val="24"/>
        </w:rPr>
        <w:t>，用地现状</w:t>
      </w:r>
      <w:r>
        <w:rPr>
          <w:sz w:val="24"/>
        </w:rPr>
        <w:t>类型包括旱地（油菜、蔬菜）、苗圃用地、林地、岳阳市君山区君山垸水利管理委员会管理用地及其他用地</w:t>
      </w:r>
      <w:r>
        <w:rPr>
          <w:rFonts w:hint="eastAsia"/>
          <w:sz w:val="24"/>
        </w:rPr>
        <w:t>。</w:t>
      </w:r>
    </w:p>
    <w:p>
      <w:pPr>
        <w:spacing w:line="360" w:lineRule="auto"/>
        <w:ind w:firstLine="480" w:firstLineChars="200"/>
        <w:rPr>
          <w:sz w:val="24"/>
        </w:rPr>
      </w:pPr>
      <w:r>
        <w:rPr>
          <w:rFonts w:hint="eastAsia"/>
          <w:sz w:val="24"/>
        </w:rPr>
        <w:t>道路等级：城市次干路</w:t>
      </w:r>
    </w:p>
    <w:p>
      <w:pPr>
        <w:spacing w:line="360" w:lineRule="auto"/>
        <w:ind w:firstLine="480" w:firstLineChars="200"/>
        <w:rPr>
          <w:sz w:val="24"/>
          <w:u w:val="none"/>
        </w:rPr>
      </w:pPr>
      <w:r>
        <w:rPr>
          <w:sz w:val="24"/>
          <w:u w:val="none"/>
        </w:rPr>
        <w:t>道路宽度</w:t>
      </w:r>
      <w:r>
        <w:rPr>
          <w:rFonts w:hint="eastAsia"/>
          <w:sz w:val="24"/>
          <w:u w:val="none"/>
        </w:rPr>
        <w:t>：29m（含堤顶慢行系统8m（由现状堤路改造））</w:t>
      </w:r>
    </w:p>
    <w:p>
      <w:pPr>
        <w:spacing w:line="360" w:lineRule="auto"/>
        <w:ind w:firstLine="480" w:firstLineChars="200"/>
        <w:rPr>
          <w:sz w:val="24"/>
        </w:rPr>
      </w:pPr>
      <w:r>
        <w:rPr>
          <w:rFonts w:hint="eastAsia"/>
          <w:sz w:val="24"/>
        </w:rPr>
        <w:t>设计速度：40km/h</w:t>
      </w:r>
    </w:p>
    <w:p>
      <w:pPr>
        <w:spacing w:line="360" w:lineRule="auto"/>
        <w:ind w:firstLine="480" w:firstLineChars="200"/>
        <w:rPr>
          <w:sz w:val="24"/>
        </w:rPr>
      </w:pPr>
      <w:r>
        <w:rPr>
          <w:sz w:val="24"/>
        </w:rPr>
        <w:t>车道数</w:t>
      </w:r>
      <w:r>
        <w:rPr>
          <w:rFonts w:hint="eastAsia"/>
          <w:sz w:val="24"/>
        </w:rPr>
        <w:t>：</w:t>
      </w:r>
      <w:r>
        <w:rPr>
          <w:sz w:val="24"/>
        </w:rPr>
        <w:t>双向四车道</w:t>
      </w:r>
    </w:p>
    <w:p>
      <w:pPr>
        <w:spacing w:line="360" w:lineRule="auto"/>
        <w:ind w:firstLine="480" w:firstLineChars="200"/>
        <w:rPr>
          <w:sz w:val="24"/>
        </w:rPr>
      </w:pPr>
      <w:r>
        <w:rPr>
          <w:sz w:val="24"/>
        </w:rPr>
        <w:t>项目投资：</w:t>
      </w:r>
      <w:r>
        <w:rPr>
          <w:rFonts w:hint="eastAsia"/>
          <w:sz w:val="24"/>
        </w:rPr>
        <w:t>81327.39万</w:t>
      </w:r>
      <w:r>
        <w:rPr>
          <w:sz w:val="24"/>
        </w:rPr>
        <w:t>元，其中环保投资</w:t>
      </w:r>
      <w:r>
        <w:rPr>
          <w:rFonts w:hint="eastAsia"/>
          <w:sz w:val="24"/>
        </w:rPr>
        <w:t>1511</w:t>
      </w:r>
      <w:r>
        <w:rPr>
          <w:sz w:val="24"/>
        </w:rPr>
        <w:t>万元</w:t>
      </w:r>
      <w:r>
        <w:rPr>
          <w:rFonts w:hint="eastAsia"/>
          <w:sz w:val="24"/>
        </w:rPr>
        <w:t>，占总投资的1.86%</w:t>
      </w:r>
    </w:p>
    <w:p>
      <w:pPr>
        <w:spacing w:line="360" w:lineRule="auto"/>
        <w:ind w:firstLine="480" w:firstLineChars="200"/>
        <w:rPr>
          <w:rFonts w:hint="eastAsia"/>
          <w:sz w:val="24"/>
        </w:rPr>
      </w:pPr>
      <w:r>
        <w:rPr>
          <w:kern w:val="0"/>
          <w:sz w:val="24"/>
        </w:rPr>
        <w:t>施工期：</w:t>
      </w:r>
      <w:r>
        <w:rPr>
          <w:sz w:val="24"/>
        </w:rPr>
        <w:t>本项目施工期为</w:t>
      </w:r>
      <w:r>
        <w:rPr>
          <w:rFonts w:hint="eastAsia"/>
          <w:sz w:val="24"/>
        </w:rPr>
        <w:t>18</w:t>
      </w:r>
      <w:r>
        <w:rPr>
          <w:sz w:val="24"/>
        </w:rPr>
        <w:t>个月，预计20</w:t>
      </w:r>
      <w:r>
        <w:rPr>
          <w:rFonts w:hint="eastAsia"/>
          <w:sz w:val="24"/>
        </w:rPr>
        <w:t>20</w:t>
      </w:r>
      <w:r>
        <w:rPr>
          <w:sz w:val="24"/>
        </w:rPr>
        <w:t>年</w:t>
      </w:r>
      <w:r>
        <w:rPr>
          <w:rFonts w:hint="eastAsia"/>
          <w:sz w:val="24"/>
        </w:rPr>
        <w:t>01</w:t>
      </w:r>
      <w:r>
        <w:rPr>
          <w:sz w:val="24"/>
        </w:rPr>
        <w:t>月</w:t>
      </w:r>
      <w:r>
        <w:rPr>
          <w:rFonts w:hint="eastAsia"/>
          <w:sz w:val="24"/>
        </w:rPr>
        <w:t>01日-</w:t>
      </w:r>
      <w:r>
        <w:rPr>
          <w:sz w:val="24"/>
        </w:rPr>
        <w:t>20</w:t>
      </w:r>
      <w:r>
        <w:rPr>
          <w:rFonts w:hint="eastAsia"/>
          <w:sz w:val="24"/>
        </w:rPr>
        <w:t>21</w:t>
      </w:r>
      <w:r>
        <w:rPr>
          <w:sz w:val="24"/>
        </w:rPr>
        <w:t>年</w:t>
      </w:r>
      <w:r>
        <w:rPr>
          <w:rFonts w:hint="eastAsia"/>
          <w:sz w:val="24"/>
        </w:rPr>
        <w:t>6</w:t>
      </w:r>
      <w:r>
        <w:rPr>
          <w:sz w:val="24"/>
        </w:rPr>
        <w:t>月</w:t>
      </w:r>
      <w:r>
        <w:rPr>
          <w:rFonts w:hint="eastAsia"/>
          <w:sz w:val="24"/>
        </w:rPr>
        <w:t>30日</w:t>
      </w:r>
    </w:p>
    <w:p>
      <w:pPr>
        <w:bidi w:val="0"/>
        <w:rPr>
          <w:rFonts w:hint="eastAsia"/>
        </w:rPr>
      </w:pPr>
      <w:r>
        <w:t>主要工程组成见表</w:t>
      </w:r>
      <w:r>
        <w:rPr>
          <w:rFonts w:hint="eastAsia"/>
          <w:lang w:val="en-US" w:eastAsia="zh-CN"/>
        </w:rPr>
        <w:t>2.1</w:t>
      </w:r>
      <w:r>
        <w:rPr>
          <w:rFonts w:hint="eastAsia"/>
        </w:rPr>
        <w:t>-1</w:t>
      </w:r>
      <w:r>
        <w:t>。</w:t>
      </w:r>
    </w:p>
    <w:p>
      <w:pPr>
        <w:pStyle w:val="32"/>
        <w:bidi w:val="0"/>
      </w:pPr>
      <w:r>
        <w:t>表</w:t>
      </w:r>
      <w:r>
        <w:rPr>
          <w:rFonts w:hint="eastAsia"/>
          <w:lang w:val="en-US" w:eastAsia="zh-CN"/>
        </w:rPr>
        <w:t>2.</w:t>
      </w:r>
      <w:r>
        <w:t>1-</w:t>
      </w:r>
      <w:r>
        <w:rPr>
          <w:rFonts w:hint="eastAsia"/>
        </w:rPr>
        <w:t>1本项目建设内容与规模</w:t>
      </w:r>
      <w:r>
        <w:t>一览表</w:t>
      </w:r>
    </w:p>
    <w:tbl>
      <w:tblPr>
        <w:tblStyle w:val="21"/>
        <w:tblW w:w="8974"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57"/>
        <w:gridCol w:w="2220"/>
        <w:gridCol w:w="659"/>
        <w:gridCol w:w="1371"/>
        <w:gridCol w:w="406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blHeader/>
        </w:trPr>
        <w:tc>
          <w:tcPr>
            <w:tcW w:w="657" w:type="dxa"/>
            <w:vAlign w:val="center"/>
          </w:tcPr>
          <w:p>
            <w:pPr>
              <w:pStyle w:val="30"/>
              <w:bidi w:val="0"/>
            </w:pPr>
            <w:r>
              <w:t>序号</w:t>
            </w:r>
          </w:p>
        </w:tc>
        <w:tc>
          <w:tcPr>
            <w:tcW w:w="2220" w:type="dxa"/>
            <w:vAlign w:val="center"/>
          </w:tcPr>
          <w:p>
            <w:pPr>
              <w:pStyle w:val="30"/>
              <w:bidi w:val="0"/>
            </w:pPr>
            <w:r>
              <w:t>指标名称</w:t>
            </w:r>
          </w:p>
        </w:tc>
        <w:tc>
          <w:tcPr>
            <w:tcW w:w="659" w:type="dxa"/>
            <w:vAlign w:val="center"/>
          </w:tcPr>
          <w:p>
            <w:pPr>
              <w:pStyle w:val="30"/>
              <w:bidi w:val="0"/>
            </w:pPr>
            <w:r>
              <w:t>单位</w:t>
            </w:r>
          </w:p>
        </w:tc>
        <w:tc>
          <w:tcPr>
            <w:tcW w:w="1371" w:type="dxa"/>
            <w:vAlign w:val="center"/>
          </w:tcPr>
          <w:p>
            <w:pPr>
              <w:pStyle w:val="30"/>
              <w:bidi w:val="0"/>
            </w:pPr>
            <w:r>
              <w:t>数量</w:t>
            </w:r>
          </w:p>
        </w:tc>
        <w:tc>
          <w:tcPr>
            <w:tcW w:w="4067" w:type="dxa"/>
            <w:vAlign w:val="center"/>
          </w:tcPr>
          <w:p>
            <w:pPr>
              <w:pStyle w:val="30"/>
              <w:bidi w:val="0"/>
            </w:pPr>
            <w: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t>1</w:t>
            </w:r>
          </w:p>
        </w:tc>
        <w:tc>
          <w:tcPr>
            <w:tcW w:w="2220" w:type="dxa"/>
            <w:vAlign w:val="center"/>
          </w:tcPr>
          <w:p>
            <w:pPr>
              <w:pStyle w:val="30"/>
              <w:bidi w:val="0"/>
            </w:pPr>
            <w:r>
              <w:t>道路工程</w:t>
            </w:r>
          </w:p>
        </w:tc>
        <w:tc>
          <w:tcPr>
            <w:tcW w:w="659" w:type="dxa"/>
            <w:vAlign w:val="center"/>
          </w:tcPr>
          <w:p>
            <w:pPr>
              <w:pStyle w:val="30"/>
              <w:bidi w:val="0"/>
            </w:pPr>
            <w:r>
              <w:t>m</w:t>
            </w:r>
          </w:p>
        </w:tc>
        <w:tc>
          <w:tcPr>
            <w:tcW w:w="1371" w:type="dxa"/>
            <w:vAlign w:val="center"/>
          </w:tcPr>
          <w:p>
            <w:pPr>
              <w:pStyle w:val="30"/>
              <w:bidi w:val="0"/>
            </w:pPr>
            <w:r>
              <w:t>11738</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t>1.1</w:t>
            </w:r>
          </w:p>
        </w:tc>
        <w:tc>
          <w:tcPr>
            <w:tcW w:w="2220" w:type="dxa"/>
            <w:vAlign w:val="center"/>
          </w:tcPr>
          <w:p>
            <w:pPr>
              <w:pStyle w:val="30"/>
              <w:bidi w:val="0"/>
            </w:pPr>
            <w:r>
              <w:t>道路长度</w:t>
            </w:r>
          </w:p>
        </w:tc>
        <w:tc>
          <w:tcPr>
            <w:tcW w:w="659" w:type="dxa"/>
            <w:vAlign w:val="center"/>
          </w:tcPr>
          <w:p>
            <w:pPr>
              <w:pStyle w:val="30"/>
              <w:bidi w:val="0"/>
            </w:pPr>
            <w:r>
              <w:t>m</w:t>
            </w:r>
          </w:p>
        </w:tc>
        <w:tc>
          <w:tcPr>
            <w:tcW w:w="1371" w:type="dxa"/>
            <w:vAlign w:val="center"/>
          </w:tcPr>
          <w:p>
            <w:pPr>
              <w:pStyle w:val="30"/>
              <w:bidi w:val="0"/>
            </w:pPr>
            <w:r>
              <w:t>11738</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Merge w:val="restart"/>
            <w:vAlign w:val="center"/>
          </w:tcPr>
          <w:p>
            <w:pPr>
              <w:pStyle w:val="30"/>
              <w:bidi w:val="0"/>
            </w:pPr>
            <w:r>
              <w:t>1.2</w:t>
            </w:r>
          </w:p>
        </w:tc>
        <w:tc>
          <w:tcPr>
            <w:tcW w:w="2220" w:type="dxa"/>
            <w:vMerge w:val="restart"/>
            <w:vAlign w:val="center"/>
          </w:tcPr>
          <w:p>
            <w:pPr>
              <w:pStyle w:val="30"/>
              <w:bidi w:val="0"/>
            </w:pPr>
            <w:r>
              <w:t>路幅宽度</w:t>
            </w:r>
          </w:p>
        </w:tc>
        <w:tc>
          <w:tcPr>
            <w:tcW w:w="659" w:type="dxa"/>
            <w:vMerge w:val="restart"/>
            <w:vAlign w:val="center"/>
          </w:tcPr>
          <w:p>
            <w:pPr>
              <w:pStyle w:val="30"/>
              <w:bidi w:val="0"/>
            </w:pPr>
            <w:r>
              <w:t>m</w:t>
            </w:r>
          </w:p>
        </w:tc>
        <w:tc>
          <w:tcPr>
            <w:tcW w:w="1371" w:type="dxa"/>
            <w:vMerge w:val="restart"/>
            <w:vAlign w:val="center"/>
          </w:tcPr>
          <w:p>
            <w:pPr>
              <w:pStyle w:val="30"/>
              <w:bidi w:val="0"/>
            </w:pPr>
            <w:r>
              <w:t>29</w:t>
            </w:r>
          </w:p>
        </w:tc>
        <w:tc>
          <w:tcPr>
            <w:tcW w:w="4067" w:type="dxa"/>
            <w:vAlign w:val="center"/>
          </w:tcPr>
          <w:p>
            <w:pPr>
              <w:pStyle w:val="30"/>
              <w:bidi w:val="0"/>
            </w:pPr>
            <w:r>
              <w:t>压浸台帮宽路段：8.0m(堤顶慢行系统）+1.0m(设施带）+7.5m(行车道）+7.5m(行车道）+1.5m(绿化带）+3.5m(非机动车道）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Merge w:val="continue"/>
            <w:vAlign w:val="center"/>
          </w:tcPr>
          <w:p>
            <w:pPr>
              <w:pStyle w:val="30"/>
              <w:bidi w:val="0"/>
            </w:pPr>
          </w:p>
        </w:tc>
        <w:tc>
          <w:tcPr>
            <w:tcW w:w="2220" w:type="dxa"/>
            <w:vMerge w:val="continue"/>
            <w:vAlign w:val="center"/>
          </w:tcPr>
          <w:p>
            <w:pPr>
              <w:pStyle w:val="30"/>
              <w:bidi w:val="0"/>
            </w:pPr>
          </w:p>
        </w:tc>
        <w:tc>
          <w:tcPr>
            <w:tcW w:w="659" w:type="dxa"/>
            <w:vMerge w:val="continue"/>
            <w:vAlign w:val="center"/>
          </w:tcPr>
          <w:p>
            <w:pPr>
              <w:pStyle w:val="30"/>
              <w:bidi w:val="0"/>
            </w:pPr>
          </w:p>
        </w:tc>
        <w:tc>
          <w:tcPr>
            <w:tcW w:w="1371" w:type="dxa"/>
            <w:vMerge w:val="continue"/>
            <w:vAlign w:val="center"/>
          </w:tcPr>
          <w:p>
            <w:pPr>
              <w:pStyle w:val="30"/>
              <w:bidi w:val="0"/>
            </w:pPr>
          </w:p>
        </w:tc>
        <w:tc>
          <w:tcPr>
            <w:tcW w:w="4067" w:type="dxa"/>
            <w:vAlign w:val="center"/>
          </w:tcPr>
          <w:p>
            <w:pPr>
              <w:pStyle w:val="30"/>
              <w:bidi w:val="0"/>
            </w:pPr>
            <w:r>
              <w:t>堤顶帮宽路段：29m=8.0m(堤顶慢行系统）+1.0m(设施带）+7.5m(行车道）+7.5m(行车道）+1.5m(绿化带）+3.5m(非机动车道）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t>1.3</w:t>
            </w:r>
          </w:p>
        </w:tc>
        <w:tc>
          <w:tcPr>
            <w:tcW w:w="2220" w:type="dxa"/>
            <w:vAlign w:val="center"/>
          </w:tcPr>
          <w:p>
            <w:pPr>
              <w:pStyle w:val="30"/>
              <w:bidi w:val="0"/>
            </w:pPr>
            <w:r>
              <w:t>占地</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t>556694.45</w:t>
            </w:r>
          </w:p>
        </w:tc>
        <w:tc>
          <w:tcPr>
            <w:tcW w:w="4067" w:type="dxa"/>
            <w:vAlign w:val="center"/>
          </w:tcPr>
          <w:p>
            <w:pPr>
              <w:pStyle w:val="30"/>
              <w:bidi w:val="0"/>
            </w:pPr>
            <w:r>
              <w:rPr>
                <w:rFonts w:hint="eastAsia"/>
              </w:rPr>
              <w:t>根据岳市林保报[2019]2号（详见附件6）其中287301</w:t>
            </w:r>
            <w:r>
              <w:rPr>
                <w:rFonts w:hint="eastAsia"/>
                <w:lang w:eastAsia="zh-CN"/>
              </w:rPr>
              <w:t>m</w:t>
            </w:r>
            <w:r>
              <w:rPr>
                <w:rFonts w:hint="eastAsia"/>
                <w:vertAlign w:val="superscript"/>
                <w:lang w:eastAsia="zh-CN"/>
              </w:rPr>
              <w:t>2</w:t>
            </w:r>
            <w:r>
              <w:rPr>
                <w:rFonts w:hint="eastAsia"/>
              </w:rPr>
              <w:t>位于湖南东洞庭湖国家级自然保护区实验区内，涉及实验区的工程段为K0+000- K0+085，K5+500- K11+738，长度为6323m。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t>1.3.1</w:t>
            </w:r>
          </w:p>
        </w:tc>
        <w:tc>
          <w:tcPr>
            <w:tcW w:w="2220" w:type="dxa"/>
            <w:vAlign w:val="center"/>
          </w:tcPr>
          <w:p>
            <w:pPr>
              <w:pStyle w:val="30"/>
              <w:bidi w:val="0"/>
            </w:pPr>
            <w:r>
              <w:t>旱地（油菜）</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t>65313.37</w:t>
            </w:r>
          </w:p>
        </w:tc>
        <w:tc>
          <w:tcPr>
            <w:tcW w:w="4067" w:type="dxa"/>
            <w:vMerge w:val="restart"/>
            <w:vAlign w:val="center"/>
          </w:tcPr>
          <w:p>
            <w:pPr>
              <w:pStyle w:val="30"/>
              <w:bidi w:val="0"/>
            </w:pPr>
            <w:r>
              <w:rPr>
                <w:rFonts w:hint="eastAsia"/>
              </w:rPr>
              <w:t>其中99832</w:t>
            </w:r>
            <w:r>
              <w:rPr>
                <w:rFonts w:hint="eastAsia"/>
                <w:lang w:eastAsia="zh-CN"/>
              </w:rPr>
              <w:t>m</w:t>
            </w:r>
            <w:r>
              <w:rPr>
                <w:rFonts w:hint="eastAsia"/>
                <w:vertAlign w:val="superscript"/>
                <w:lang w:eastAsia="zh-CN"/>
              </w:rPr>
              <w:t>2</w:t>
            </w:r>
            <w:r>
              <w:rPr>
                <w:rFonts w:hint="eastAsia"/>
              </w:rPr>
              <w:t>位于湖南东洞庭湖国家级自然保护区实验区内</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t>1.3.2</w:t>
            </w:r>
          </w:p>
        </w:tc>
        <w:tc>
          <w:tcPr>
            <w:tcW w:w="2220" w:type="dxa"/>
            <w:vAlign w:val="center"/>
          </w:tcPr>
          <w:p>
            <w:pPr>
              <w:pStyle w:val="30"/>
              <w:bidi w:val="0"/>
            </w:pPr>
            <w:r>
              <w:t>旱地（蔬菜）</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t>110066.72</w:t>
            </w:r>
          </w:p>
        </w:tc>
        <w:tc>
          <w:tcPr>
            <w:tcW w:w="4067" w:type="dxa"/>
            <w:vMerge w:val="continue"/>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t>1.3.3</w:t>
            </w:r>
          </w:p>
        </w:tc>
        <w:tc>
          <w:tcPr>
            <w:tcW w:w="2220" w:type="dxa"/>
            <w:vAlign w:val="center"/>
          </w:tcPr>
          <w:p>
            <w:pPr>
              <w:pStyle w:val="30"/>
              <w:bidi w:val="0"/>
            </w:pPr>
            <w:r>
              <w:t>苗圃</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t>4846.67</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rPr>
                <w:u w:val="single"/>
              </w:rPr>
            </w:pPr>
            <w:r>
              <w:rPr>
                <w:u w:val="single"/>
              </w:rPr>
              <w:t>1.3.4</w:t>
            </w:r>
          </w:p>
        </w:tc>
        <w:tc>
          <w:tcPr>
            <w:tcW w:w="2220" w:type="dxa"/>
            <w:vAlign w:val="center"/>
          </w:tcPr>
          <w:p>
            <w:pPr>
              <w:pStyle w:val="30"/>
              <w:bidi w:val="0"/>
              <w:rPr>
                <w:u w:val="single"/>
              </w:rPr>
            </w:pPr>
            <w:r>
              <w:rPr>
                <w:u w:val="single"/>
              </w:rPr>
              <w:t>树林</w:t>
            </w:r>
          </w:p>
        </w:tc>
        <w:tc>
          <w:tcPr>
            <w:tcW w:w="659" w:type="dxa"/>
            <w:vAlign w:val="center"/>
          </w:tcPr>
          <w:p>
            <w:pPr>
              <w:pStyle w:val="30"/>
              <w:bidi w:val="0"/>
              <w:rPr>
                <w:rFonts w:hint="eastAsia" w:eastAsia="宋体"/>
                <w:u w:val="single"/>
                <w:lang w:eastAsia="zh-CN"/>
              </w:rPr>
            </w:pPr>
            <w:r>
              <w:rPr>
                <w:rFonts w:hint="eastAsia"/>
                <w:u w:val="single"/>
                <w:lang w:eastAsia="zh-CN"/>
              </w:rPr>
              <w:t>m</w:t>
            </w:r>
            <w:r>
              <w:rPr>
                <w:rFonts w:hint="eastAsia"/>
                <w:u w:val="single"/>
                <w:vertAlign w:val="superscript"/>
                <w:lang w:eastAsia="zh-CN"/>
              </w:rPr>
              <w:t>2</w:t>
            </w:r>
          </w:p>
        </w:tc>
        <w:tc>
          <w:tcPr>
            <w:tcW w:w="1371" w:type="dxa"/>
            <w:vAlign w:val="center"/>
          </w:tcPr>
          <w:p>
            <w:pPr>
              <w:pStyle w:val="30"/>
              <w:bidi w:val="0"/>
              <w:rPr>
                <w:u w:val="single"/>
              </w:rPr>
            </w:pPr>
            <w:r>
              <w:rPr>
                <w:rFonts w:hint="eastAsia"/>
                <w:u w:val="single"/>
              </w:rPr>
              <w:t>28812</w:t>
            </w:r>
          </w:p>
        </w:tc>
        <w:tc>
          <w:tcPr>
            <w:tcW w:w="4067" w:type="dxa"/>
            <w:vAlign w:val="center"/>
          </w:tcPr>
          <w:p>
            <w:pPr>
              <w:pStyle w:val="30"/>
              <w:bidi w:val="0"/>
              <w:rPr>
                <w:rFonts w:hint="eastAsia" w:eastAsia="宋体"/>
                <w:u w:val="single"/>
                <w:lang w:eastAsia="zh-CN"/>
              </w:rPr>
            </w:pPr>
            <w:r>
              <w:rPr>
                <w:rFonts w:hint="eastAsia"/>
                <w:u w:val="singl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t>1.3.5</w:t>
            </w:r>
          </w:p>
        </w:tc>
        <w:tc>
          <w:tcPr>
            <w:tcW w:w="2220" w:type="dxa"/>
            <w:vAlign w:val="center"/>
          </w:tcPr>
          <w:p>
            <w:pPr>
              <w:pStyle w:val="30"/>
              <w:bidi w:val="0"/>
            </w:pPr>
            <w:r>
              <w:t>岳阳市君山区君山垸水利管理委员会管理用地</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t>233333.45</w:t>
            </w:r>
          </w:p>
        </w:tc>
        <w:tc>
          <w:tcPr>
            <w:tcW w:w="4067" w:type="dxa"/>
            <w:vAlign w:val="center"/>
          </w:tcPr>
          <w:p>
            <w:pPr>
              <w:pStyle w:val="30"/>
              <w:bidi w:val="0"/>
            </w:pPr>
            <w:r>
              <w:rPr>
                <w:rFonts w:hint="eastAsia"/>
              </w:rPr>
              <w:t>其中113791</w:t>
            </w:r>
            <w:r>
              <w:t xml:space="preserve"> </w:t>
            </w:r>
            <w:r>
              <w:rPr>
                <w:rFonts w:hint="eastAsia"/>
                <w:lang w:eastAsia="zh-CN"/>
              </w:rPr>
              <w:t>m</w:t>
            </w:r>
            <w:r>
              <w:rPr>
                <w:rFonts w:hint="eastAsia"/>
                <w:vertAlign w:val="superscript"/>
                <w:lang w:eastAsia="zh-CN"/>
              </w:rPr>
              <w:t>2</w:t>
            </w:r>
            <w:r>
              <w:rPr>
                <w:rFonts w:hint="eastAsia"/>
              </w:rPr>
              <w:t>位于湖南东洞庭湖国家级自然保护区实验区内</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t>1.3.6</w:t>
            </w:r>
          </w:p>
        </w:tc>
        <w:tc>
          <w:tcPr>
            <w:tcW w:w="2220" w:type="dxa"/>
            <w:vAlign w:val="center"/>
          </w:tcPr>
          <w:p>
            <w:pPr>
              <w:pStyle w:val="30"/>
              <w:bidi w:val="0"/>
            </w:pPr>
            <w:r>
              <w:t>住宅用地</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rPr>
                <w:rFonts w:hint="eastAsia"/>
              </w:rPr>
              <w:t>4697</w:t>
            </w:r>
          </w:p>
        </w:tc>
        <w:tc>
          <w:tcPr>
            <w:tcW w:w="4067" w:type="dxa"/>
            <w:vMerge w:val="restart"/>
            <w:vAlign w:val="center"/>
          </w:tcPr>
          <w:p>
            <w:pPr>
              <w:pStyle w:val="30"/>
              <w:bidi w:val="0"/>
            </w:pPr>
            <w:r>
              <w:rPr>
                <w:rFonts w:hint="eastAsia"/>
              </w:rPr>
              <w:t>湖南东洞庭湖国家级自然保护区实验区内</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rPr>
                <w:rFonts w:hint="eastAsia"/>
              </w:rPr>
              <w:t>1.3.7</w:t>
            </w:r>
          </w:p>
        </w:tc>
        <w:tc>
          <w:tcPr>
            <w:tcW w:w="2220" w:type="dxa"/>
            <w:vAlign w:val="center"/>
          </w:tcPr>
          <w:p>
            <w:pPr>
              <w:pStyle w:val="30"/>
              <w:bidi w:val="0"/>
            </w:pPr>
            <w:r>
              <w:t>交通运输用地</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rPr>
                <w:rFonts w:hint="eastAsia"/>
              </w:rPr>
              <w:t>40169</w:t>
            </w:r>
          </w:p>
        </w:tc>
        <w:tc>
          <w:tcPr>
            <w:tcW w:w="4067" w:type="dxa"/>
            <w:vMerge w:val="continue"/>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rPr>
                <w:rFonts w:hint="eastAsia"/>
              </w:rPr>
              <w:t>1.3.8</w:t>
            </w:r>
          </w:p>
        </w:tc>
        <w:tc>
          <w:tcPr>
            <w:tcW w:w="2220" w:type="dxa"/>
            <w:vAlign w:val="center"/>
          </w:tcPr>
          <w:p>
            <w:pPr>
              <w:pStyle w:val="30"/>
              <w:bidi w:val="0"/>
            </w:pPr>
            <w:r>
              <w:t>其他</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rPr>
                <w:rFonts w:hint="eastAsia"/>
              </w:rPr>
              <w:t>69456.24</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rPr>
                <w:rFonts w:hint="eastAsia"/>
              </w:rPr>
              <w:t>1.3.9</w:t>
            </w:r>
          </w:p>
        </w:tc>
        <w:tc>
          <w:tcPr>
            <w:tcW w:w="2220" w:type="dxa"/>
            <w:vAlign w:val="center"/>
          </w:tcPr>
          <w:p>
            <w:pPr>
              <w:pStyle w:val="30"/>
              <w:bidi w:val="0"/>
            </w:pPr>
            <w:r>
              <w:t>临时占地</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rPr>
                <w:rFonts w:hint="eastAsia"/>
              </w:rPr>
              <w:t>31000</w:t>
            </w:r>
          </w:p>
        </w:tc>
        <w:tc>
          <w:tcPr>
            <w:tcW w:w="4067" w:type="dxa"/>
            <w:vAlign w:val="center"/>
          </w:tcPr>
          <w:p>
            <w:pPr>
              <w:pStyle w:val="30"/>
              <w:bidi w:val="0"/>
              <w:rPr>
                <w:rFonts w:hint="eastAsia" w:eastAsia="宋体"/>
                <w:lang w:eastAsia="zh-CN"/>
              </w:rPr>
            </w:pPr>
            <w:r>
              <w:rPr>
                <w:rFonts w:hint="eastAsia"/>
              </w:rPr>
              <w:t>其中表土堆置场17000</w:t>
            </w:r>
            <w:r>
              <w:rPr>
                <w:rFonts w:hint="eastAsia"/>
                <w:lang w:eastAsia="zh-CN"/>
              </w:rPr>
              <w:t>m</w:t>
            </w:r>
            <w:r>
              <w:rPr>
                <w:rFonts w:hint="eastAsia"/>
                <w:vertAlign w:val="superscript"/>
                <w:lang w:eastAsia="zh-CN"/>
              </w:rPr>
              <w:t>2</w:t>
            </w:r>
            <w:r>
              <w:t>，施工管理营地</w:t>
            </w:r>
            <w:r>
              <w:rPr>
                <w:rFonts w:hint="eastAsia"/>
              </w:rPr>
              <w:t>7500</w:t>
            </w:r>
            <w:r>
              <w:rPr>
                <w:rFonts w:hint="eastAsia"/>
                <w:lang w:eastAsia="zh-CN"/>
              </w:rPr>
              <w:t>m</w:t>
            </w:r>
            <w:r>
              <w:rPr>
                <w:rFonts w:hint="eastAsia"/>
                <w:vertAlign w:val="superscript"/>
                <w:lang w:eastAsia="zh-CN"/>
              </w:rPr>
              <w:t>2</w:t>
            </w:r>
            <w:r>
              <w:t>，施工便道区</w:t>
            </w:r>
            <w:r>
              <w:rPr>
                <w:rFonts w:hint="eastAsia"/>
              </w:rPr>
              <w:t>6500</w:t>
            </w:r>
            <w:r>
              <w:rPr>
                <w:rFonts w:hint="eastAsia"/>
                <w:lang w:eastAsia="zh-CN"/>
              </w:rPr>
              <w:t>m</w:t>
            </w:r>
            <w:r>
              <w:rPr>
                <w:rFonts w:hint="eastAsia"/>
                <w:vertAlign w:val="superscript"/>
                <w:lang w:eastAsia="zh-CN"/>
              </w:rPr>
              <w:t>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t>1.4</w:t>
            </w:r>
          </w:p>
        </w:tc>
        <w:tc>
          <w:tcPr>
            <w:tcW w:w="2220" w:type="dxa"/>
            <w:vAlign w:val="center"/>
          </w:tcPr>
          <w:p>
            <w:pPr>
              <w:pStyle w:val="30"/>
              <w:bidi w:val="0"/>
            </w:pPr>
            <w:r>
              <w:t>土石方工程</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3</w:t>
            </w:r>
          </w:p>
        </w:tc>
        <w:tc>
          <w:tcPr>
            <w:tcW w:w="1371" w:type="dxa"/>
            <w:vAlign w:val="center"/>
          </w:tcPr>
          <w:p>
            <w:pPr>
              <w:pStyle w:val="30"/>
              <w:bidi w:val="0"/>
            </w:pPr>
            <w:r>
              <w:t>1642494</w:t>
            </w:r>
          </w:p>
        </w:tc>
        <w:tc>
          <w:tcPr>
            <w:tcW w:w="4067" w:type="dxa"/>
            <w:vAlign w:val="center"/>
          </w:tcPr>
          <w:p>
            <w:pPr>
              <w:pStyle w:val="30"/>
              <w:bidi w:val="0"/>
            </w:pPr>
            <w:r>
              <w:t>其中挖方139074</w:t>
            </w:r>
            <w:r>
              <w:rPr>
                <w:rFonts w:hint="eastAsia"/>
                <w:lang w:eastAsia="zh-CN"/>
              </w:rPr>
              <w:t>m</w:t>
            </w:r>
            <w:r>
              <w:rPr>
                <w:rFonts w:hint="eastAsia"/>
                <w:vertAlign w:val="superscript"/>
                <w:lang w:eastAsia="zh-CN"/>
              </w:rPr>
              <w:t>3</w:t>
            </w:r>
            <w:r>
              <w:t>，填方1503420</w:t>
            </w:r>
            <w:r>
              <w:rPr>
                <w:rFonts w:hint="eastAsia"/>
                <w:lang w:eastAsia="zh-CN"/>
              </w:rPr>
              <w:t>m</w:t>
            </w:r>
            <w:r>
              <w:rPr>
                <w:rFonts w:hint="eastAsia"/>
                <w:vertAlign w:val="superscript"/>
                <w:lang w:eastAsia="zh-CN"/>
              </w:rPr>
              <w:t>3</w:t>
            </w:r>
            <w:r>
              <w:t>，其中</w:t>
            </w:r>
            <w:r>
              <w:rPr>
                <w:rFonts w:hint="eastAsia"/>
              </w:rPr>
              <w:t>《东洞庭湖自然保护区岸线、洲滩及缓冲区、实验区生态修复工程》的弃土约900000</w:t>
            </w:r>
            <w:r>
              <w:rPr>
                <w:rFonts w:hint="eastAsia"/>
                <w:lang w:eastAsia="zh-CN"/>
              </w:rPr>
              <w:t>m</w:t>
            </w:r>
            <w:r>
              <w:rPr>
                <w:rFonts w:hint="eastAsia"/>
                <w:vertAlign w:val="superscript"/>
                <w:lang w:eastAsia="zh-CN"/>
              </w:rPr>
              <w:t>3</w:t>
            </w:r>
            <w:r>
              <w:rPr>
                <w:rFonts w:hint="eastAsia"/>
              </w:rPr>
              <w:t>，《岳阳市君山区濠河水环境综合治理工程》的弃土约550000</w:t>
            </w:r>
            <w:r>
              <w:rPr>
                <w:rFonts w:hint="eastAsia"/>
                <w:lang w:eastAsia="zh-CN"/>
              </w:rPr>
              <w:t>m</w:t>
            </w:r>
            <w:r>
              <w:rPr>
                <w:rFonts w:hint="eastAsia"/>
                <w:vertAlign w:val="superscript"/>
                <w:lang w:eastAsia="zh-CN"/>
              </w:rPr>
              <w:t>3</w:t>
            </w:r>
            <w:r>
              <w:rPr>
                <w:rFonts w:hint="eastAsia"/>
              </w:rPr>
              <w:t>，加上本项目的挖方量，可满足本项目的填方量。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t>1.5</w:t>
            </w:r>
          </w:p>
        </w:tc>
        <w:tc>
          <w:tcPr>
            <w:tcW w:w="2220" w:type="dxa"/>
            <w:vAlign w:val="center"/>
          </w:tcPr>
          <w:p>
            <w:pPr>
              <w:pStyle w:val="30"/>
              <w:bidi w:val="0"/>
            </w:pPr>
            <w:r>
              <w:t>机动车道</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t>176684</w:t>
            </w:r>
          </w:p>
        </w:tc>
        <w:tc>
          <w:tcPr>
            <w:tcW w:w="4067" w:type="dxa"/>
            <w:vAlign w:val="center"/>
          </w:tcPr>
          <w:p>
            <w:pPr>
              <w:pStyle w:val="30"/>
              <w:bidi w:val="0"/>
            </w:pPr>
            <w:r>
              <w:t>路面材料：4cm 厚细粒式改性沥青砼</w:t>
            </w:r>
          </w:p>
          <w:p>
            <w:pPr>
              <w:pStyle w:val="30"/>
              <w:bidi w:val="0"/>
            </w:pPr>
            <w:r>
              <w:t>AC-13C</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t>1.6</w:t>
            </w:r>
          </w:p>
        </w:tc>
        <w:tc>
          <w:tcPr>
            <w:tcW w:w="2220" w:type="dxa"/>
            <w:vAlign w:val="center"/>
          </w:tcPr>
          <w:p>
            <w:pPr>
              <w:pStyle w:val="30"/>
              <w:bidi w:val="0"/>
            </w:pPr>
            <w:r>
              <w:t>非机动车道</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t>53594</w:t>
            </w:r>
          </w:p>
        </w:tc>
        <w:tc>
          <w:tcPr>
            <w:tcW w:w="4067" w:type="dxa"/>
            <w:vAlign w:val="center"/>
          </w:tcPr>
          <w:p>
            <w:pPr>
              <w:pStyle w:val="30"/>
              <w:bidi w:val="0"/>
            </w:pPr>
            <w:r>
              <w:t>路面材料：4cm厚细粒式沥青砼AC-13C，5cm 厚中粒式沥青砼AC-20C</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57" w:type="dxa"/>
            <w:vAlign w:val="center"/>
          </w:tcPr>
          <w:p>
            <w:pPr>
              <w:pStyle w:val="30"/>
              <w:bidi w:val="0"/>
            </w:pPr>
            <w:r>
              <w:t>1.7</w:t>
            </w:r>
          </w:p>
        </w:tc>
        <w:tc>
          <w:tcPr>
            <w:tcW w:w="2220" w:type="dxa"/>
            <w:vAlign w:val="center"/>
          </w:tcPr>
          <w:p>
            <w:pPr>
              <w:pStyle w:val="30"/>
              <w:bidi w:val="0"/>
            </w:pPr>
            <w:r>
              <w:t>堤顶慢行系统工程</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t>169027</w:t>
            </w:r>
          </w:p>
        </w:tc>
        <w:tc>
          <w:tcPr>
            <w:tcW w:w="4067" w:type="dxa"/>
            <w:vAlign w:val="center"/>
          </w:tcPr>
          <w:p>
            <w:pPr>
              <w:pStyle w:val="30"/>
              <w:bidi w:val="0"/>
            </w:pPr>
            <w:r>
              <w:t>路面材料：4cm厚细粒式彩色沥青砼</w:t>
            </w:r>
          </w:p>
          <w:p>
            <w:pPr>
              <w:pStyle w:val="30"/>
              <w:bidi w:val="0"/>
            </w:pPr>
            <w:r>
              <w:t>AC-13C，5cm 厚中粒式沥青砼AC-20C</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2</w:t>
            </w:r>
          </w:p>
        </w:tc>
        <w:tc>
          <w:tcPr>
            <w:tcW w:w="2220" w:type="dxa"/>
            <w:vAlign w:val="center"/>
          </w:tcPr>
          <w:p>
            <w:pPr>
              <w:pStyle w:val="30"/>
              <w:bidi w:val="0"/>
            </w:pPr>
            <w:r>
              <w:t>涵洞工程</w:t>
            </w:r>
          </w:p>
        </w:tc>
        <w:tc>
          <w:tcPr>
            <w:tcW w:w="659" w:type="dxa"/>
            <w:vAlign w:val="center"/>
          </w:tcPr>
          <w:p>
            <w:pPr>
              <w:pStyle w:val="30"/>
              <w:bidi w:val="0"/>
            </w:pPr>
            <w:r>
              <w:t>m</w:t>
            </w:r>
          </w:p>
        </w:tc>
        <w:tc>
          <w:tcPr>
            <w:tcW w:w="1371" w:type="dxa"/>
            <w:vAlign w:val="center"/>
          </w:tcPr>
          <w:p>
            <w:pPr>
              <w:pStyle w:val="30"/>
              <w:bidi w:val="0"/>
            </w:pPr>
            <w:r>
              <w:t>28</w:t>
            </w:r>
          </w:p>
        </w:tc>
        <w:tc>
          <w:tcPr>
            <w:tcW w:w="4067" w:type="dxa"/>
            <w:vAlign w:val="center"/>
          </w:tcPr>
          <w:p>
            <w:pPr>
              <w:pStyle w:val="30"/>
              <w:bidi w:val="0"/>
            </w:pPr>
            <w:r>
              <w:rPr>
                <w:rFonts w:hint="eastAsia"/>
              </w:rPr>
              <w:t>下穿S306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3</w:t>
            </w:r>
          </w:p>
        </w:tc>
        <w:tc>
          <w:tcPr>
            <w:tcW w:w="2220" w:type="dxa"/>
            <w:vAlign w:val="center"/>
          </w:tcPr>
          <w:p>
            <w:pPr>
              <w:pStyle w:val="30"/>
              <w:bidi w:val="0"/>
            </w:pPr>
            <w:r>
              <w:t>给排水工程</w:t>
            </w:r>
          </w:p>
        </w:tc>
        <w:tc>
          <w:tcPr>
            <w:tcW w:w="659" w:type="dxa"/>
            <w:vAlign w:val="center"/>
          </w:tcPr>
          <w:p>
            <w:pPr>
              <w:pStyle w:val="30"/>
              <w:bidi w:val="0"/>
            </w:pPr>
            <w:r>
              <w:rPr>
                <w:rFonts w:hint="eastAsia"/>
              </w:rPr>
              <w:t>-</w:t>
            </w:r>
          </w:p>
        </w:tc>
        <w:tc>
          <w:tcPr>
            <w:tcW w:w="1371" w:type="dxa"/>
            <w:vAlign w:val="center"/>
          </w:tcPr>
          <w:p>
            <w:pPr>
              <w:pStyle w:val="30"/>
              <w:bidi w:val="0"/>
            </w:pPr>
            <w:r>
              <w:rPr>
                <w:rFonts w:hint="eastAsia"/>
              </w:rPr>
              <w:t>-</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3.1</w:t>
            </w:r>
          </w:p>
        </w:tc>
        <w:tc>
          <w:tcPr>
            <w:tcW w:w="2220" w:type="dxa"/>
            <w:vAlign w:val="center"/>
          </w:tcPr>
          <w:p>
            <w:pPr>
              <w:pStyle w:val="30"/>
              <w:bidi w:val="0"/>
            </w:pPr>
            <w:r>
              <w:rPr>
                <w:rFonts w:hint="eastAsia"/>
              </w:rPr>
              <w:t>雨水</w:t>
            </w:r>
            <w:r>
              <w:t>管</w:t>
            </w:r>
          </w:p>
        </w:tc>
        <w:tc>
          <w:tcPr>
            <w:tcW w:w="659" w:type="dxa"/>
            <w:vAlign w:val="center"/>
          </w:tcPr>
          <w:p>
            <w:pPr>
              <w:pStyle w:val="30"/>
              <w:bidi w:val="0"/>
            </w:pPr>
            <w:r>
              <w:t>m</w:t>
            </w:r>
          </w:p>
        </w:tc>
        <w:tc>
          <w:tcPr>
            <w:tcW w:w="1371" w:type="dxa"/>
            <w:vAlign w:val="center"/>
          </w:tcPr>
          <w:p>
            <w:pPr>
              <w:pStyle w:val="30"/>
              <w:bidi w:val="0"/>
            </w:pPr>
            <w:r>
              <w:t>18900</w:t>
            </w:r>
          </w:p>
        </w:tc>
        <w:tc>
          <w:tcPr>
            <w:tcW w:w="4067" w:type="dxa"/>
            <w:vAlign w:val="center"/>
          </w:tcPr>
          <w:p>
            <w:pPr>
              <w:pStyle w:val="30"/>
              <w:bidi w:val="0"/>
            </w:pPr>
            <w:r>
              <w:t>d300Ⅱ级钢筋混凝土管、DN600PE管、DN800PE管、DN1000PE管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3.1.1</w:t>
            </w:r>
          </w:p>
        </w:tc>
        <w:tc>
          <w:tcPr>
            <w:tcW w:w="2220" w:type="dxa"/>
            <w:vAlign w:val="center"/>
          </w:tcPr>
          <w:p>
            <w:pPr>
              <w:pStyle w:val="30"/>
              <w:bidi w:val="0"/>
            </w:pPr>
            <w:r>
              <w:t>双蓖雨水口</w:t>
            </w:r>
          </w:p>
        </w:tc>
        <w:tc>
          <w:tcPr>
            <w:tcW w:w="659" w:type="dxa"/>
            <w:vAlign w:val="center"/>
          </w:tcPr>
          <w:p>
            <w:pPr>
              <w:pStyle w:val="30"/>
              <w:bidi w:val="0"/>
            </w:pPr>
            <w:r>
              <w:t>座</w:t>
            </w:r>
          </w:p>
        </w:tc>
        <w:tc>
          <w:tcPr>
            <w:tcW w:w="1371" w:type="dxa"/>
            <w:vAlign w:val="center"/>
          </w:tcPr>
          <w:p>
            <w:pPr>
              <w:pStyle w:val="30"/>
              <w:bidi w:val="0"/>
            </w:pPr>
            <w:r>
              <w:t>680</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3.1.2</w:t>
            </w:r>
          </w:p>
        </w:tc>
        <w:tc>
          <w:tcPr>
            <w:tcW w:w="2220" w:type="dxa"/>
            <w:vAlign w:val="center"/>
          </w:tcPr>
          <w:p>
            <w:pPr>
              <w:pStyle w:val="30"/>
              <w:bidi w:val="0"/>
            </w:pPr>
            <w:r>
              <w:t>检查井</w:t>
            </w:r>
          </w:p>
        </w:tc>
        <w:tc>
          <w:tcPr>
            <w:tcW w:w="659" w:type="dxa"/>
            <w:vAlign w:val="center"/>
          </w:tcPr>
          <w:p>
            <w:pPr>
              <w:pStyle w:val="30"/>
              <w:bidi w:val="0"/>
            </w:pPr>
            <w:r>
              <w:t>座</w:t>
            </w:r>
          </w:p>
        </w:tc>
        <w:tc>
          <w:tcPr>
            <w:tcW w:w="1371" w:type="dxa"/>
            <w:vAlign w:val="center"/>
          </w:tcPr>
          <w:p>
            <w:pPr>
              <w:pStyle w:val="30"/>
              <w:bidi w:val="0"/>
            </w:pPr>
            <w:r>
              <w:t>310</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3.1.3</w:t>
            </w:r>
          </w:p>
        </w:tc>
        <w:tc>
          <w:tcPr>
            <w:tcW w:w="2220" w:type="dxa"/>
            <w:vAlign w:val="center"/>
          </w:tcPr>
          <w:p>
            <w:pPr>
              <w:pStyle w:val="30"/>
              <w:bidi w:val="0"/>
            </w:pPr>
            <w:r>
              <w:t>八字出水口D=1500</w:t>
            </w:r>
          </w:p>
        </w:tc>
        <w:tc>
          <w:tcPr>
            <w:tcW w:w="659" w:type="dxa"/>
            <w:vAlign w:val="center"/>
          </w:tcPr>
          <w:p>
            <w:pPr>
              <w:pStyle w:val="30"/>
              <w:bidi w:val="0"/>
            </w:pPr>
            <w:r>
              <w:t>座</w:t>
            </w:r>
          </w:p>
        </w:tc>
        <w:tc>
          <w:tcPr>
            <w:tcW w:w="1371" w:type="dxa"/>
            <w:vAlign w:val="center"/>
          </w:tcPr>
          <w:p>
            <w:pPr>
              <w:pStyle w:val="30"/>
              <w:bidi w:val="0"/>
            </w:pPr>
            <w:r>
              <w:t>10</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3.2</w:t>
            </w:r>
          </w:p>
        </w:tc>
        <w:tc>
          <w:tcPr>
            <w:tcW w:w="2220" w:type="dxa"/>
            <w:vAlign w:val="center"/>
          </w:tcPr>
          <w:p>
            <w:pPr>
              <w:pStyle w:val="30"/>
              <w:bidi w:val="0"/>
            </w:pPr>
            <w:r>
              <w:rPr>
                <w:rFonts w:hint="eastAsia"/>
              </w:rPr>
              <w:t>污水</w:t>
            </w:r>
            <w:r>
              <w:t>管</w:t>
            </w:r>
          </w:p>
        </w:tc>
        <w:tc>
          <w:tcPr>
            <w:tcW w:w="659" w:type="dxa"/>
            <w:vAlign w:val="center"/>
          </w:tcPr>
          <w:p>
            <w:pPr>
              <w:pStyle w:val="30"/>
              <w:bidi w:val="0"/>
            </w:pPr>
            <w:r>
              <w:t>m</w:t>
            </w:r>
          </w:p>
        </w:tc>
        <w:tc>
          <w:tcPr>
            <w:tcW w:w="1371" w:type="dxa"/>
            <w:vAlign w:val="center"/>
          </w:tcPr>
          <w:p>
            <w:pPr>
              <w:pStyle w:val="30"/>
              <w:bidi w:val="0"/>
            </w:pPr>
            <w:r>
              <w:t>11738</w:t>
            </w:r>
          </w:p>
        </w:tc>
        <w:tc>
          <w:tcPr>
            <w:tcW w:w="4067" w:type="dxa"/>
            <w:vAlign w:val="center"/>
          </w:tcPr>
          <w:p>
            <w:pPr>
              <w:pStyle w:val="30"/>
              <w:bidi w:val="0"/>
            </w:pPr>
            <w:r>
              <w:rPr>
                <w:rFonts w:hint="eastAsia"/>
              </w:rPr>
              <w:t>全线铺设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rPr>
                <w:rFonts w:hint="eastAsia"/>
              </w:rPr>
              <w:t>3.3</w:t>
            </w:r>
          </w:p>
        </w:tc>
        <w:tc>
          <w:tcPr>
            <w:tcW w:w="2220" w:type="dxa"/>
            <w:vAlign w:val="center"/>
          </w:tcPr>
          <w:p>
            <w:pPr>
              <w:pStyle w:val="30"/>
              <w:bidi w:val="0"/>
            </w:pPr>
            <w:r>
              <w:t>直饮水工程</w:t>
            </w:r>
          </w:p>
        </w:tc>
        <w:tc>
          <w:tcPr>
            <w:tcW w:w="659" w:type="dxa"/>
            <w:vAlign w:val="center"/>
          </w:tcPr>
          <w:p>
            <w:pPr>
              <w:pStyle w:val="30"/>
              <w:bidi w:val="0"/>
            </w:pPr>
            <w:r>
              <w:t>m</w:t>
            </w:r>
          </w:p>
        </w:tc>
        <w:tc>
          <w:tcPr>
            <w:tcW w:w="1371" w:type="dxa"/>
            <w:vAlign w:val="center"/>
          </w:tcPr>
          <w:p>
            <w:pPr>
              <w:pStyle w:val="30"/>
              <w:bidi w:val="0"/>
            </w:pPr>
            <w:r>
              <w:rPr>
                <w:rFonts w:hint="eastAsia"/>
              </w:rPr>
              <w:t>14522</w:t>
            </w:r>
          </w:p>
        </w:tc>
        <w:tc>
          <w:tcPr>
            <w:tcW w:w="4067" w:type="dxa"/>
            <w:vAlign w:val="center"/>
          </w:tcPr>
          <w:p>
            <w:pPr>
              <w:pStyle w:val="30"/>
              <w:bidi w:val="0"/>
            </w:pPr>
            <w:r>
              <w:t>DN15钢丝网骨架钢塑复合管、DN50钢丝网骨架钢塑复合管、C20混凝土盖板沟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4</w:t>
            </w:r>
          </w:p>
        </w:tc>
        <w:tc>
          <w:tcPr>
            <w:tcW w:w="2220" w:type="dxa"/>
            <w:vAlign w:val="center"/>
          </w:tcPr>
          <w:p>
            <w:pPr>
              <w:pStyle w:val="30"/>
              <w:bidi w:val="0"/>
            </w:pPr>
            <w:r>
              <w:t>景观绿化及环境</w:t>
            </w:r>
          </w:p>
          <w:p>
            <w:pPr>
              <w:pStyle w:val="30"/>
              <w:bidi w:val="0"/>
            </w:pPr>
            <w:r>
              <w:t>保护工程</w:t>
            </w:r>
          </w:p>
        </w:tc>
        <w:tc>
          <w:tcPr>
            <w:tcW w:w="659" w:type="dxa"/>
            <w:vAlign w:val="center"/>
          </w:tcPr>
          <w:p>
            <w:pPr>
              <w:pStyle w:val="30"/>
              <w:bidi w:val="0"/>
            </w:pPr>
            <w:r>
              <w:rPr>
                <w:rFonts w:hint="eastAsia"/>
              </w:rPr>
              <w:t>-</w:t>
            </w:r>
          </w:p>
        </w:tc>
        <w:tc>
          <w:tcPr>
            <w:tcW w:w="1371" w:type="dxa"/>
            <w:vAlign w:val="center"/>
          </w:tcPr>
          <w:p>
            <w:pPr>
              <w:pStyle w:val="30"/>
              <w:bidi w:val="0"/>
            </w:pPr>
            <w:r>
              <w:rPr>
                <w:rFonts w:hint="eastAsia"/>
              </w:rPr>
              <w:t>-</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4.1</w:t>
            </w:r>
          </w:p>
        </w:tc>
        <w:tc>
          <w:tcPr>
            <w:tcW w:w="2220" w:type="dxa"/>
            <w:vAlign w:val="center"/>
          </w:tcPr>
          <w:p>
            <w:pPr>
              <w:pStyle w:val="30"/>
              <w:bidi w:val="0"/>
            </w:pPr>
            <w:r>
              <w:t>绿化工程</w:t>
            </w:r>
          </w:p>
        </w:tc>
        <w:tc>
          <w:tcPr>
            <w:tcW w:w="659" w:type="dxa"/>
            <w:vAlign w:val="center"/>
          </w:tcPr>
          <w:p>
            <w:pPr>
              <w:pStyle w:val="30"/>
              <w:bidi w:val="0"/>
              <w:rPr>
                <w:rFonts w:hint="eastAsia" w:eastAsia="宋体"/>
                <w:lang w:eastAsia="zh-CN"/>
              </w:rPr>
            </w:pPr>
            <w:r>
              <w:rPr>
                <w:rFonts w:hint="eastAsia"/>
                <w:lang w:eastAsia="zh-CN"/>
              </w:rPr>
              <w:t>m</w:t>
            </w:r>
            <w:r>
              <w:rPr>
                <w:rFonts w:hint="eastAsia"/>
                <w:vertAlign w:val="superscript"/>
                <w:lang w:eastAsia="zh-CN"/>
              </w:rPr>
              <w:t>2</w:t>
            </w:r>
          </w:p>
        </w:tc>
        <w:tc>
          <w:tcPr>
            <w:tcW w:w="1371" w:type="dxa"/>
            <w:vAlign w:val="center"/>
          </w:tcPr>
          <w:p>
            <w:pPr>
              <w:pStyle w:val="30"/>
              <w:bidi w:val="0"/>
            </w:pPr>
            <w:r>
              <w:t>351795</w:t>
            </w:r>
          </w:p>
        </w:tc>
        <w:tc>
          <w:tcPr>
            <w:tcW w:w="4067" w:type="dxa"/>
            <w:vAlign w:val="center"/>
          </w:tcPr>
          <w:p>
            <w:pPr>
              <w:pStyle w:val="30"/>
              <w:bidi w:val="0"/>
            </w:pPr>
            <w:r>
              <w:t>绿化率63.2%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4.2</w:t>
            </w:r>
          </w:p>
        </w:tc>
        <w:tc>
          <w:tcPr>
            <w:tcW w:w="2220" w:type="dxa"/>
            <w:vAlign w:val="center"/>
          </w:tcPr>
          <w:p>
            <w:pPr>
              <w:pStyle w:val="30"/>
              <w:bidi w:val="0"/>
            </w:pPr>
            <w:r>
              <w:t>卫生间</w:t>
            </w:r>
          </w:p>
        </w:tc>
        <w:tc>
          <w:tcPr>
            <w:tcW w:w="659" w:type="dxa"/>
            <w:vAlign w:val="center"/>
          </w:tcPr>
          <w:p>
            <w:pPr>
              <w:pStyle w:val="30"/>
              <w:bidi w:val="0"/>
            </w:pPr>
            <w:r>
              <w:t>个</w:t>
            </w:r>
          </w:p>
        </w:tc>
        <w:tc>
          <w:tcPr>
            <w:tcW w:w="1371" w:type="dxa"/>
            <w:vAlign w:val="center"/>
          </w:tcPr>
          <w:p>
            <w:pPr>
              <w:pStyle w:val="30"/>
              <w:bidi w:val="0"/>
            </w:pPr>
            <w:r>
              <w:rPr>
                <w:rFonts w:hint="eastAsia"/>
              </w:rPr>
              <w:t>6</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4.3</w:t>
            </w:r>
          </w:p>
        </w:tc>
        <w:tc>
          <w:tcPr>
            <w:tcW w:w="2220" w:type="dxa"/>
            <w:vAlign w:val="center"/>
          </w:tcPr>
          <w:p>
            <w:pPr>
              <w:pStyle w:val="30"/>
              <w:bidi w:val="0"/>
            </w:pPr>
            <w:r>
              <w:t>移动卫生间</w:t>
            </w:r>
          </w:p>
        </w:tc>
        <w:tc>
          <w:tcPr>
            <w:tcW w:w="659" w:type="dxa"/>
            <w:vAlign w:val="center"/>
          </w:tcPr>
          <w:p>
            <w:pPr>
              <w:pStyle w:val="30"/>
              <w:bidi w:val="0"/>
            </w:pPr>
            <w:r>
              <w:t>个</w:t>
            </w:r>
          </w:p>
        </w:tc>
        <w:tc>
          <w:tcPr>
            <w:tcW w:w="1371" w:type="dxa"/>
            <w:vAlign w:val="center"/>
          </w:tcPr>
          <w:p>
            <w:pPr>
              <w:pStyle w:val="30"/>
              <w:bidi w:val="0"/>
            </w:pPr>
            <w:r>
              <w:rPr>
                <w:rFonts w:hint="eastAsia"/>
              </w:rPr>
              <w:t>4</w:t>
            </w:r>
          </w:p>
        </w:tc>
        <w:tc>
          <w:tcPr>
            <w:tcW w:w="4067" w:type="dxa"/>
            <w:vAlign w:val="center"/>
          </w:tcPr>
          <w:p>
            <w:pPr>
              <w:pStyle w:val="30"/>
              <w:bidi w:val="0"/>
            </w:pPr>
            <w:r>
              <w:t>赛事期间增设，排水依托</w:t>
            </w:r>
            <w:r>
              <w:rPr>
                <w:rFonts w:hint="eastAsia"/>
              </w:rPr>
              <w:t>固</w:t>
            </w:r>
            <w:r>
              <w:t>有卫生间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rPr>
                <w:rFonts w:hint="eastAsia"/>
              </w:rPr>
              <w:t>4.4</w:t>
            </w:r>
          </w:p>
        </w:tc>
        <w:tc>
          <w:tcPr>
            <w:tcW w:w="2220" w:type="dxa"/>
            <w:vAlign w:val="center"/>
          </w:tcPr>
          <w:p>
            <w:pPr>
              <w:pStyle w:val="30"/>
              <w:bidi w:val="0"/>
            </w:pPr>
            <w:r>
              <w:t>园路</w:t>
            </w:r>
          </w:p>
        </w:tc>
        <w:tc>
          <w:tcPr>
            <w:tcW w:w="659" w:type="dxa"/>
            <w:vAlign w:val="center"/>
          </w:tcPr>
          <w:p>
            <w:pPr>
              <w:pStyle w:val="30"/>
              <w:bidi w:val="0"/>
            </w:pPr>
            <w:r>
              <w:t>㎡</w:t>
            </w:r>
          </w:p>
        </w:tc>
        <w:tc>
          <w:tcPr>
            <w:tcW w:w="1371" w:type="dxa"/>
            <w:vAlign w:val="center"/>
          </w:tcPr>
          <w:p>
            <w:pPr>
              <w:pStyle w:val="30"/>
              <w:bidi w:val="0"/>
            </w:pPr>
            <w:r>
              <w:t>16257</w:t>
            </w:r>
          </w:p>
        </w:tc>
        <w:tc>
          <w:tcPr>
            <w:tcW w:w="4067" w:type="dxa"/>
            <w:vAlign w:val="center"/>
          </w:tcPr>
          <w:p>
            <w:pPr>
              <w:pStyle w:val="30"/>
              <w:bidi w:val="0"/>
            </w:pPr>
            <w:r>
              <w:rPr>
                <w:rFonts w:hint="eastAsia"/>
              </w:rPr>
              <w:t>路外护坡绿化中以小游园形式，里面设置 1.5m宽人行道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5</w:t>
            </w:r>
          </w:p>
        </w:tc>
        <w:tc>
          <w:tcPr>
            <w:tcW w:w="2220" w:type="dxa"/>
            <w:vAlign w:val="center"/>
          </w:tcPr>
          <w:p>
            <w:pPr>
              <w:pStyle w:val="30"/>
              <w:bidi w:val="0"/>
            </w:pPr>
            <w:r>
              <w:t>交通工程</w:t>
            </w:r>
          </w:p>
        </w:tc>
        <w:tc>
          <w:tcPr>
            <w:tcW w:w="659" w:type="dxa"/>
          </w:tcPr>
          <w:p>
            <w:pPr>
              <w:pStyle w:val="30"/>
              <w:bidi w:val="0"/>
            </w:pPr>
            <w:r>
              <w:t>km</w:t>
            </w:r>
          </w:p>
        </w:tc>
        <w:tc>
          <w:tcPr>
            <w:tcW w:w="1371" w:type="dxa"/>
          </w:tcPr>
          <w:p>
            <w:pPr>
              <w:pStyle w:val="30"/>
              <w:bidi w:val="0"/>
            </w:pPr>
            <w:r>
              <w:t>11.738</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5.1</w:t>
            </w:r>
          </w:p>
        </w:tc>
        <w:tc>
          <w:tcPr>
            <w:tcW w:w="2220" w:type="dxa"/>
            <w:vAlign w:val="center"/>
          </w:tcPr>
          <w:p>
            <w:pPr>
              <w:pStyle w:val="30"/>
              <w:bidi w:val="0"/>
            </w:pPr>
            <w:r>
              <w:t>交通标志标线及</w:t>
            </w:r>
          </w:p>
          <w:p>
            <w:pPr>
              <w:pStyle w:val="30"/>
              <w:bidi w:val="0"/>
            </w:pPr>
            <w:r>
              <w:t>信号灯工程</w:t>
            </w:r>
          </w:p>
        </w:tc>
        <w:tc>
          <w:tcPr>
            <w:tcW w:w="659" w:type="dxa"/>
          </w:tcPr>
          <w:p>
            <w:pPr>
              <w:pStyle w:val="30"/>
              <w:bidi w:val="0"/>
            </w:pPr>
            <w:r>
              <w:t>km</w:t>
            </w:r>
          </w:p>
        </w:tc>
        <w:tc>
          <w:tcPr>
            <w:tcW w:w="1371" w:type="dxa"/>
          </w:tcPr>
          <w:p>
            <w:pPr>
              <w:pStyle w:val="30"/>
              <w:bidi w:val="0"/>
            </w:pPr>
            <w:r>
              <w:t>11.738</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5.2</w:t>
            </w:r>
          </w:p>
        </w:tc>
        <w:tc>
          <w:tcPr>
            <w:tcW w:w="2220" w:type="dxa"/>
            <w:vAlign w:val="center"/>
          </w:tcPr>
          <w:p>
            <w:pPr>
              <w:pStyle w:val="30"/>
              <w:bidi w:val="0"/>
            </w:pPr>
            <w:r>
              <w:t>城市视频监控系统</w:t>
            </w:r>
          </w:p>
        </w:tc>
        <w:tc>
          <w:tcPr>
            <w:tcW w:w="659" w:type="dxa"/>
          </w:tcPr>
          <w:p>
            <w:pPr>
              <w:pStyle w:val="30"/>
              <w:bidi w:val="0"/>
            </w:pPr>
            <w:r>
              <w:t>km</w:t>
            </w:r>
          </w:p>
        </w:tc>
        <w:tc>
          <w:tcPr>
            <w:tcW w:w="1371" w:type="dxa"/>
          </w:tcPr>
          <w:p>
            <w:pPr>
              <w:pStyle w:val="30"/>
              <w:bidi w:val="0"/>
            </w:pPr>
            <w:r>
              <w:t>11.738</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6</w:t>
            </w:r>
          </w:p>
        </w:tc>
        <w:tc>
          <w:tcPr>
            <w:tcW w:w="2220" w:type="dxa"/>
            <w:vAlign w:val="center"/>
          </w:tcPr>
          <w:p>
            <w:pPr>
              <w:pStyle w:val="30"/>
              <w:bidi w:val="0"/>
            </w:pPr>
            <w:r>
              <w:t>照明工程</w:t>
            </w:r>
          </w:p>
        </w:tc>
        <w:tc>
          <w:tcPr>
            <w:tcW w:w="659" w:type="dxa"/>
            <w:vAlign w:val="center"/>
          </w:tcPr>
          <w:p>
            <w:pPr>
              <w:pStyle w:val="30"/>
              <w:bidi w:val="0"/>
            </w:pPr>
            <w:r>
              <w:rPr>
                <w:rFonts w:hint="eastAsia"/>
              </w:rPr>
              <w:t>套</w:t>
            </w:r>
          </w:p>
        </w:tc>
        <w:tc>
          <w:tcPr>
            <w:tcW w:w="1371" w:type="dxa"/>
            <w:vAlign w:val="center"/>
          </w:tcPr>
          <w:p>
            <w:pPr>
              <w:pStyle w:val="30"/>
              <w:bidi w:val="0"/>
            </w:pPr>
            <w:r>
              <w:rPr>
                <w:rFonts w:hint="eastAsia"/>
              </w:rPr>
              <w:t>1240</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7</w:t>
            </w:r>
          </w:p>
        </w:tc>
        <w:tc>
          <w:tcPr>
            <w:tcW w:w="2220" w:type="dxa"/>
            <w:vAlign w:val="center"/>
          </w:tcPr>
          <w:p>
            <w:pPr>
              <w:pStyle w:val="30"/>
              <w:bidi w:val="0"/>
            </w:pPr>
            <w:r>
              <w:t>S306省道临时</w:t>
            </w:r>
          </w:p>
          <w:p>
            <w:pPr>
              <w:pStyle w:val="30"/>
              <w:bidi w:val="0"/>
            </w:pPr>
            <w:r>
              <w:t>保通道路</w:t>
            </w:r>
          </w:p>
        </w:tc>
        <w:tc>
          <w:tcPr>
            <w:tcW w:w="659" w:type="dxa"/>
          </w:tcPr>
          <w:p>
            <w:pPr>
              <w:pStyle w:val="30"/>
              <w:bidi w:val="0"/>
            </w:pPr>
            <w:r>
              <w:t>km</w:t>
            </w:r>
          </w:p>
        </w:tc>
        <w:tc>
          <w:tcPr>
            <w:tcW w:w="1371" w:type="dxa"/>
          </w:tcPr>
          <w:p>
            <w:pPr>
              <w:pStyle w:val="30"/>
              <w:bidi w:val="0"/>
            </w:pPr>
            <w:r>
              <w:t>0.230</w:t>
            </w:r>
          </w:p>
        </w:tc>
        <w:tc>
          <w:tcPr>
            <w:tcW w:w="4067" w:type="dxa"/>
            <w:vAlign w:val="center"/>
          </w:tcPr>
          <w:p>
            <w:pPr>
              <w:pStyle w:val="30"/>
              <w:bidi w:val="0"/>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57" w:type="dxa"/>
            <w:vAlign w:val="center"/>
          </w:tcPr>
          <w:p>
            <w:pPr>
              <w:pStyle w:val="30"/>
              <w:bidi w:val="0"/>
            </w:pPr>
            <w:r>
              <w:t>8</w:t>
            </w:r>
          </w:p>
        </w:tc>
        <w:tc>
          <w:tcPr>
            <w:tcW w:w="2220" w:type="dxa"/>
            <w:vAlign w:val="center"/>
          </w:tcPr>
          <w:p>
            <w:pPr>
              <w:pStyle w:val="30"/>
              <w:bidi w:val="0"/>
            </w:pPr>
            <w:r>
              <w:rPr>
                <w:rFonts w:hint="eastAsia"/>
              </w:rPr>
              <w:t>起</w:t>
            </w:r>
            <w:r>
              <w:t>点处</w:t>
            </w:r>
            <w:r>
              <w:rPr>
                <w:rFonts w:hint="eastAsia"/>
              </w:rPr>
              <w:t>原连接道</w:t>
            </w:r>
            <w:r>
              <w:t>复建</w:t>
            </w:r>
          </w:p>
        </w:tc>
        <w:tc>
          <w:tcPr>
            <w:tcW w:w="659" w:type="dxa"/>
            <w:vAlign w:val="center"/>
          </w:tcPr>
          <w:p>
            <w:pPr>
              <w:pStyle w:val="30"/>
              <w:bidi w:val="0"/>
            </w:pPr>
            <w:r>
              <w:rPr>
                <w:rFonts w:hint="eastAsia"/>
              </w:rPr>
              <w:t>m</w:t>
            </w:r>
          </w:p>
        </w:tc>
        <w:tc>
          <w:tcPr>
            <w:tcW w:w="1371" w:type="dxa"/>
            <w:vAlign w:val="center"/>
          </w:tcPr>
          <w:p>
            <w:pPr>
              <w:pStyle w:val="30"/>
              <w:bidi w:val="0"/>
            </w:pPr>
            <w:r>
              <w:rPr>
                <w:rFonts w:hint="eastAsia"/>
              </w:rPr>
              <w:t>50</w:t>
            </w:r>
          </w:p>
        </w:tc>
        <w:tc>
          <w:tcPr>
            <w:tcW w:w="4067" w:type="dxa"/>
            <w:vAlign w:val="center"/>
          </w:tcPr>
          <w:p>
            <w:pPr>
              <w:pStyle w:val="30"/>
              <w:bidi w:val="0"/>
            </w:pPr>
            <w:r>
              <w:rPr>
                <w:rFonts w:hint="eastAsia"/>
              </w:rPr>
              <w:t>-</w:t>
            </w:r>
          </w:p>
        </w:tc>
      </w:tr>
    </w:tbl>
    <w:p>
      <w:pPr>
        <w:pStyle w:val="4"/>
        <w:bidi w:val="0"/>
        <w:rPr>
          <w:b/>
          <w:sz w:val="24"/>
        </w:rPr>
      </w:pPr>
      <w:bookmarkStart w:id="21" w:name="_Toc2702"/>
      <w:r>
        <w:rPr>
          <w:b/>
          <w:sz w:val="24"/>
        </w:rPr>
        <w:t>交通量预测</w:t>
      </w:r>
      <w:bookmarkEnd w:id="21"/>
    </w:p>
    <w:p>
      <w:pPr>
        <w:spacing w:line="360" w:lineRule="auto"/>
        <w:ind w:firstLine="480"/>
        <w:rPr>
          <w:sz w:val="24"/>
        </w:rPr>
      </w:pPr>
      <w:r>
        <w:rPr>
          <w:rFonts w:hint="eastAsia"/>
          <w:sz w:val="24"/>
        </w:rPr>
        <w:t>本</w:t>
      </w:r>
      <w:r>
        <w:rPr>
          <w:sz w:val="24"/>
        </w:rPr>
        <w:t>项目预测特征年定为2022年、20</w:t>
      </w:r>
      <w:r>
        <w:rPr>
          <w:rFonts w:hint="eastAsia"/>
          <w:sz w:val="24"/>
        </w:rPr>
        <w:t>32</w:t>
      </w:r>
      <w:r>
        <w:rPr>
          <w:sz w:val="24"/>
        </w:rPr>
        <w:t>年和203</w:t>
      </w:r>
      <w:r>
        <w:rPr>
          <w:rFonts w:hint="eastAsia"/>
          <w:sz w:val="24"/>
        </w:rPr>
        <w:t>7</w:t>
      </w:r>
      <w:r>
        <w:rPr>
          <w:sz w:val="24"/>
        </w:rPr>
        <w:t>年，根据</w:t>
      </w:r>
      <w:r>
        <w:rPr>
          <w:rFonts w:hint="eastAsia"/>
          <w:sz w:val="24"/>
          <w:lang w:eastAsia="zh-CN"/>
        </w:rPr>
        <w:t>原</w:t>
      </w:r>
      <w:r>
        <w:rPr>
          <w:sz w:val="24"/>
        </w:rPr>
        <w:t>项目可研报告</w:t>
      </w:r>
      <w:r>
        <w:rPr>
          <w:rFonts w:hint="eastAsia"/>
          <w:sz w:val="24"/>
        </w:rPr>
        <w:t>，</w:t>
      </w:r>
      <w:r>
        <w:rPr>
          <w:sz w:val="24"/>
        </w:rPr>
        <w:t>交通量见表</w:t>
      </w:r>
      <w:r>
        <w:rPr>
          <w:rFonts w:hint="eastAsia"/>
          <w:sz w:val="24"/>
          <w:lang w:val="en-US" w:eastAsia="zh-CN"/>
        </w:rPr>
        <w:t>2.2-1</w:t>
      </w:r>
      <w:r>
        <w:rPr>
          <w:sz w:val="24"/>
        </w:rPr>
        <w:t>。</w:t>
      </w:r>
      <w:r>
        <w:rPr>
          <w:rFonts w:hint="eastAsia"/>
          <w:sz w:val="24"/>
        </w:rPr>
        <w:t>车型构成预测结果见表</w:t>
      </w:r>
      <w:r>
        <w:rPr>
          <w:rFonts w:hint="eastAsia"/>
          <w:sz w:val="24"/>
          <w:lang w:val="en-US" w:eastAsia="zh-CN"/>
        </w:rPr>
        <w:t>2.2-2</w:t>
      </w:r>
      <w:r>
        <w:rPr>
          <w:rFonts w:hint="eastAsia"/>
          <w:sz w:val="24"/>
        </w:rPr>
        <w:t>。昼间系数取0.9。</w:t>
      </w:r>
    </w:p>
    <w:p>
      <w:pPr>
        <w:pStyle w:val="32"/>
        <w:bidi w:val="0"/>
      </w:pPr>
      <w:r>
        <w:t>表</w:t>
      </w:r>
      <w:r>
        <w:rPr>
          <w:rFonts w:hint="eastAsia"/>
          <w:lang w:val="en-US" w:eastAsia="zh-CN"/>
        </w:rPr>
        <w:t>2.2</w:t>
      </w:r>
      <w:r>
        <w:t>-</w:t>
      </w:r>
      <w:r>
        <w:rPr>
          <w:rFonts w:hint="eastAsia"/>
          <w:lang w:val="en-US" w:eastAsia="zh-CN"/>
        </w:rPr>
        <w:t>1</w:t>
      </w:r>
      <w:r>
        <w:rPr>
          <w:rFonts w:hint="eastAsia"/>
        </w:rPr>
        <w:t xml:space="preserve">  </w:t>
      </w:r>
      <w:r>
        <w:t>交通量预测表单位：pcu/d</w:t>
      </w:r>
    </w:p>
    <w:tbl>
      <w:tblPr>
        <w:tblStyle w:val="21"/>
        <w:tblW w:w="4998"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2408"/>
        <w:gridCol w:w="1837"/>
        <w:gridCol w:w="2137"/>
        <w:gridCol w:w="213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413" w:type="pct"/>
          </w:tcPr>
          <w:p>
            <w:pPr>
              <w:pStyle w:val="30"/>
              <w:bidi w:val="0"/>
            </w:pPr>
            <w:r>
              <w:t>年份</w:t>
            </w:r>
          </w:p>
        </w:tc>
        <w:tc>
          <w:tcPr>
            <w:tcW w:w="1078" w:type="pct"/>
          </w:tcPr>
          <w:p>
            <w:pPr>
              <w:pStyle w:val="30"/>
              <w:bidi w:val="0"/>
            </w:pPr>
            <w:r>
              <w:t>近期（2022年）</w:t>
            </w:r>
          </w:p>
        </w:tc>
        <w:tc>
          <w:tcPr>
            <w:tcW w:w="1254" w:type="pct"/>
          </w:tcPr>
          <w:p>
            <w:pPr>
              <w:pStyle w:val="30"/>
              <w:bidi w:val="0"/>
            </w:pPr>
            <w:r>
              <w:t>中期（203</w:t>
            </w:r>
            <w:r>
              <w:rPr>
                <w:rFonts w:hint="eastAsia"/>
              </w:rPr>
              <w:t>2</w:t>
            </w:r>
            <w:r>
              <w:t>年）</w:t>
            </w:r>
          </w:p>
        </w:tc>
        <w:tc>
          <w:tcPr>
            <w:tcW w:w="1254" w:type="pct"/>
          </w:tcPr>
          <w:p>
            <w:pPr>
              <w:pStyle w:val="30"/>
              <w:bidi w:val="0"/>
            </w:pPr>
            <w:r>
              <w:t>远期（203</w:t>
            </w:r>
            <w:r>
              <w:rPr>
                <w:rFonts w:hint="eastAsia"/>
              </w:rPr>
              <w:t>7</w:t>
            </w:r>
            <w: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413" w:type="pct"/>
          </w:tcPr>
          <w:p>
            <w:pPr>
              <w:pStyle w:val="30"/>
              <w:bidi w:val="0"/>
            </w:pPr>
            <w:r>
              <w:t>交通量</w:t>
            </w:r>
          </w:p>
        </w:tc>
        <w:tc>
          <w:tcPr>
            <w:tcW w:w="1078" w:type="pct"/>
          </w:tcPr>
          <w:p>
            <w:pPr>
              <w:pStyle w:val="30"/>
              <w:bidi w:val="0"/>
            </w:pPr>
            <w:r>
              <w:t>1755</w:t>
            </w:r>
          </w:p>
        </w:tc>
        <w:tc>
          <w:tcPr>
            <w:tcW w:w="1254" w:type="pct"/>
          </w:tcPr>
          <w:p>
            <w:pPr>
              <w:pStyle w:val="30"/>
              <w:bidi w:val="0"/>
            </w:pPr>
            <w:r>
              <w:t>1863</w:t>
            </w:r>
          </w:p>
        </w:tc>
        <w:tc>
          <w:tcPr>
            <w:tcW w:w="1254" w:type="pct"/>
          </w:tcPr>
          <w:p>
            <w:pPr>
              <w:pStyle w:val="30"/>
              <w:bidi w:val="0"/>
            </w:pPr>
            <w:r>
              <w:t>1924</w:t>
            </w:r>
          </w:p>
        </w:tc>
      </w:tr>
    </w:tbl>
    <w:p>
      <w:pPr>
        <w:pStyle w:val="32"/>
        <w:bidi w:val="0"/>
        <w:rPr>
          <w:lang w:val="zh-CN"/>
        </w:rPr>
      </w:pPr>
      <w:r>
        <w:rPr>
          <w:lang w:val="zh-CN"/>
        </w:rPr>
        <w:t>表</w:t>
      </w:r>
      <w:r>
        <w:rPr>
          <w:rFonts w:hint="eastAsia"/>
          <w:lang w:val="en-US" w:eastAsia="zh-CN"/>
        </w:rPr>
        <w:t>2.2-2</w:t>
      </w:r>
      <w:r>
        <w:rPr>
          <w:rFonts w:hint="eastAsia"/>
          <w:lang w:val="zh-CN"/>
        </w:rPr>
        <w:t xml:space="preserve">  </w:t>
      </w:r>
      <w:r>
        <w:rPr>
          <w:lang w:val="zh-CN"/>
        </w:rPr>
        <w:t>未来年份车型构成预测结果（当量比）单位：%</w:t>
      </w:r>
    </w:p>
    <w:tbl>
      <w:tblPr>
        <w:tblStyle w:val="21"/>
        <w:tblW w:w="4998"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2056"/>
        <w:gridCol w:w="2185"/>
        <w:gridCol w:w="2185"/>
        <w:gridCol w:w="209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 w:hRule="atLeast"/>
          <w:jc w:val="center"/>
        </w:trPr>
        <w:tc>
          <w:tcPr>
            <w:tcW w:w="1207" w:type="pct"/>
            <w:vMerge w:val="restart"/>
            <w:vAlign w:val="center"/>
          </w:tcPr>
          <w:p>
            <w:pPr>
              <w:pStyle w:val="30"/>
              <w:bidi w:val="0"/>
            </w:pPr>
            <w:r>
              <w:t>车型比例</w:t>
            </w:r>
          </w:p>
        </w:tc>
        <w:tc>
          <w:tcPr>
            <w:tcW w:w="1282" w:type="pct"/>
            <w:vAlign w:val="center"/>
          </w:tcPr>
          <w:p>
            <w:pPr>
              <w:pStyle w:val="30"/>
              <w:bidi w:val="0"/>
            </w:pPr>
            <w:r>
              <w:t>小型车</w:t>
            </w:r>
          </w:p>
        </w:tc>
        <w:tc>
          <w:tcPr>
            <w:tcW w:w="1282" w:type="pct"/>
            <w:vAlign w:val="center"/>
          </w:tcPr>
          <w:p>
            <w:pPr>
              <w:pStyle w:val="30"/>
              <w:bidi w:val="0"/>
            </w:pPr>
            <w:r>
              <w:t>中型车</w:t>
            </w:r>
          </w:p>
        </w:tc>
        <w:tc>
          <w:tcPr>
            <w:tcW w:w="1228" w:type="pct"/>
            <w:vAlign w:val="center"/>
          </w:tcPr>
          <w:p>
            <w:pPr>
              <w:pStyle w:val="30"/>
              <w:bidi w:val="0"/>
            </w:pPr>
            <w:r>
              <w:t>大型车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207" w:type="pct"/>
            <w:vMerge w:val="continue"/>
            <w:tcBorders>
              <w:tl2br w:val="single" w:color="auto" w:sz="4" w:space="0"/>
            </w:tcBorders>
            <w:vAlign w:val="center"/>
          </w:tcPr>
          <w:p>
            <w:pPr>
              <w:pStyle w:val="30"/>
              <w:bidi w:val="0"/>
            </w:pPr>
          </w:p>
        </w:tc>
        <w:tc>
          <w:tcPr>
            <w:tcW w:w="1282" w:type="pct"/>
            <w:vAlign w:val="center"/>
          </w:tcPr>
          <w:p>
            <w:pPr>
              <w:pStyle w:val="30"/>
              <w:bidi w:val="0"/>
            </w:pPr>
            <w:r>
              <w:rPr>
                <w:rFonts w:hint="eastAsia"/>
              </w:rPr>
              <w:t>80%</w:t>
            </w:r>
          </w:p>
        </w:tc>
        <w:tc>
          <w:tcPr>
            <w:tcW w:w="1282" w:type="pct"/>
            <w:vAlign w:val="center"/>
          </w:tcPr>
          <w:p>
            <w:pPr>
              <w:pStyle w:val="30"/>
              <w:bidi w:val="0"/>
            </w:pPr>
            <w:r>
              <w:rPr>
                <w:rFonts w:hint="eastAsia"/>
              </w:rPr>
              <w:t>13%</w:t>
            </w:r>
          </w:p>
        </w:tc>
        <w:tc>
          <w:tcPr>
            <w:tcW w:w="1228" w:type="pct"/>
            <w:vAlign w:val="center"/>
          </w:tcPr>
          <w:p>
            <w:pPr>
              <w:pStyle w:val="30"/>
              <w:bidi w:val="0"/>
            </w:pPr>
            <w:r>
              <w:rPr>
                <w:rFonts w:hint="eastAsia"/>
              </w:rPr>
              <w:t>7%</w:t>
            </w:r>
          </w:p>
        </w:tc>
      </w:tr>
    </w:tbl>
    <w:p>
      <w:pPr>
        <w:pStyle w:val="4"/>
        <w:bidi w:val="0"/>
        <w:rPr>
          <w:rFonts w:hint="eastAsia"/>
          <w:b/>
          <w:sz w:val="24"/>
        </w:rPr>
      </w:pPr>
      <w:bookmarkStart w:id="22" w:name="_Toc1151"/>
      <w:r>
        <w:rPr>
          <w:rFonts w:hint="eastAsia"/>
          <w:b/>
          <w:sz w:val="24"/>
        </w:rPr>
        <w:t>筑路材料和运输条件</w:t>
      </w:r>
      <w:bookmarkEnd w:id="22"/>
    </w:p>
    <w:p>
      <w:pPr>
        <w:bidi w:val="0"/>
        <w:rPr>
          <w:rFonts w:hint="eastAsia"/>
        </w:rPr>
      </w:pPr>
      <w:r>
        <w:rPr>
          <w:rFonts w:hint="eastAsia"/>
        </w:rPr>
        <w:t>建设所需要的砖、砂石、钢材等建筑材料均可在岳阳市区或者君山区采购，能充足供应，运输十分方便。项目周边市政配套齐全，水、电、气等必备条件均已成熟，水电、城市路网和公共配套设施能满足项目建设的需要。</w:t>
      </w:r>
    </w:p>
    <w:p>
      <w:pPr>
        <w:pStyle w:val="4"/>
        <w:bidi w:val="0"/>
        <w:rPr>
          <w:rFonts w:hint="default"/>
          <w:b/>
          <w:sz w:val="24"/>
          <w:lang w:val="en-US" w:eastAsia="zh-CN"/>
        </w:rPr>
      </w:pPr>
      <w:bookmarkStart w:id="23" w:name="_Toc19602"/>
      <w:r>
        <w:rPr>
          <w:rFonts w:hint="default"/>
          <w:b/>
          <w:sz w:val="24"/>
          <w:lang w:val="en-US" w:eastAsia="zh-CN"/>
        </w:rPr>
        <w:t>工程方案</w:t>
      </w:r>
      <w:bookmarkEnd w:id="23"/>
    </w:p>
    <w:p>
      <w:pPr>
        <w:bidi w:val="0"/>
        <w:rPr>
          <w:rFonts w:hint="default"/>
          <w:lang w:val="en-US" w:eastAsia="zh-CN"/>
        </w:rPr>
      </w:pPr>
      <w:r>
        <w:rPr>
          <w:rFonts w:hint="eastAsia"/>
          <w:lang w:val="en-US" w:eastAsia="zh-CN"/>
        </w:rPr>
        <w:t>原</w:t>
      </w:r>
      <w:r>
        <w:rPr>
          <w:rFonts w:hint="default"/>
          <w:lang w:val="en-US" w:eastAsia="zh-CN"/>
        </w:rPr>
        <w:t>项目建设内容包括道路工程、涵洞结构工程、堤防工程、给排水排水工程、景观绿化及环境保护工程、交通配套设施工程、照明工程、S306省道临时保通道路、连接道复建工程。</w:t>
      </w:r>
    </w:p>
    <w:p>
      <w:pPr>
        <w:widowControl/>
        <w:spacing w:line="360" w:lineRule="auto"/>
        <w:ind w:firstLine="480" w:firstLineChars="200"/>
        <w:rPr>
          <w:bCs/>
          <w:sz w:val="24"/>
        </w:rPr>
      </w:pPr>
      <w:r>
        <w:rPr>
          <w:rFonts w:hint="eastAsia"/>
          <w:bCs/>
          <w:sz w:val="24"/>
          <w:lang w:eastAsia="zh-CN"/>
        </w:rPr>
        <w:t>原</w:t>
      </w:r>
      <w:r>
        <w:rPr>
          <w:rFonts w:hint="eastAsia"/>
          <w:bCs/>
          <w:sz w:val="24"/>
        </w:rPr>
        <w:t>项目道路道路全长11738m，起于君山区二洲子村附近，起点与垃圾无害化处理中心连接道相接（按K0+000计），道路沿长江堤防内侧压浸台布线，在K0+310处与华南石化连接道相接，K1+000处经过矮围电排站，K1+270～K1+470段经过君辉混凝土有限公司，K1+820～K2+170段经过规划景明农产品市场；在新东闸处（K2+400～K2+750路段）采用堤顶帮宽形式通过；在K3+275处经过桑园排污口，K3+700处经过桑园电排站，K3+870处与规划连接道相接；在K4+200处拐向堤内，并先后从蒙华铁路、杭瑞高速公路高架桥墩下穿过；在K4+360处采用28m长下穿通道通过S306省道后，与既有道路相接，K4+500～K5+020段利用已建成道路；随后沿洞庭湖堤内压浸台布线，在K6+300处经过规划楼西湾分洪口门，在K7+270～K7+340段经过穆湖铺电排站，该段道路采用堤顶帮宽形式，并采用衡重式路肩墙进行收坡；随后道路沿洞庭湖堤内压浸台布线，在K10+800处逐渐抬高与堤顶平齐，采用堤路结合形式进行布线，在K10+880处经过南闸；在11+180～K11+400段采用堤顶帮宽方案经过濠河，在K11+738处与旅游路相接。</w:t>
      </w:r>
    </w:p>
    <w:p>
      <w:pPr>
        <w:pStyle w:val="4"/>
        <w:bidi w:val="0"/>
        <w:rPr>
          <w:rFonts w:hint="eastAsia"/>
          <w:b/>
          <w:bCs/>
          <w:sz w:val="24"/>
          <w:szCs w:val="24"/>
        </w:rPr>
      </w:pPr>
      <w:bookmarkStart w:id="24" w:name="_Toc7897"/>
      <w:r>
        <w:rPr>
          <w:rFonts w:hint="eastAsia"/>
          <w:b/>
          <w:bCs/>
          <w:sz w:val="24"/>
          <w:szCs w:val="24"/>
        </w:rPr>
        <w:t>土石方工程</w:t>
      </w:r>
      <w:bookmarkEnd w:id="24"/>
    </w:p>
    <w:p>
      <w:pPr>
        <w:widowControl/>
        <w:spacing w:line="360" w:lineRule="auto"/>
        <w:ind w:firstLine="480" w:firstLineChars="200"/>
        <w:rPr>
          <w:bCs/>
          <w:sz w:val="24"/>
        </w:rPr>
      </w:pPr>
      <w:r>
        <w:rPr>
          <w:rFonts w:hint="eastAsia"/>
          <w:bCs/>
          <w:sz w:val="24"/>
        </w:rPr>
        <w:t>根据可行性研究报告，本项目挖方</w:t>
      </w:r>
      <w:r>
        <w:rPr>
          <w:bCs/>
          <w:sz w:val="24"/>
        </w:rPr>
        <w:t>139074</w:t>
      </w:r>
      <w:r>
        <w:rPr>
          <w:rFonts w:hint="eastAsia"/>
          <w:bCs/>
          <w:sz w:val="24"/>
          <w:lang w:eastAsia="zh-CN"/>
        </w:rPr>
        <w:t>m</w:t>
      </w:r>
      <w:r>
        <w:rPr>
          <w:rFonts w:hint="eastAsia"/>
          <w:bCs/>
          <w:sz w:val="24"/>
          <w:vertAlign w:val="superscript"/>
          <w:lang w:eastAsia="zh-CN"/>
        </w:rPr>
        <w:t>3</w:t>
      </w:r>
      <w:r>
        <w:rPr>
          <w:rFonts w:hint="eastAsia"/>
          <w:bCs/>
          <w:sz w:val="24"/>
        </w:rPr>
        <w:t>，填方</w:t>
      </w:r>
      <w:r>
        <w:rPr>
          <w:bCs/>
          <w:sz w:val="24"/>
        </w:rPr>
        <w:t>1503420</w:t>
      </w:r>
      <w:r>
        <w:rPr>
          <w:rFonts w:hint="eastAsia"/>
          <w:bCs/>
          <w:sz w:val="24"/>
          <w:lang w:eastAsia="zh-CN"/>
        </w:rPr>
        <w:t>m</w:t>
      </w:r>
      <w:r>
        <w:rPr>
          <w:rFonts w:hint="eastAsia"/>
          <w:bCs/>
          <w:sz w:val="24"/>
          <w:vertAlign w:val="superscript"/>
          <w:lang w:eastAsia="zh-CN"/>
        </w:rPr>
        <w:t>3</w:t>
      </w:r>
      <w:r>
        <w:rPr>
          <w:rFonts w:hint="eastAsia"/>
          <w:bCs/>
          <w:sz w:val="24"/>
        </w:rPr>
        <w:t>，无弃方量。根据建设方提供的借用土方说明（详见附件3）可知，项目填方主要来源于《东洞庭湖自然保护区岸线、洲滩及缓冲区、实验区生态修复工程》的弃土（</w:t>
      </w:r>
      <w:r>
        <w:rPr>
          <w:rFonts w:hint="eastAsia" w:hAnsi="宋体"/>
          <w:kern w:val="0"/>
          <w:sz w:val="24"/>
        </w:rPr>
        <w:t>弃土约</w:t>
      </w:r>
      <w:r>
        <w:rPr>
          <w:rFonts w:hint="eastAsia" w:hAnsi="宋体"/>
          <w:kern w:val="0"/>
          <w:sz w:val="24"/>
          <w:lang w:val="en-US" w:eastAsia="zh-CN"/>
        </w:rPr>
        <w:t>779490.8</w:t>
      </w:r>
      <w:r>
        <w:rPr>
          <w:rFonts w:hint="eastAsia"/>
          <w:kern w:val="0"/>
          <w:sz w:val="24"/>
          <w:lang w:eastAsia="zh-CN"/>
        </w:rPr>
        <w:t>m</w:t>
      </w:r>
      <w:r>
        <w:rPr>
          <w:rFonts w:hint="eastAsia"/>
          <w:kern w:val="0"/>
          <w:sz w:val="24"/>
          <w:vertAlign w:val="superscript"/>
          <w:lang w:eastAsia="zh-CN"/>
        </w:rPr>
        <w:t>3</w:t>
      </w:r>
      <w:r>
        <w:rPr>
          <w:rFonts w:hint="eastAsia"/>
          <w:bCs/>
          <w:sz w:val="24"/>
        </w:rPr>
        <w:t>）及《岳阳市君山区濠河水环境综合治理工程》的弃土（</w:t>
      </w:r>
      <w:r>
        <w:rPr>
          <w:rFonts w:hint="eastAsia" w:hAnsi="宋体"/>
          <w:kern w:val="0"/>
          <w:sz w:val="24"/>
        </w:rPr>
        <w:t>弃土约550000</w:t>
      </w:r>
      <w:r>
        <w:rPr>
          <w:rFonts w:hint="eastAsia"/>
          <w:kern w:val="0"/>
          <w:sz w:val="24"/>
          <w:lang w:eastAsia="zh-CN"/>
        </w:rPr>
        <w:t>m</w:t>
      </w:r>
      <w:r>
        <w:rPr>
          <w:rFonts w:hint="eastAsia"/>
          <w:kern w:val="0"/>
          <w:sz w:val="24"/>
          <w:vertAlign w:val="superscript"/>
          <w:lang w:eastAsia="zh-CN"/>
        </w:rPr>
        <w:t>3</w:t>
      </w:r>
      <w:r>
        <w:rPr>
          <w:rFonts w:hint="eastAsia"/>
          <w:bCs/>
          <w:sz w:val="24"/>
        </w:rPr>
        <w:t>），加上本项目的挖方量，可满足本项目的填方量需求，因此本项目不另设取弃土场。</w:t>
      </w:r>
    </w:p>
    <w:p>
      <w:pPr>
        <w:pStyle w:val="29"/>
        <w:bidi w:val="0"/>
        <w:rPr>
          <w:rFonts w:hint="eastAsia" w:eastAsia="黑体"/>
          <w:u w:val="single"/>
          <w:lang w:eastAsia="zh-CN"/>
        </w:rPr>
      </w:pPr>
      <w:r>
        <w:rPr>
          <w:rFonts w:hint="eastAsia"/>
          <w:u w:val="single"/>
        </w:rPr>
        <w:t>表</w:t>
      </w:r>
      <w:r>
        <w:rPr>
          <w:rFonts w:hint="eastAsia"/>
          <w:u w:val="single"/>
          <w:lang w:val="en-US" w:eastAsia="zh-CN"/>
        </w:rPr>
        <w:t>2.5-1</w:t>
      </w:r>
      <w:r>
        <w:rPr>
          <w:rFonts w:hint="eastAsia"/>
          <w:u w:val="single"/>
        </w:rPr>
        <w:t xml:space="preserve">    本项目土石方一览表   单位</w:t>
      </w:r>
      <w:r>
        <w:rPr>
          <w:rFonts w:hint="eastAsia"/>
          <w:u w:val="single"/>
          <w:lang w:eastAsia="zh-CN"/>
        </w:rPr>
        <w:t>m</w:t>
      </w:r>
      <w:r>
        <w:rPr>
          <w:rFonts w:hint="eastAsia"/>
          <w:u w:val="single"/>
          <w:vertAlign w:val="superscript"/>
          <w:lang w:eastAsia="zh-CN"/>
        </w:rPr>
        <w:t>3</w:t>
      </w:r>
    </w:p>
    <w:tbl>
      <w:tblPr>
        <w:tblStyle w:val="22"/>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75"/>
        <w:gridCol w:w="990"/>
        <w:gridCol w:w="898"/>
        <w:gridCol w:w="1118"/>
        <w:gridCol w:w="3785"/>
        <w:gridCol w:w="105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96" w:type="pct"/>
            <w:vAlign w:val="center"/>
          </w:tcPr>
          <w:p>
            <w:pPr>
              <w:pStyle w:val="30"/>
              <w:widowControl w:val="0"/>
              <w:bidi w:val="0"/>
              <w:rPr>
                <w:u w:val="single"/>
              </w:rPr>
            </w:pPr>
            <w:r>
              <w:rPr>
                <w:u w:val="single"/>
              </w:rPr>
              <w:t>序号</w:t>
            </w:r>
          </w:p>
        </w:tc>
        <w:tc>
          <w:tcPr>
            <w:tcW w:w="581" w:type="pct"/>
            <w:tcBorders>
              <w:right w:val="single" w:color="auto" w:sz="4" w:space="0"/>
            </w:tcBorders>
            <w:vAlign w:val="center"/>
          </w:tcPr>
          <w:p>
            <w:pPr>
              <w:pStyle w:val="30"/>
              <w:widowControl w:val="0"/>
              <w:bidi w:val="0"/>
              <w:rPr>
                <w:u w:val="single"/>
              </w:rPr>
            </w:pPr>
            <w:r>
              <w:rPr>
                <w:rFonts w:hint="eastAsia"/>
                <w:u w:val="single"/>
              </w:rPr>
              <w:t>挖方量</w:t>
            </w:r>
          </w:p>
        </w:tc>
        <w:tc>
          <w:tcPr>
            <w:tcW w:w="527" w:type="pct"/>
            <w:tcBorders>
              <w:right w:val="single" w:color="auto" w:sz="4" w:space="0"/>
            </w:tcBorders>
            <w:vAlign w:val="center"/>
          </w:tcPr>
          <w:p>
            <w:pPr>
              <w:pStyle w:val="30"/>
              <w:widowControl w:val="0"/>
              <w:bidi w:val="0"/>
              <w:rPr>
                <w:u w:val="single"/>
              </w:rPr>
            </w:pPr>
            <w:r>
              <w:rPr>
                <w:rFonts w:hint="eastAsia"/>
                <w:u w:val="single"/>
              </w:rPr>
              <w:t>弃</w:t>
            </w:r>
            <w:r>
              <w:rPr>
                <w:u w:val="single"/>
              </w:rPr>
              <w:t>方量</w:t>
            </w:r>
          </w:p>
        </w:tc>
        <w:tc>
          <w:tcPr>
            <w:tcW w:w="656" w:type="pct"/>
            <w:tcBorders>
              <w:left w:val="single" w:color="auto" w:sz="4" w:space="0"/>
            </w:tcBorders>
            <w:vAlign w:val="center"/>
          </w:tcPr>
          <w:p>
            <w:pPr>
              <w:pStyle w:val="30"/>
              <w:widowControl w:val="0"/>
              <w:bidi w:val="0"/>
              <w:rPr>
                <w:u w:val="single"/>
              </w:rPr>
            </w:pPr>
            <w:r>
              <w:rPr>
                <w:rFonts w:hint="eastAsia"/>
                <w:u w:val="single"/>
              </w:rPr>
              <w:t>填方</w:t>
            </w:r>
            <w:r>
              <w:rPr>
                <w:u w:val="single"/>
              </w:rPr>
              <w:t>量</w:t>
            </w:r>
          </w:p>
        </w:tc>
        <w:tc>
          <w:tcPr>
            <w:tcW w:w="2840" w:type="pct"/>
            <w:gridSpan w:val="2"/>
            <w:vAlign w:val="center"/>
          </w:tcPr>
          <w:p>
            <w:pPr>
              <w:pStyle w:val="30"/>
              <w:widowControl w:val="0"/>
              <w:bidi w:val="0"/>
              <w:rPr>
                <w:u w:val="single"/>
              </w:rPr>
            </w:pPr>
            <w:r>
              <w:rPr>
                <w:rFonts w:hint="eastAsia"/>
                <w:u w:val="single"/>
              </w:rPr>
              <w:t>填方</w:t>
            </w:r>
            <w:r>
              <w:rPr>
                <w:u w:val="single"/>
              </w:rPr>
              <w:t>来源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96" w:type="pct"/>
            <w:vAlign w:val="center"/>
          </w:tcPr>
          <w:p>
            <w:pPr>
              <w:pStyle w:val="30"/>
              <w:widowControl w:val="0"/>
              <w:bidi w:val="0"/>
              <w:rPr>
                <w:u w:val="single"/>
              </w:rPr>
            </w:pPr>
            <w:r>
              <w:rPr>
                <w:u w:val="single"/>
              </w:rPr>
              <w:t>1</w:t>
            </w:r>
          </w:p>
        </w:tc>
        <w:tc>
          <w:tcPr>
            <w:tcW w:w="581" w:type="pct"/>
            <w:vMerge w:val="restart"/>
            <w:tcBorders>
              <w:right w:val="single" w:color="auto" w:sz="4" w:space="0"/>
            </w:tcBorders>
            <w:vAlign w:val="center"/>
          </w:tcPr>
          <w:p>
            <w:pPr>
              <w:pStyle w:val="30"/>
              <w:widowControl w:val="0"/>
              <w:bidi w:val="0"/>
              <w:rPr>
                <w:u w:val="single"/>
              </w:rPr>
            </w:pPr>
            <w:r>
              <w:rPr>
                <w:u w:val="single"/>
              </w:rPr>
              <w:t>139074</w:t>
            </w:r>
          </w:p>
        </w:tc>
        <w:tc>
          <w:tcPr>
            <w:tcW w:w="527" w:type="pct"/>
            <w:vMerge w:val="restart"/>
            <w:tcBorders>
              <w:right w:val="single" w:color="auto" w:sz="4" w:space="0"/>
            </w:tcBorders>
            <w:vAlign w:val="center"/>
          </w:tcPr>
          <w:p>
            <w:pPr>
              <w:pStyle w:val="30"/>
              <w:widowControl w:val="0"/>
              <w:bidi w:val="0"/>
              <w:rPr>
                <w:u w:val="single"/>
              </w:rPr>
            </w:pPr>
            <w:r>
              <w:rPr>
                <w:rFonts w:hint="eastAsia"/>
                <w:u w:val="single"/>
              </w:rPr>
              <w:t>0</w:t>
            </w:r>
          </w:p>
        </w:tc>
        <w:tc>
          <w:tcPr>
            <w:tcW w:w="656" w:type="pct"/>
            <w:vMerge w:val="restart"/>
            <w:tcBorders>
              <w:left w:val="single" w:color="auto" w:sz="4" w:space="0"/>
            </w:tcBorders>
            <w:vAlign w:val="center"/>
          </w:tcPr>
          <w:p>
            <w:pPr>
              <w:pStyle w:val="30"/>
              <w:widowControl w:val="0"/>
              <w:bidi w:val="0"/>
              <w:rPr>
                <w:u w:val="single"/>
              </w:rPr>
            </w:pPr>
            <w:r>
              <w:rPr>
                <w:u w:val="single"/>
              </w:rPr>
              <w:t>1503420</w:t>
            </w:r>
          </w:p>
        </w:tc>
        <w:tc>
          <w:tcPr>
            <w:tcW w:w="2221" w:type="pct"/>
            <w:tcBorders>
              <w:right w:val="single" w:color="auto" w:sz="4" w:space="0"/>
            </w:tcBorders>
            <w:vAlign w:val="center"/>
          </w:tcPr>
          <w:p>
            <w:pPr>
              <w:pStyle w:val="30"/>
              <w:widowControl w:val="0"/>
              <w:bidi w:val="0"/>
              <w:rPr>
                <w:u w:val="single"/>
              </w:rPr>
            </w:pPr>
            <w:r>
              <w:rPr>
                <w:u w:val="single"/>
              </w:rPr>
              <w:t>本项目挖方量</w:t>
            </w:r>
          </w:p>
        </w:tc>
        <w:tc>
          <w:tcPr>
            <w:tcW w:w="619" w:type="pct"/>
            <w:tcBorders>
              <w:left w:val="single" w:color="auto" w:sz="4" w:space="0"/>
            </w:tcBorders>
            <w:vAlign w:val="center"/>
          </w:tcPr>
          <w:p>
            <w:pPr>
              <w:pStyle w:val="30"/>
              <w:widowControl w:val="0"/>
              <w:bidi w:val="0"/>
              <w:rPr>
                <w:u w:val="single"/>
              </w:rPr>
            </w:pPr>
            <w:r>
              <w:rPr>
                <w:u w:val="single"/>
              </w:rPr>
              <w:t>139074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96" w:type="pct"/>
            <w:vAlign w:val="center"/>
          </w:tcPr>
          <w:p>
            <w:pPr>
              <w:pStyle w:val="30"/>
              <w:widowControl w:val="0"/>
              <w:bidi w:val="0"/>
              <w:rPr>
                <w:u w:val="single"/>
              </w:rPr>
            </w:pPr>
            <w:r>
              <w:rPr>
                <w:u w:val="single"/>
              </w:rPr>
              <w:t>2</w:t>
            </w:r>
          </w:p>
        </w:tc>
        <w:tc>
          <w:tcPr>
            <w:tcW w:w="581" w:type="pct"/>
            <w:vMerge w:val="continue"/>
            <w:tcBorders>
              <w:right w:val="single" w:color="auto" w:sz="4" w:space="0"/>
            </w:tcBorders>
            <w:vAlign w:val="center"/>
          </w:tcPr>
          <w:p>
            <w:pPr>
              <w:pStyle w:val="30"/>
              <w:widowControl w:val="0"/>
              <w:bidi w:val="0"/>
              <w:rPr>
                <w:u w:val="single"/>
              </w:rPr>
            </w:pPr>
          </w:p>
        </w:tc>
        <w:tc>
          <w:tcPr>
            <w:tcW w:w="527" w:type="pct"/>
            <w:vMerge w:val="continue"/>
            <w:tcBorders>
              <w:right w:val="single" w:color="auto" w:sz="4" w:space="0"/>
            </w:tcBorders>
            <w:vAlign w:val="center"/>
          </w:tcPr>
          <w:p>
            <w:pPr>
              <w:pStyle w:val="30"/>
              <w:widowControl w:val="0"/>
              <w:bidi w:val="0"/>
              <w:rPr>
                <w:u w:val="single"/>
              </w:rPr>
            </w:pPr>
          </w:p>
        </w:tc>
        <w:tc>
          <w:tcPr>
            <w:tcW w:w="656" w:type="pct"/>
            <w:vMerge w:val="continue"/>
            <w:tcBorders>
              <w:left w:val="single" w:color="auto" w:sz="4" w:space="0"/>
            </w:tcBorders>
            <w:vAlign w:val="center"/>
          </w:tcPr>
          <w:p>
            <w:pPr>
              <w:pStyle w:val="30"/>
              <w:widowControl w:val="0"/>
              <w:bidi w:val="0"/>
              <w:rPr>
                <w:u w:val="single"/>
              </w:rPr>
            </w:pPr>
          </w:p>
        </w:tc>
        <w:tc>
          <w:tcPr>
            <w:tcW w:w="2221" w:type="pct"/>
            <w:tcBorders>
              <w:right w:val="single" w:color="auto" w:sz="4" w:space="0"/>
            </w:tcBorders>
            <w:vAlign w:val="center"/>
          </w:tcPr>
          <w:p>
            <w:pPr>
              <w:pStyle w:val="30"/>
              <w:widowControl w:val="0"/>
              <w:bidi w:val="0"/>
              <w:rPr>
                <w:u w:val="single"/>
              </w:rPr>
            </w:pPr>
            <w:r>
              <w:rPr>
                <w:rFonts w:hint="eastAsia"/>
                <w:u w:val="single"/>
              </w:rPr>
              <w:t>本项目建筑垃圾</w:t>
            </w:r>
          </w:p>
        </w:tc>
        <w:tc>
          <w:tcPr>
            <w:tcW w:w="619" w:type="pct"/>
            <w:tcBorders>
              <w:left w:val="single" w:color="auto" w:sz="4" w:space="0"/>
            </w:tcBorders>
            <w:vAlign w:val="center"/>
          </w:tcPr>
          <w:p>
            <w:pPr>
              <w:pStyle w:val="30"/>
              <w:widowControl w:val="0"/>
              <w:bidi w:val="0"/>
              <w:rPr>
                <w:u w:val="single"/>
              </w:rPr>
            </w:pPr>
            <w:r>
              <w:rPr>
                <w:u w:val="single"/>
              </w:rPr>
              <w:t>34855.2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96" w:type="pct"/>
            <w:vAlign w:val="center"/>
          </w:tcPr>
          <w:p>
            <w:pPr>
              <w:pStyle w:val="30"/>
              <w:widowControl w:val="0"/>
              <w:bidi w:val="0"/>
              <w:rPr>
                <w:u w:val="single"/>
              </w:rPr>
            </w:pPr>
            <w:r>
              <w:rPr>
                <w:u w:val="single"/>
              </w:rPr>
              <w:t>3</w:t>
            </w:r>
          </w:p>
        </w:tc>
        <w:tc>
          <w:tcPr>
            <w:tcW w:w="581" w:type="pct"/>
            <w:vMerge w:val="continue"/>
            <w:tcBorders>
              <w:right w:val="single" w:color="auto" w:sz="4" w:space="0"/>
            </w:tcBorders>
            <w:vAlign w:val="center"/>
          </w:tcPr>
          <w:p>
            <w:pPr>
              <w:pStyle w:val="30"/>
              <w:widowControl w:val="0"/>
              <w:bidi w:val="0"/>
              <w:rPr>
                <w:u w:val="single"/>
              </w:rPr>
            </w:pPr>
          </w:p>
        </w:tc>
        <w:tc>
          <w:tcPr>
            <w:tcW w:w="527" w:type="pct"/>
            <w:vMerge w:val="continue"/>
            <w:tcBorders>
              <w:right w:val="single" w:color="auto" w:sz="4" w:space="0"/>
            </w:tcBorders>
            <w:vAlign w:val="center"/>
          </w:tcPr>
          <w:p>
            <w:pPr>
              <w:pStyle w:val="30"/>
              <w:widowControl w:val="0"/>
              <w:bidi w:val="0"/>
              <w:rPr>
                <w:u w:val="single"/>
              </w:rPr>
            </w:pPr>
          </w:p>
        </w:tc>
        <w:tc>
          <w:tcPr>
            <w:tcW w:w="656" w:type="pct"/>
            <w:vMerge w:val="continue"/>
            <w:tcBorders>
              <w:left w:val="single" w:color="auto" w:sz="4" w:space="0"/>
            </w:tcBorders>
            <w:vAlign w:val="center"/>
          </w:tcPr>
          <w:p>
            <w:pPr>
              <w:pStyle w:val="30"/>
              <w:widowControl w:val="0"/>
              <w:bidi w:val="0"/>
              <w:rPr>
                <w:u w:val="single"/>
              </w:rPr>
            </w:pPr>
          </w:p>
        </w:tc>
        <w:tc>
          <w:tcPr>
            <w:tcW w:w="2221" w:type="pct"/>
            <w:tcBorders>
              <w:right w:val="single" w:color="auto" w:sz="4" w:space="0"/>
            </w:tcBorders>
            <w:vAlign w:val="center"/>
          </w:tcPr>
          <w:p>
            <w:pPr>
              <w:pStyle w:val="30"/>
              <w:widowControl w:val="0"/>
              <w:bidi w:val="0"/>
              <w:rPr>
                <w:u w:val="single"/>
              </w:rPr>
            </w:pPr>
            <w:r>
              <w:rPr>
                <w:rFonts w:hint="eastAsia"/>
                <w:u w:val="single"/>
              </w:rPr>
              <w:t>岳阳市君山区濠河水环</w:t>
            </w:r>
          </w:p>
          <w:p>
            <w:pPr>
              <w:pStyle w:val="30"/>
              <w:widowControl w:val="0"/>
              <w:bidi w:val="0"/>
              <w:rPr>
                <w:u w:val="single"/>
              </w:rPr>
            </w:pPr>
            <w:r>
              <w:rPr>
                <w:rFonts w:hint="eastAsia"/>
                <w:u w:val="single"/>
              </w:rPr>
              <w:t>境综合治理工程的弃土</w:t>
            </w:r>
          </w:p>
        </w:tc>
        <w:tc>
          <w:tcPr>
            <w:tcW w:w="619" w:type="pct"/>
            <w:tcBorders>
              <w:left w:val="single" w:color="auto" w:sz="4" w:space="0"/>
            </w:tcBorders>
            <w:vAlign w:val="center"/>
          </w:tcPr>
          <w:p>
            <w:pPr>
              <w:pStyle w:val="30"/>
              <w:widowControl w:val="0"/>
              <w:bidi w:val="0"/>
              <w:rPr>
                <w:u w:val="single"/>
              </w:rPr>
            </w:pPr>
            <w:r>
              <w:rPr>
                <w:rFonts w:hint="eastAsia"/>
                <w:u w:val="single"/>
              </w:rPr>
              <w:t>550000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96" w:type="pct"/>
            <w:vAlign w:val="center"/>
          </w:tcPr>
          <w:p>
            <w:pPr>
              <w:pStyle w:val="30"/>
              <w:widowControl w:val="0"/>
              <w:bidi w:val="0"/>
              <w:rPr>
                <w:u w:val="single"/>
              </w:rPr>
            </w:pPr>
            <w:r>
              <w:rPr>
                <w:rFonts w:hint="eastAsia"/>
                <w:u w:val="single"/>
              </w:rPr>
              <w:t>4</w:t>
            </w:r>
          </w:p>
        </w:tc>
        <w:tc>
          <w:tcPr>
            <w:tcW w:w="581" w:type="pct"/>
            <w:vMerge w:val="continue"/>
            <w:tcBorders>
              <w:right w:val="single" w:color="auto" w:sz="4" w:space="0"/>
            </w:tcBorders>
            <w:vAlign w:val="center"/>
          </w:tcPr>
          <w:p>
            <w:pPr>
              <w:pStyle w:val="30"/>
              <w:widowControl w:val="0"/>
              <w:bidi w:val="0"/>
              <w:rPr>
                <w:u w:val="single"/>
              </w:rPr>
            </w:pPr>
          </w:p>
        </w:tc>
        <w:tc>
          <w:tcPr>
            <w:tcW w:w="527" w:type="pct"/>
            <w:vMerge w:val="continue"/>
            <w:tcBorders>
              <w:right w:val="single" w:color="auto" w:sz="4" w:space="0"/>
            </w:tcBorders>
            <w:vAlign w:val="center"/>
          </w:tcPr>
          <w:p>
            <w:pPr>
              <w:pStyle w:val="30"/>
              <w:widowControl w:val="0"/>
              <w:bidi w:val="0"/>
              <w:rPr>
                <w:u w:val="single"/>
              </w:rPr>
            </w:pPr>
          </w:p>
        </w:tc>
        <w:tc>
          <w:tcPr>
            <w:tcW w:w="656" w:type="pct"/>
            <w:vMerge w:val="continue"/>
            <w:tcBorders>
              <w:left w:val="single" w:color="auto" w:sz="4" w:space="0"/>
            </w:tcBorders>
            <w:vAlign w:val="center"/>
          </w:tcPr>
          <w:p>
            <w:pPr>
              <w:pStyle w:val="30"/>
              <w:widowControl w:val="0"/>
              <w:bidi w:val="0"/>
              <w:rPr>
                <w:u w:val="single"/>
              </w:rPr>
            </w:pPr>
          </w:p>
        </w:tc>
        <w:tc>
          <w:tcPr>
            <w:tcW w:w="2221" w:type="pct"/>
            <w:tcBorders>
              <w:right w:val="single" w:color="auto" w:sz="4" w:space="0"/>
            </w:tcBorders>
            <w:vAlign w:val="center"/>
          </w:tcPr>
          <w:p>
            <w:pPr>
              <w:pStyle w:val="30"/>
              <w:widowControl w:val="0"/>
              <w:bidi w:val="0"/>
              <w:rPr>
                <w:u w:val="single"/>
              </w:rPr>
            </w:pPr>
            <w:r>
              <w:rPr>
                <w:rFonts w:hint="eastAsia"/>
                <w:u w:val="single"/>
              </w:rPr>
              <w:t>东洞庭湖自然保护区岸线、洲滩</w:t>
            </w:r>
          </w:p>
          <w:p>
            <w:pPr>
              <w:pStyle w:val="30"/>
              <w:widowControl w:val="0"/>
              <w:bidi w:val="0"/>
              <w:rPr>
                <w:u w:val="single"/>
              </w:rPr>
            </w:pPr>
            <w:r>
              <w:rPr>
                <w:rFonts w:hint="eastAsia"/>
                <w:u w:val="single"/>
              </w:rPr>
              <w:t>及缓冲区、实验区生态修复工程弃土</w:t>
            </w:r>
          </w:p>
        </w:tc>
        <w:tc>
          <w:tcPr>
            <w:tcW w:w="619" w:type="pct"/>
            <w:tcBorders>
              <w:left w:val="single" w:color="auto" w:sz="4" w:space="0"/>
            </w:tcBorders>
            <w:vAlign w:val="center"/>
          </w:tcPr>
          <w:p>
            <w:pPr>
              <w:pStyle w:val="30"/>
              <w:widowControl w:val="0"/>
              <w:bidi w:val="0"/>
              <w:rPr>
                <w:u w:val="single"/>
              </w:rPr>
            </w:pPr>
            <w:r>
              <w:rPr>
                <w:rFonts w:hint="eastAsia"/>
                <w:u w:val="single"/>
              </w:rPr>
              <w:t>779490.8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96" w:type="pct"/>
            <w:vAlign w:val="center"/>
          </w:tcPr>
          <w:p>
            <w:pPr>
              <w:pStyle w:val="30"/>
              <w:widowControl w:val="0"/>
              <w:bidi w:val="0"/>
              <w:rPr>
                <w:u w:val="single"/>
              </w:rPr>
            </w:pPr>
            <w:r>
              <w:rPr>
                <w:rFonts w:hint="eastAsia"/>
                <w:u w:val="single"/>
              </w:rPr>
              <w:t>5</w:t>
            </w:r>
          </w:p>
        </w:tc>
        <w:tc>
          <w:tcPr>
            <w:tcW w:w="3985" w:type="pct"/>
            <w:gridSpan w:val="4"/>
            <w:tcBorders>
              <w:right w:val="single" w:color="auto" w:sz="4" w:space="0"/>
            </w:tcBorders>
            <w:vAlign w:val="center"/>
          </w:tcPr>
          <w:p>
            <w:pPr>
              <w:pStyle w:val="30"/>
              <w:widowControl w:val="0"/>
              <w:bidi w:val="0"/>
              <w:rPr>
                <w:u w:val="single"/>
              </w:rPr>
            </w:pPr>
            <w:r>
              <w:rPr>
                <w:rFonts w:hint="eastAsia"/>
                <w:u w:val="single"/>
              </w:rPr>
              <w:t>合计</w:t>
            </w:r>
          </w:p>
        </w:tc>
        <w:tc>
          <w:tcPr>
            <w:tcW w:w="619" w:type="pct"/>
            <w:tcBorders>
              <w:left w:val="single" w:color="auto" w:sz="4" w:space="0"/>
            </w:tcBorders>
            <w:vAlign w:val="center"/>
          </w:tcPr>
          <w:p>
            <w:pPr>
              <w:pStyle w:val="30"/>
              <w:widowControl w:val="0"/>
              <w:bidi w:val="0"/>
              <w:rPr>
                <w:u w:val="single"/>
              </w:rPr>
            </w:pPr>
            <w:r>
              <w:rPr>
                <w:u w:val="single"/>
              </w:rPr>
              <w:t>1503420</w:t>
            </w:r>
          </w:p>
        </w:tc>
      </w:tr>
    </w:tbl>
    <w:p>
      <w:pPr>
        <w:pStyle w:val="4"/>
        <w:bidi w:val="0"/>
        <w:rPr>
          <w:rFonts w:hint="eastAsia"/>
          <w:b/>
          <w:bCs/>
          <w:sz w:val="24"/>
          <w:szCs w:val="24"/>
          <w:lang w:val="en-US" w:eastAsia="zh-CN"/>
        </w:rPr>
      </w:pPr>
      <w:bookmarkStart w:id="25" w:name="_Toc1011"/>
      <w:r>
        <w:rPr>
          <w:rFonts w:hint="eastAsia"/>
          <w:b/>
          <w:bCs/>
          <w:sz w:val="24"/>
          <w:szCs w:val="24"/>
          <w:lang w:val="en-US" w:eastAsia="zh-CN"/>
        </w:rPr>
        <w:t>原辅材料</w:t>
      </w:r>
      <w:bookmarkEnd w:id="25"/>
    </w:p>
    <w:p>
      <w:pPr>
        <w:widowControl/>
        <w:spacing w:line="360" w:lineRule="auto"/>
        <w:ind w:firstLine="480" w:firstLineChars="200"/>
        <w:rPr>
          <w:bCs/>
          <w:sz w:val="24"/>
        </w:rPr>
      </w:pPr>
      <w:r>
        <w:rPr>
          <w:bCs/>
          <w:sz w:val="24"/>
        </w:rPr>
        <w:t>本项目施工所需原辅材料主要为碎石</w:t>
      </w:r>
      <w:r>
        <w:rPr>
          <w:rFonts w:hint="eastAsia"/>
          <w:bCs/>
          <w:sz w:val="24"/>
        </w:rPr>
        <w:t>、</w:t>
      </w:r>
      <w:r>
        <w:rPr>
          <w:bCs/>
          <w:sz w:val="24"/>
        </w:rPr>
        <w:t>沥青混凝土</w:t>
      </w:r>
      <w:r>
        <w:rPr>
          <w:rFonts w:hint="eastAsia"/>
          <w:bCs/>
          <w:sz w:val="24"/>
        </w:rPr>
        <w:t>，</w:t>
      </w:r>
      <w:r>
        <w:rPr>
          <w:bCs/>
          <w:sz w:val="24"/>
        </w:rPr>
        <w:t>具体使用量详见下表</w:t>
      </w:r>
      <w:r>
        <w:rPr>
          <w:rFonts w:hint="eastAsia"/>
          <w:bCs/>
          <w:sz w:val="24"/>
        </w:rPr>
        <w:t>。</w:t>
      </w:r>
    </w:p>
    <w:p>
      <w:pPr>
        <w:pStyle w:val="29"/>
        <w:bidi w:val="0"/>
      </w:pPr>
      <w:r>
        <w:rPr>
          <w:rFonts w:hint="eastAsia"/>
        </w:rPr>
        <w:t>表</w:t>
      </w:r>
      <w:r>
        <w:rPr>
          <w:rFonts w:hint="eastAsia"/>
          <w:lang w:val="en-US" w:eastAsia="zh-CN"/>
        </w:rPr>
        <w:t>2.11-1</w:t>
      </w:r>
      <w:r>
        <w:rPr>
          <w:rFonts w:hint="eastAsia"/>
        </w:rPr>
        <w:t xml:space="preserve">    本项目原辅材料使用量一览表</w:t>
      </w:r>
    </w:p>
    <w:tbl>
      <w:tblPr>
        <w:tblStyle w:val="22"/>
        <w:tblW w:w="897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836"/>
        <w:gridCol w:w="3247"/>
        <w:gridCol w:w="1150"/>
        <w:gridCol w:w="1727"/>
        <w:gridCol w:w="201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序号</w:t>
            </w:r>
          </w:p>
        </w:tc>
        <w:tc>
          <w:tcPr>
            <w:tcW w:w="3247" w:type="dxa"/>
            <w:tcBorders>
              <w:right w:val="single" w:color="auto" w:sz="4" w:space="0"/>
            </w:tcBorders>
            <w:vAlign w:val="center"/>
          </w:tcPr>
          <w:p>
            <w:pPr>
              <w:pStyle w:val="30"/>
              <w:widowControl w:val="0"/>
              <w:bidi w:val="0"/>
            </w:pPr>
            <w:r>
              <w:t>原材料名称</w:t>
            </w:r>
          </w:p>
        </w:tc>
        <w:tc>
          <w:tcPr>
            <w:tcW w:w="1150" w:type="dxa"/>
            <w:tcBorders>
              <w:left w:val="single" w:color="auto" w:sz="4" w:space="0"/>
            </w:tcBorders>
            <w:vAlign w:val="center"/>
          </w:tcPr>
          <w:p>
            <w:pPr>
              <w:pStyle w:val="30"/>
              <w:widowControl w:val="0"/>
              <w:bidi w:val="0"/>
            </w:pPr>
            <w:r>
              <w:t>使用量</w:t>
            </w:r>
          </w:p>
        </w:tc>
        <w:tc>
          <w:tcPr>
            <w:tcW w:w="1727" w:type="dxa"/>
            <w:vAlign w:val="center"/>
          </w:tcPr>
          <w:p>
            <w:pPr>
              <w:pStyle w:val="30"/>
              <w:widowControl w:val="0"/>
              <w:bidi w:val="0"/>
            </w:pPr>
            <w:r>
              <w:t>单位</w:t>
            </w:r>
          </w:p>
        </w:tc>
        <w:tc>
          <w:tcPr>
            <w:tcW w:w="2014" w:type="dxa"/>
            <w:vAlign w:val="center"/>
          </w:tcPr>
          <w:p>
            <w:pPr>
              <w:pStyle w:val="30"/>
              <w:widowControl w:val="0"/>
              <w:bidi w:val="0"/>
            </w:pPr>
            <w:r>
              <w:t>来源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1</w:t>
            </w:r>
          </w:p>
        </w:tc>
        <w:tc>
          <w:tcPr>
            <w:tcW w:w="3247" w:type="dxa"/>
            <w:tcBorders>
              <w:right w:val="single" w:color="auto" w:sz="4" w:space="0"/>
            </w:tcBorders>
            <w:vAlign w:val="center"/>
          </w:tcPr>
          <w:p>
            <w:pPr>
              <w:pStyle w:val="30"/>
              <w:widowControl w:val="0"/>
              <w:bidi w:val="0"/>
            </w:pPr>
            <w:r>
              <w:t>钢筋</w:t>
            </w:r>
          </w:p>
        </w:tc>
        <w:tc>
          <w:tcPr>
            <w:tcW w:w="1150" w:type="dxa"/>
            <w:tcBorders>
              <w:left w:val="single" w:color="auto" w:sz="4" w:space="0"/>
            </w:tcBorders>
            <w:vAlign w:val="center"/>
          </w:tcPr>
          <w:p>
            <w:pPr>
              <w:pStyle w:val="30"/>
              <w:widowControl w:val="0"/>
              <w:bidi w:val="0"/>
            </w:pPr>
            <w:r>
              <w:t>716.9</w:t>
            </w:r>
          </w:p>
        </w:tc>
        <w:tc>
          <w:tcPr>
            <w:tcW w:w="1727" w:type="dxa"/>
            <w:vAlign w:val="center"/>
          </w:tcPr>
          <w:p>
            <w:pPr>
              <w:pStyle w:val="30"/>
              <w:widowControl w:val="0"/>
              <w:bidi w:val="0"/>
            </w:pPr>
            <w:r>
              <w:t>t</w:t>
            </w:r>
          </w:p>
        </w:tc>
        <w:tc>
          <w:tcPr>
            <w:tcW w:w="2014" w:type="dxa"/>
            <w:vAlign w:val="center"/>
          </w:tcPr>
          <w:p>
            <w:pPr>
              <w:pStyle w:val="30"/>
              <w:widowControl w:val="0"/>
              <w:bidi w:val="0"/>
            </w:pPr>
            <w:r>
              <w:t>外购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2</w:t>
            </w:r>
          </w:p>
        </w:tc>
        <w:tc>
          <w:tcPr>
            <w:tcW w:w="3247" w:type="dxa"/>
            <w:tcBorders>
              <w:right w:val="single" w:color="auto" w:sz="4" w:space="0"/>
            </w:tcBorders>
            <w:vAlign w:val="center"/>
          </w:tcPr>
          <w:p>
            <w:pPr>
              <w:pStyle w:val="30"/>
              <w:widowControl w:val="0"/>
              <w:bidi w:val="0"/>
            </w:pPr>
            <w:r>
              <w:t>管材</w:t>
            </w:r>
          </w:p>
        </w:tc>
        <w:tc>
          <w:tcPr>
            <w:tcW w:w="1150" w:type="dxa"/>
            <w:tcBorders>
              <w:left w:val="single" w:color="auto" w:sz="4" w:space="0"/>
            </w:tcBorders>
            <w:vAlign w:val="center"/>
          </w:tcPr>
          <w:p>
            <w:pPr>
              <w:pStyle w:val="30"/>
              <w:widowControl w:val="0"/>
              <w:bidi w:val="0"/>
            </w:pPr>
            <w:r>
              <w:t>39407</w:t>
            </w:r>
          </w:p>
        </w:tc>
        <w:tc>
          <w:tcPr>
            <w:tcW w:w="1727" w:type="dxa"/>
            <w:vAlign w:val="center"/>
          </w:tcPr>
          <w:p>
            <w:pPr>
              <w:pStyle w:val="30"/>
              <w:widowControl w:val="0"/>
              <w:bidi w:val="0"/>
            </w:pPr>
            <w:r>
              <w:t>m</w:t>
            </w:r>
          </w:p>
        </w:tc>
        <w:tc>
          <w:tcPr>
            <w:tcW w:w="2014" w:type="dxa"/>
            <w:vAlign w:val="center"/>
          </w:tcPr>
          <w:p>
            <w:pPr>
              <w:pStyle w:val="30"/>
              <w:widowControl w:val="0"/>
              <w:bidi w:val="0"/>
            </w:pPr>
            <w:r>
              <w:t>外购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3</w:t>
            </w:r>
          </w:p>
        </w:tc>
        <w:tc>
          <w:tcPr>
            <w:tcW w:w="3247" w:type="dxa"/>
            <w:tcBorders>
              <w:right w:val="single" w:color="auto" w:sz="4" w:space="0"/>
            </w:tcBorders>
            <w:vAlign w:val="center"/>
          </w:tcPr>
          <w:p>
            <w:pPr>
              <w:pStyle w:val="30"/>
              <w:widowControl w:val="0"/>
              <w:bidi w:val="0"/>
            </w:pPr>
            <w:r>
              <w:t>土工布</w:t>
            </w:r>
          </w:p>
        </w:tc>
        <w:tc>
          <w:tcPr>
            <w:tcW w:w="1150" w:type="dxa"/>
            <w:tcBorders>
              <w:left w:val="single" w:color="auto" w:sz="4" w:space="0"/>
            </w:tcBorders>
            <w:vAlign w:val="center"/>
          </w:tcPr>
          <w:p>
            <w:pPr>
              <w:pStyle w:val="30"/>
              <w:widowControl w:val="0"/>
              <w:bidi w:val="0"/>
            </w:pPr>
            <w:r>
              <w:t>391941</w:t>
            </w:r>
          </w:p>
        </w:tc>
        <w:tc>
          <w:tcPr>
            <w:tcW w:w="1727" w:type="dxa"/>
            <w:vAlign w:val="center"/>
          </w:tcPr>
          <w:p>
            <w:pPr>
              <w:pStyle w:val="30"/>
              <w:widowControl w:val="0"/>
              <w:bidi w:val="0"/>
              <w:rPr>
                <w:rFonts w:hint="eastAsia" w:eastAsia="宋体"/>
                <w:lang w:eastAsia="zh-CN"/>
              </w:rPr>
            </w:pPr>
            <w:r>
              <w:rPr>
                <w:rFonts w:hint="eastAsia"/>
                <w:lang w:eastAsia="zh-CN"/>
              </w:rPr>
              <w:t>m</w:t>
            </w:r>
            <w:r>
              <w:rPr>
                <w:rFonts w:hint="eastAsia"/>
                <w:vertAlign w:val="superscript"/>
                <w:lang w:eastAsia="zh-CN"/>
              </w:rPr>
              <w:t>2</w:t>
            </w:r>
          </w:p>
        </w:tc>
        <w:tc>
          <w:tcPr>
            <w:tcW w:w="2014" w:type="dxa"/>
            <w:vAlign w:val="center"/>
          </w:tcPr>
          <w:p>
            <w:pPr>
              <w:pStyle w:val="30"/>
              <w:widowControl w:val="0"/>
              <w:bidi w:val="0"/>
            </w:pPr>
            <w:r>
              <w:t>外购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4</w:t>
            </w:r>
          </w:p>
        </w:tc>
        <w:tc>
          <w:tcPr>
            <w:tcW w:w="3247" w:type="dxa"/>
            <w:tcBorders>
              <w:right w:val="single" w:color="auto" w:sz="4" w:space="0"/>
            </w:tcBorders>
            <w:vAlign w:val="center"/>
          </w:tcPr>
          <w:p>
            <w:pPr>
              <w:pStyle w:val="30"/>
              <w:widowControl w:val="0"/>
              <w:bidi w:val="0"/>
            </w:pPr>
            <w:r>
              <w:t>水泥</w:t>
            </w:r>
          </w:p>
        </w:tc>
        <w:tc>
          <w:tcPr>
            <w:tcW w:w="1150" w:type="dxa"/>
            <w:tcBorders>
              <w:left w:val="single" w:color="auto" w:sz="4" w:space="0"/>
            </w:tcBorders>
            <w:vAlign w:val="center"/>
          </w:tcPr>
          <w:p>
            <w:pPr>
              <w:pStyle w:val="30"/>
              <w:widowControl w:val="0"/>
              <w:bidi w:val="0"/>
            </w:pPr>
            <w:r>
              <w:rPr>
                <w:rFonts w:hint="eastAsia"/>
              </w:rPr>
              <w:t>109000</w:t>
            </w:r>
          </w:p>
        </w:tc>
        <w:tc>
          <w:tcPr>
            <w:tcW w:w="1727" w:type="dxa"/>
            <w:vAlign w:val="center"/>
          </w:tcPr>
          <w:p>
            <w:pPr>
              <w:pStyle w:val="30"/>
              <w:widowControl w:val="0"/>
              <w:bidi w:val="0"/>
              <w:rPr>
                <w:rFonts w:hint="eastAsia" w:eastAsia="宋体"/>
                <w:lang w:eastAsia="zh-CN"/>
              </w:rPr>
            </w:pPr>
            <w:r>
              <w:rPr>
                <w:rFonts w:hint="eastAsia"/>
                <w:lang w:eastAsia="zh-CN"/>
              </w:rPr>
              <w:t>m</w:t>
            </w:r>
            <w:r>
              <w:rPr>
                <w:rFonts w:hint="eastAsia"/>
                <w:vertAlign w:val="superscript"/>
                <w:lang w:eastAsia="zh-CN"/>
              </w:rPr>
              <w:t>3</w:t>
            </w:r>
          </w:p>
        </w:tc>
        <w:tc>
          <w:tcPr>
            <w:tcW w:w="2014" w:type="dxa"/>
            <w:vAlign w:val="center"/>
          </w:tcPr>
          <w:p>
            <w:pPr>
              <w:pStyle w:val="30"/>
              <w:widowControl w:val="0"/>
              <w:bidi w:val="0"/>
            </w:pPr>
            <w:r>
              <w:t>外购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5</w:t>
            </w:r>
          </w:p>
        </w:tc>
        <w:tc>
          <w:tcPr>
            <w:tcW w:w="3247" w:type="dxa"/>
            <w:tcBorders>
              <w:right w:val="single" w:color="auto" w:sz="4" w:space="0"/>
            </w:tcBorders>
            <w:vAlign w:val="center"/>
          </w:tcPr>
          <w:p>
            <w:pPr>
              <w:pStyle w:val="30"/>
              <w:widowControl w:val="0"/>
              <w:bidi w:val="0"/>
            </w:pPr>
            <w:r>
              <w:t>沥青</w:t>
            </w:r>
          </w:p>
        </w:tc>
        <w:tc>
          <w:tcPr>
            <w:tcW w:w="1150" w:type="dxa"/>
            <w:tcBorders>
              <w:left w:val="single" w:color="auto" w:sz="4" w:space="0"/>
            </w:tcBorders>
            <w:vAlign w:val="center"/>
          </w:tcPr>
          <w:p>
            <w:pPr>
              <w:pStyle w:val="30"/>
              <w:widowControl w:val="0"/>
              <w:bidi w:val="0"/>
            </w:pPr>
            <w:r>
              <w:rPr>
                <w:rFonts w:hint="eastAsia"/>
              </w:rPr>
              <w:t>20000</w:t>
            </w:r>
          </w:p>
        </w:tc>
        <w:tc>
          <w:tcPr>
            <w:tcW w:w="1727" w:type="dxa"/>
            <w:vAlign w:val="center"/>
          </w:tcPr>
          <w:p>
            <w:pPr>
              <w:pStyle w:val="30"/>
              <w:widowControl w:val="0"/>
              <w:bidi w:val="0"/>
              <w:rPr>
                <w:rFonts w:hint="eastAsia" w:eastAsia="宋体"/>
                <w:lang w:eastAsia="zh-CN"/>
              </w:rPr>
            </w:pPr>
            <w:r>
              <w:rPr>
                <w:rFonts w:hint="eastAsia"/>
                <w:lang w:eastAsia="zh-CN"/>
              </w:rPr>
              <w:t>m</w:t>
            </w:r>
            <w:r>
              <w:rPr>
                <w:rFonts w:hint="eastAsia"/>
                <w:vertAlign w:val="superscript"/>
                <w:lang w:eastAsia="zh-CN"/>
              </w:rPr>
              <w:t>3</w:t>
            </w:r>
          </w:p>
        </w:tc>
        <w:tc>
          <w:tcPr>
            <w:tcW w:w="2014" w:type="dxa"/>
            <w:vAlign w:val="center"/>
          </w:tcPr>
          <w:p>
            <w:pPr>
              <w:pStyle w:val="30"/>
              <w:widowControl w:val="0"/>
              <w:bidi w:val="0"/>
            </w:pPr>
            <w:r>
              <w:t>外购成品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6</w:t>
            </w:r>
          </w:p>
        </w:tc>
        <w:tc>
          <w:tcPr>
            <w:tcW w:w="3247" w:type="dxa"/>
            <w:tcBorders>
              <w:right w:val="single" w:color="auto" w:sz="4" w:space="0"/>
            </w:tcBorders>
            <w:vAlign w:val="center"/>
          </w:tcPr>
          <w:p>
            <w:pPr>
              <w:pStyle w:val="30"/>
              <w:widowControl w:val="0"/>
              <w:bidi w:val="0"/>
            </w:pPr>
            <w:r>
              <w:t>碎石</w:t>
            </w:r>
          </w:p>
        </w:tc>
        <w:tc>
          <w:tcPr>
            <w:tcW w:w="1150" w:type="dxa"/>
            <w:tcBorders>
              <w:left w:val="single" w:color="auto" w:sz="4" w:space="0"/>
            </w:tcBorders>
            <w:vAlign w:val="center"/>
          </w:tcPr>
          <w:p>
            <w:pPr>
              <w:pStyle w:val="30"/>
              <w:widowControl w:val="0"/>
              <w:bidi w:val="0"/>
            </w:pPr>
            <w:r>
              <w:t>142212</w:t>
            </w:r>
          </w:p>
        </w:tc>
        <w:tc>
          <w:tcPr>
            <w:tcW w:w="1727" w:type="dxa"/>
            <w:vAlign w:val="center"/>
          </w:tcPr>
          <w:p>
            <w:pPr>
              <w:pStyle w:val="30"/>
              <w:widowControl w:val="0"/>
              <w:bidi w:val="0"/>
              <w:rPr>
                <w:rFonts w:hint="eastAsia" w:eastAsia="宋体"/>
                <w:lang w:eastAsia="zh-CN"/>
              </w:rPr>
            </w:pPr>
            <w:r>
              <w:rPr>
                <w:rFonts w:hint="eastAsia"/>
                <w:lang w:eastAsia="zh-CN"/>
              </w:rPr>
              <w:t>m</w:t>
            </w:r>
            <w:r>
              <w:rPr>
                <w:rFonts w:hint="eastAsia"/>
                <w:vertAlign w:val="superscript"/>
                <w:lang w:eastAsia="zh-CN"/>
              </w:rPr>
              <w:t>3</w:t>
            </w:r>
          </w:p>
        </w:tc>
        <w:tc>
          <w:tcPr>
            <w:tcW w:w="2014" w:type="dxa"/>
            <w:vAlign w:val="center"/>
          </w:tcPr>
          <w:p>
            <w:pPr>
              <w:pStyle w:val="30"/>
              <w:widowControl w:val="0"/>
              <w:bidi w:val="0"/>
            </w:pPr>
            <w:r>
              <w:t>外购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7</w:t>
            </w:r>
          </w:p>
        </w:tc>
        <w:tc>
          <w:tcPr>
            <w:tcW w:w="3247" w:type="dxa"/>
            <w:tcBorders>
              <w:right w:val="single" w:color="auto" w:sz="4" w:space="0"/>
            </w:tcBorders>
            <w:vAlign w:val="center"/>
          </w:tcPr>
          <w:p>
            <w:pPr>
              <w:pStyle w:val="30"/>
              <w:widowControl w:val="0"/>
              <w:bidi w:val="0"/>
            </w:pPr>
            <w:r>
              <w:t>砂</w:t>
            </w:r>
          </w:p>
        </w:tc>
        <w:tc>
          <w:tcPr>
            <w:tcW w:w="1150" w:type="dxa"/>
            <w:tcBorders>
              <w:left w:val="single" w:color="auto" w:sz="4" w:space="0"/>
            </w:tcBorders>
            <w:vAlign w:val="center"/>
          </w:tcPr>
          <w:p>
            <w:pPr>
              <w:pStyle w:val="30"/>
              <w:widowControl w:val="0"/>
              <w:bidi w:val="0"/>
            </w:pPr>
            <w:r>
              <w:t>6247</w:t>
            </w:r>
          </w:p>
        </w:tc>
        <w:tc>
          <w:tcPr>
            <w:tcW w:w="1727" w:type="dxa"/>
            <w:vAlign w:val="center"/>
          </w:tcPr>
          <w:p>
            <w:pPr>
              <w:pStyle w:val="30"/>
              <w:widowControl w:val="0"/>
              <w:bidi w:val="0"/>
              <w:rPr>
                <w:rFonts w:hint="eastAsia" w:eastAsia="宋体"/>
                <w:lang w:eastAsia="zh-CN"/>
              </w:rPr>
            </w:pPr>
            <w:r>
              <w:rPr>
                <w:rFonts w:hint="eastAsia"/>
                <w:lang w:eastAsia="zh-CN"/>
              </w:rPr>
              <w:t>m</w:t>
            </w:r>
            <w:r>
              <w:rPr>
                <w:rFonts w:hint="eastAsia"/>
                <w:vertAlign w:val="superscript"/>
                <w:lang w:eastAsia="zh-CN"/>
              </w:rPr>
              <w:t>3</w:t>
            </w:r>
          </w:p>
        </w:tc>
        <w:tc>
          <w:tcPr>
            <w:tcW w:w="2014" w:type="dxa"/>
            <w:vAlign w:val="center"/>
          </w:tcPr>
          <w:p>
            <w:pPr>
              <w:pStyle w:val="30"/>
              <w:widowControl w:val="0"/>
              <w:bidi w:val="0"/>
            </w:pPr>
            <w:r>
              <w:t>外购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8</w:t>
            </w:r>
          </w:p>
        </w:tc>
        <w:tc>
          <w:tcPr>
            <w:tcW w:w="3247" w:type="dxa"/>
            <w:tcBorders>
              <w:right w:val="single" w:color="auto" w:sz="4" w:space="0"/>
            </w:tcBorders>
            <w:vAlign w:val="center"/>
          </w:tcPr>
          <w:p>
            <w:pPr>
              <w:pStyle w:val="30"/>
              <w:widowControl w:val="0"/>
              <w:bidi w:val="0"/>
            </w:pPr>
            <w:r>
              <w:t>垃圾桶</w:t>
            </w:r>
          </w:p>
        </w:tc>
        <w:tc>
          <w:tcPr>
            <w:tcW w:w="1150" w:type="dxa"/>
            <w:tcBorders>
              <w:left w:val="single" w:color="auto" w:sz="4" w:space="0"/>
            </w:tcBorders>
            <w:vAlign w:val="center"/>
          </w:tcPr>
          <w:p>
            <w:pPr>
              <w:pStyle w:val="30"/>
              <w:widowControl w:val="0"/>
              <w:bidi w:val="0"/>
            </w:pPr>
            <w:r>
              <w:t>434</w:t>
            </w:r>
          </w:p>
        </w:tc>
        <w:tc>
          <w:tcPr>
            <w:tcW w:w="1727" w:type="dxa"/>
            <w:vAlign w:val="center"/>
          </w:tcPr>
          <w:p>
            <w:pPr>
              <w:pStyle w:val="30"/>
              <w:widowControl w:val="0"/>
              <w:bidi w:val="0"/>
            </w:pPr>
            <w:r>
              <w:t>个</w:t>
            </w:r>
          </w:p>
        </w:tc>
        <w:tc>
          <w:tcPr>
            <w:tcW w:w="2014" w:type="dxa"/>
            <w:vAlign w:val="center"/>
          </w:tcPr>
          <w:p>
            <w:pPr>
              <w:pStyle w:val="30"/>
              <w:widowControl w:val="0"/>
              <w:bidi w:val="0"/>
            </w:pPr>
            <w:r>
              <w:t>外购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9</w:t>
            </w:r>
          </w:p>
        </w:tc>
        <w:tc>
          <w:tcPr>
            <w:tcW w:w="3247" w:type="dxa"/>
            <w:tcBorders>
              <w:right w:val="single" w:color="auto" w:sz="4" w:space="0"/>
            </w:tcBorders>
            <w:vAlign w:val="center"/>
          </w:tcPr>
          <w:p>
            <w:pPr>
              <w:pStyle w:val="30"/>
              <w:widowControl w:val="0"/>
              <w:bidi w:val="0"/>
            </w:pPr>
            <w:r>
              <w:t>坐凳</w:t>
            </w:r>
          </w:p>
        </w:tc>
        <w:tc>
          <w:tcPr>
            <w:tcW w:w="1150" w:type="dxa"/>
            <w:tcBorders>
              <w:left w:val="single" w:color="auto" w:sz="4" w:space="0"/>
            </w:tcBorders>
            <w:vAlign w:val="center"/>
          </w:tcPr>
          <w:p>
            <w:pPr>
              <w:pStyle w:val="30"/>
              <w:widowControl w:val="0"/>
              <w:bidi w:val="0"/>
            </w:pPr>
            <w:r>
              <w:t>482</w:t>
            </w:r>
          </w:p>
        </w:tc>
        <w:tc>
          <w:tcPr>
            <w:tcW w:w="1727" w:type="dxa"/>
            <w:vAlign w:val="center"/>
          </w:tcPr>
          <w:p>
            <w:pPr>
              <w:pStyle w:val="30"/>
              <w:widowControl w:val="0"/>
              <w:bidi w:val="0"/>
            </w:pPr>
            <w:r>
              <w:t>个</w:t>
            </w:r>
          </w:p>
        </w:tc>
        <w:tc>
          <w:tcPr>
            <w:tcW w:w="2014" w:type="dxa"/>
            <w:vAlign w:val="center"/>
          </w:tcPr>
          <w:p>
            <w:pPr>
              <w:pStyle w:val="30"/>
              <w:widowControl w:val="0"/>
              <w:bidi w:val="0"/>
            </w:pPr>
            <w:r>
              <w:t>外购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10</w:t>
            </w:r>
          </w:p>
        </w:tc>
        <w:tc>
          <w:tcPr>
            <w:tcW w:w="3247" w:type="dxa"/>
            <w:tcBorders>
              <w:right w:val="single" w:color="auto" w:sz="4" w:space="0"/>
            </w:tcBorders>
            <w:vAlign w:val="center"/>
          </w:tcPr>
          <w:p>
            <w:pPr>
              <w:pStyle w:val="30"/>
              <w:widowControl w:val="0"/>
              <w:bidi w:val="0"/>
            </w:pPr>
            <w:r>
              <w:t>饮水机</w:t>
            </w:r>
          </w:p>
        </w:tc>
        <w:tc>
          <w:tcPr>
            <w:tcW w:w="1150" w:type="dxa"/>
            <w:tcBorders>
              <w:left w:val="single" w:color="auto" w:sz="4" w:space="0"/>
            </w:tcBorders>
            <w:vAlign w:val="center"/>
          </w:tcPr>
          <w:p>
            <w:pPr>
              <w:pStyle w:val="30"/>
              <w:widowControl w:val="0"/>
              <w:bidi w:val="0"/>
            </w:pPr>
            <w:r>
              <w:t>29</w:t>
            </w:r>
          </w:p>
        </w:tc>
        <w:tc>
          <w:tcPr>
            <w:tcW w:w="1727" w:type="dxa"/>
            <w:vAlign w:val="center"/>
          </w:tcPr>
          <w:p>
            <w:pPr>
              <w:pStyle w:val="30"/>
              <w:widowControl w:val="0"/>
              <w:bidi w:val="0"/>
            </w:pPr>
            <w:r>
              <w:t>个</w:t>
            </w:r>
          </w:p>
        </w:tc>
        <w:tc>
          <w:tcPr>
            <w:tcW w:w="2014" w:type="dxa"/>
            <w:vAlign w:val="center"/>
          </w:tcPr>
          <w:p>
            <w:pPr>
              <w:pStyle w:val="30"/>
              <w:widowControl w:val="0"/>
              <w:bidi w:val="0"/>
            </w:pPr>
            <w:r>
              <w:t>外购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11</w:t>
            </w:r>
          </w:p>
        </w:tc>
        <w:tc>
          <w:tcPr>
            <w:tcW w:w="3247" w:type="dxa"/>
            <w:tcBorders>
              <w:right w:val="single" w:color="auto" w:sz="4" w:space="0"/>
            </w:tcBorders>
            <w:vAlign w:val="center"/>
          </w:tcPr>
          <w:p>
            <w:pPr>
              <w:pStyle w:val="30"/>
              <w:widowControl w:val="0"/>
              <w:bidi w:val="0"/>
            </w:pPr>
            <w:r>
              <w:t>计时器</w:t>
            </w:r>
          </w:p>
        </w:tc>
        <w:tc>
          <w:tcPr>
            <w:tcW w:w="1150" w:type="dxa"/>
            <w:tcBorders>
              <w:left w:val="single" w:color="auto" w:sz="4" w:space="0"/>
            </w:tcBorders>
            <w:vAlign w:val="center"/>
          </w:tcPr>
          <w:p>
            <w:pPr>
              <w:pStyle w:val="30"/>
              <w:widowControl w:val="0"/>
              <w:bidi w:val="0"/>
            </w:pPr>
            <w:r>
              <w:t>2</w:t>
            </w:r>
          </w:p>
        </w:tc>
        <w:tc>
          <w:tcPr>
            <w:tcW w:w="1727" w:type="dxa"/>
            <w:vAlign w:val="center"/>
          </w:tcPr>
          <w:p>
            <w:pPr>
              <w:pStyle w:val="30"/>
              <w:widowControl w:val="0"/>
              <w:bidi w:val="0"/>
            </w:pPr>
            <w:r>
              <w:t>个</w:t>
            </w:r>
          </w:p>
        </w:tc>
        <w:tc>
          <w:tcPr>
            <w:tcW w:w="2014" w:type="dxa"/>
            <w:vAlign w:val="center"/>
          </w:tcPr>
          <w:p>
            <w:pPr>
              <w:pStyle w:val="30"/>
              <w:widowControl w:val="0"/>
              <w:bidi w:val="0"/>
            </w:pPr>
            <w:r>
              <w:t>外购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12</w:t>
            </w:r>
          </w:p>
        </w:tc>
        <w:tc>
          <w:tcPr>
            <w:tcW w:w="3247" w:type="dxa"/>
            <w:tcBorders>
              <w:right w:val="single" w:color="auto" w:sz="4" w:space="0"/>
            </w:tcBorders>
            <w:vAlign w:val="center"/>
          </w:tcPr>
          <w:p>
            <w:pPr>
              <w:pStyle w:val="30"/>
              <w:widowControl w:val="0"/>
              <w:bidi w:val="0"/>
            </w:pPr>
            <w:r>
              <w:t>路灯 HV／LV 预装式变电站</w:t>
            </w:r>
          </w:p>
        </w:tc>
        <w:tc>
          <w:tcPr>
            <w:tcW w:w="1150" w:type="dxa"/>
            <w:tcBorders>
              <w:left w:val="single" w:color="auto" w:sz="4" w:space="0"/>
            </w:tcBorders>
            <w:vAlign w:val="center"/>
          </w:tcPr>
          <w:p>
            <w:pPr>
              <w:pStyle w:val="30"/>
              <w:widowControl w:val="0"/>
              <w:bidi w:val="0"/>
            </w:pPr>
            <w:r>
              <w:t>8</w:t>
            </w:r>
          </w:p>
        </w:tc>
        <w:tc>
          <w:tcPr>
            <w:tcW w:w="1727" w:type="dxa"/>
            <w:vAlign w:val="center"/>
          </w:tcPr>
          <w:p>
            <w:pPr>
              <w:pStyle w:val="30"/>
              <w:widowControl w:val="0"/>
              <w:bidi w:val="0"/>
            </w:pPr>
            <w:r>
              <w:t>座</w:t>
            </w:r>
          </w:p>
        </w:tc>
        <w:tc>
          <w:tcPr>
            <w:tcW w:w="2014" w:type="dxa"/>
            <w:vAlign w:val="center"/>
          </w:tcPr>
          <w:p>
            <w:pPr>
              <w:pStyle w:val="30"/>
              <w:widowControl w:val="0"/>
              <w:bidi w:val="0"/>
            </w:pPr>
            <w:r>
              <w:t>外购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13</w:t>
            </w:r>
          </w:p>
        </w:tc>
        <w:tc>
          <w:tcPr>
            <w:tcW w:w="3247" w:type="dxa"/>
            <w:tcBorders>
              <w:right w:val="single" w:color="auto" w:sz="4" w:space="0"/>
            </w:tcBorders>
            <w:vAlign w:val="center"/>
          </w:tcPr>
          <w:p>
            <w:pPr>
              <w:pStyle w:val="30"/>
              <w:widowControl w:val="0"/>
              <w:bidi w:val="0"/>
            </w:pPr>
            <w:r>
              <w:t>路灯</w:t>
            </w:r>
          </w:p>
        </w:tc>
        <w:tc>
          <w:tcPr>
            <w:tcW w:w="1150" w:type="dxa"/>
            <w:tcBorders>
              <w:left w:val="single" w:color="auto" w:sz="4" w:space="0"/>
            </w:tcBorders>
            <w:vAlign w:val="center"/>
          </w:tcPr>
          <w:p>
            <w:pPr>
              <w:pStyle w:val="30"/>
              <w:widowControl w:val="0"/>
              <w:bidi w:val="0"/>
            </w:pPr>
            <w:r>
              <w:t>1240</w:t>
            </w:r>
          </w:p>
        </w:tc>
        <w:tc>
          <w:tcPr>
            <w:tcW w:w="1727" w:type="dxa"/>
            <w:vAlign w:val="center"/>
          </w:tcPr>
          <w:p>
            <w:pPr>
              <w:pStyle w:val="30"/>
              <w:widowControl w:val="0"/>
              <w:bidi w:val="0"/>
            </w:pPr>
            <w:r>
              <w:t>套</w:t>
            </w:r>
          </w:p>
        </w:tc>
        <w:tc>
          <w:tcPr>
            <w:tcW w:w="2014" w:type="dxa"/>
            <w:vAlign w:val="center"/>
          </w:tcPr>
          <w:p>
            <w:pPr>
              <w:pStyle w:val="30"/>
              <w:widowControl w:val="0"/>
              <w:bidi w:val="0"/>
            </w:pPr>
            <w:r>
              <w:t>外购</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36" w:type="dxa"/>
            <w:vAlign w:val="center"/>
          </w:tcPr>
          <w:p>
            <w:pPr>
              <w:pStyle w:val="30"/>
              <w:widowControl w:val="0"/>
              <w:bidi w:val="0"/>
            </w:pPr>
            <w:r>
              <w:t>14</w:t>
            </w:r>
          </w:p>
        </w:tc>
        <w:tc>
          <w:tcPr>
            <w:tcW w:w="3247" w:type="dxa"/>
            <w:tcBorders>
              <w:right w:val="single" w:color="auto" w:sz="4" w:space="0"/>
            </w:tcBorders>
            <w:vAlign w:val="center"/>
          </w:tcPr>
          <w:p>
            <w:pPr>
              <w:pStyle w:val="30"/>
              <w:widowControl w:val="0"/>
              <w:bidi w:val="0"/>
            </w:pPr>
            <w:r>
              <w:t>接地线</w:t>
            </w:r>
          </w:p>
        </w:tc>
        <w:tc>
          <w:tcPr>
            <w:tcW w:w="1150" w:type="dxa"/>
            <w:tcBorders>
              <w:left w:val="single" w:color="auto" w:sz="4" w:space="0"/>
            </w:tcBorders>
            <w:vAlign w:val="center"/>
          </w:tcPr>
          <w:p>
            <w:pPr>
              <w:pStyle w:val="30"/>
              <w:widowControl w:val="0"/>
              <w:bidi w:val="0"/>
            </w:pPr>
            <w:r>
              <w:t>5800</w:t>
            </w:r>
          </w:p>
        </w:tc>
        <w:tc>
          <w:tcPr>
            <w:tcW w:w="1727" w:type="dxa"/>
            <w:vAlign w:val="center"/>
          </w:tcPr>
          <w:p>
            <w:pPr>
              <w:pStyle w:val="30"/>
              <w:widowControl w:val="0"/>
              <w:bidi w:val="0"/>
            </w:pPr>
            <w:r>
              <w:t>m</w:t>
            </w:r>
          </w:p>
        </w:tc>
        <w:tc>
          <w:tcPr>
            <w:tcW w:w="2014" w:type="dxa"/>
            <w:vAlign w:val="center"/>
          </w:tcPr>
          <w:p>
            <w:pPr>
              <w:pStyle w:val="30"/>
              <w:widowControl w:val="0"/>
              <w:bidi w:val="0"/>
            </w:pPr>
            <w:r>
              <w:t>外购</w:t>
            </w:r>
          </w:p>
        </w:tc>
      </w:tr>
    </w:tbl>
    <w:p>
      <w:pPr>
        <w:pStyle w:val="4"/>
        <w:bidi w:val="0"/>
        <w:rPr>
          <w:rFonts w:hint="eastAsia"/>
          <w:b/>
          <w:bCs/>
          <w:sz w:val="24"/>
          <w:szCs w:val="24"/>
        </w:rPr>
      </w:pPr>
      <w:bookmarkStart w:id="26" w:name="_Toc28292"/>
      <w:r>
        <w:rPr>
          <w:rFonts w:hint="eastAsia"/>
          <w:b/>
          <w:bCs/>
          <w:sz w:val="24"/>
          <w:szCs w:val="24"/>
          <w:lang w:val="en-US" w:eastAsia="zh-CN"/>
        </w:rPr>
        <w:t>临时占地</w:t>
      </w:r>
      <w:bookmarkEnd w:id="26"/>
    </w:p>
    <w:p>
      <w:pPr>
        <w:spacing w:line="360" w:lineRule="auto"/>
        <w:ind w:firstLine="480" w:firstLineChars="200"/>
        <w:rPr>
          <w:sz w:val="24"/>
          <w:lang w:val="zh-CN"/>
        </w:rPr>
      </w:pPr>
      <w:r>
        <w:rPr>
          <w:rFonts w:hint="eastAsia"/>
          <w:sz w:val="24"/>
          <w:lang w:val="zh-CN"/>
        </w:rPr>
        <w:t>项目临时占地面积共31000</w:t>
      </w:r>
      <w:r>
        <w:rPr>
          <w:rFonts w:hint="eastAsia"/>
          <w:sz w:val="24"/>
          <w:lang w:eastAsia="zh-CN"/>
        </w:rPr>
        <w:t>m</w:t>
      </w:r>
      <w:r>
        <w:rPr>
          <w:rFonts w:hint="eastAsia"/>
          <w:sz w:val="24"/>
          <w:vertAlign w:val="superscript"/>
          <w:lang w:eastAsia="zh-CN"/>
        </w:rPr>
        <w:t>2</w:t>
      </w:r>
      <w:r>
        <w:rPr>
          <w:sz w:val="24"/>
          <w:lang w:val="zh-CN"/>
        </w:rPr>
        <w:t>，包括表土堆置场、施工管理营地、及施工临时便道区，项目不另设取弃土场，不设</w:t>
      </w:r>
      <w:r>
        <w:rPr>
          <w:rFonts w:hint="eastAsia"/>
          <w:sz w:val="24"/>
          <w:lang w:val="zh-CN"/>
        </w:rPr>
        <w:t>沥青混凝土搅拌站，</w:t>
      </w:r>
      <w:r>
        <w:rPr>
          <w:sz w:val="24"/>
          <w:lang w:val="zh-CN"/>
        </w:rPr>
        <w:t>其他临时用地</w:t>
      </w:r>
      <w:r>
        <w:rPr>
          <w:rFonts w:hint="eastAsia"/>
          <w:sz w:val="24"/>
          <w:lang w:val="zh-CN"/>
        </w:rPr>
        <w:t>充分利用工程永久用地，临时占地在工程竣工后应恢复其原状。</w:t>
      </w:r>
    </w:p>
    <w:p>
      <w:pPr>
        <w:pStyle w:val="29"/>
        <w:bidi w:val="0"/>
      </w:pPr>
      <w:r>
        <w:rPr>
          <w:rFonts w:hint="eastAsia"/>
        </w:rPr>
        <w:t>表</w:t>
      </w:r>
      <w:r>
        <w:rPr>
          <w:rFonts w:hint="eastAsia"/>
          <w:lang w:val="en-US" w:eastAsia="zh-CN"/>
        </w:rPr>
        <w:t>2.12-1</w:t>
      </w:r>
      <w:r>
        <w:rPr>
          <w:rFonts w:hint="eastAsia"/>
        </w:rPr>
        <w:t xml:space="preserve">  本项目临时占地一览表</w:t>
      </w:r>
    </w:p>
    <w:tbl>
      <w:tblPr>
        <w:tblStyle w:val="22"/>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11"/>
        <w:gridCol w:w="1762"/>
        <w:gridCol w:w="1691"/>
        <w:gridCol w:w="2663"/>
        <w:gridCol w:w="179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l2br w:val="nil"/>
              <w:tr2bl w:val="nil"/>
            </w:tcBorders>
            <w:vAlign w:val="center"/>
          </w:tcPr>
          <w:p>
            <w:pPr>
              <w:pStyle w:val="30"/>
              <w:widowControl w:val="0"/>
              <w:bidi w:val="0"/>
            </w:pPr>
            <w:r>
              <w:t>序号</w:t>
            </w:r>
          </w:p>
        </w:tc>
        <w:tc>
          <w:tcPr>
            <w:tcW w:w="1762" w:type="dxa"/>
            <w:tcBorders>
              <w:tl2br w:val="nil"/>
              <w:tr2bl w:val="nil"/>
            </w:tcBorders>
            <w:vAlign w:val="center"/>
          </w:tcPr>
          <w:p>
            <w:pPr>
              <w:pStyle w:val="30"/>
              <w:widowControl w:val="0"/>
              <w:bidi w:val="0"/>
            </w:pPr>
            <w:r>
              <w:rPr>
                <w:rFonts w:hint="eastAsia"/>
              </w:rPr>
              <w:t>类型</w:t>
            </w:r>
          </w:p>
        </w:tc>
        <w:tc>
          <w:tcPr>
            <w:tcW w:w="1641" w:type="dxa"/>
            <w:tcBorders>
              <w:tl2br w:val="nil"/>
              <w:tr2bl w:val="nil"/>
            </w:tcBorders>
            <w:vAlign w:val="center"/>
          </w:tcPr>
          <w:p>
            <w:pPr>
              <w:pStyle w:val="30"/>
              <w:widowControl w:val="0"/>
              <w:bidi w:val="0"/>
            </w:pPr>
            <w:r>
              <w:rPr>
                <w:rFonts w:hint="eastAsia"/>
              </w:rPr>
              <w:t>占地面积（</w:t>
            </w:r>
            <w:r>
              <w:rPr>
                <w:rFonts w:hint="eastAsia"/>
                <w:lang w:eastAsia="zh-CN"/>
              </w:rPr>
              <w:t>m</w:t>
            </w:r>
            <w:r>
              <w:rPr>
                <w:rFonts w:hint="eastAsia"/>
                <w:vertAlign w:val="superscript"/>
                <w:lang w:eastAsia="zh-CN"/>
              </w:rPr>
              <w:t>2</w:t>
            </w:r>
            <w:r>
              <w:rPr>
                <w:rFonts w:hint="eastAsia"/>
              </w:rPr>
              <w:t>）</w:t>
            </w:r>
          </w:p>
        </w:tc>
        <w:tc>
          <w:tcPr>
            <w:tcW w:w="0" w:type="auto"/>
            <w:tcBorders>
              <w:tl2br w:val="nil"/>
              <w:tr2bl w:val="nil"/>
            </w:tcBorders>
            <w:vAlign w:val="center"/>
          </w:tcPr>
          <w:p>
            <w:pPr>
              <w:pStyle w:val="30"/>
              <w:widowControl w:val="0"/>
              <w:bidi w:val="0"/>
            </w:pPr>
            <w:r>
              <w:t>位置</w:t>
            </w:r>
          </w:p>
        </w:tc>
        <w:tc>
          <w:tcPr>
            <w:tcW w:w="0" w:type="auto"/>
            <w:tcBorders>
              <w:tl2br w:val="nil"/>
              <w:tr2bl w:val="nil"/>
            </w:tcBorders>
            <w:vAlign w:val="center"/>
          </w:tcPr>
          <w:p>
            <w:pPr>
              <w:pStyle w:val="30"/>
              <w:widowControl w:val="0"/>
              <w:bidi w:val="0"/>
            </w:pPr>
            <w:r>
              <w:t>属性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l2br w:val="nil"/>
              <w:tr2bl w:val="nil"/>
            </w:tcBorders>
            <w:vAlign w:val="center"/>
          </w:tcPr>
          <w:p>
            <w:pPr>
              <w:pStyle w:val="30"/>
              <w:widowControl w:val="0"/>
              <w:bidi w:val="0"/>
            </w:pPr>
            <w:r>
              <w:t>1</w:t>
            </w:r>
          </w:p>
        </w:tc>
        <w:tc>
          <w:tcPr>
            <w:tcW w:w="1762" w:type="dxa"/>
            <w:tcBorders>
              <w:tl2br w:val="nil"/>
              <w:tr2bl w:val="nil"/>
            </w:tcBorders>
            <w:vAlign w:val="center"/>
          </w:tcPr>
          <w:p>
            <w:pPr>
              <w:pStyle w:val="30"/>
              <w:widowControl w:val="0"/>
              <w:bidi w:val="0"/>
            </w:pPr>
            <w:r>
              <w:rPr>
                <w:lang w:val="zh-CN"/>
              </w:rPr>
              <w:t>表土堆置场</w:t>
            </w:r>
          </w:p>
        </w:tc>
        <w:tc>
          <w:tcPr>
            <w:tcW w:w="1641" w:type="dxa"/>
            <w:tcBorders>
              <w:tl2br w:val="nil"/>
              <w:tr2bl w:val="nil"/>
            </w:tcBorders>
            <w:vAlign w:val="center"/>
          </w:tcPr>
          <w:p>
            <w:pPr>
              <w:pStyle w:val="30"/>
              <w:widowControl w:val="0"/>
              <w:bidi w:val="0"/>
            </w:pPr>
            <w:r>
              <w:rPr>
                <w:rFonts w:hint="eastAsia"/>
              </w:rPr>
              <w:t>17000</w:t>
            </w:r>
          </w:p>
        </w:tc>
        <w:tc>
          <w:tcPr>
            <w:tcW w:w="0" w:type="auto"/>
            <w:tcBorders>
              <w:tl2br w:val="nil"/>
              <w:tr2bl w:val="nil"/>
            </w:tcBorders>
            <w:vAlign w:val="center"/>
          </w:tcPr>
          <w:p>
            <w:pPr>
              <w:pStyle w:val="30"/>
              <w:widowControl w:val="0"/>
              <w:bidi w:val="0"/>
            </w:pPr>
            <w:r>
              <w:t>桑园居民区东侧</w:t>
            </w:r>
          </w:p>
        </w:tc>
        <w:tc>
          <w:tcPr>
            <w:tcW w:w="0" w:type="auto"/>
            <w:tcBorders>
              <w:tl2br w:val="nil"/>
              <w:tr2bl w:val="nil"/>
            </w:tcBorders>
            <w:vAlign w:val="center"/>
          </w:tcPr>
          <w:p>
            <w:pPr>
              <w:pStyle w:val="30"/>
              <w:widowControl w:val="0"/>
              <w:bidi w:val="0"/>
            </w:pPr>
            <w:r>
              <w:rPr>
                <w:rFonts w:hint="eastAsia"/>
              </w:rPr>
              <w:t>一般农用地、林地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l2br w:val="nil"/>
              <w:tr2bl w:val="nil"/>
            </w:tcBorders>
            <w:vAlign w:val="center"/>
          </w:tcPr>
          <w:p>
            <w:pPr>
              <w:pStyle w:val="30"/>
              <w:widowControl w:val="0"/>
              <w:bidi w:val="0"/>
            </w:pPr>
            <w:r>
              <w:t>2</w:t>
            </w:r>
          </w:p>
        </w:tc>
        <w:tc>
          <w:tcPr>
            <w:tcW w:w="1762" w:type="dxa"/>
            <w:tcBorders>
              <w:tl2br w:val="nil"/>
              <w:tr2bl w:val="nil"/>
            </w:tcBorders>
            <w:vAlign w:val="center"/>
          </w:tcPr>
          <w:p>
            <w:pPr>
              <w:pStyle w:val="30"/>
              <w:widowControl w:val="0"/>
              <w:bidi w:val="0"/>
            </w:pPr>
            <w:r>
              <w:rPr>
                <w:lang w:val="zh-CN"/>
              </w:rPr>
              <w:t>施工管理营地</w:t>
            </w:r>
          </w:p>
        </w:tc>
        <w:tc>
          <w:tcPr>
            <w:tcW w:w="1641" w:type="dxa"/>
            <w:tcBorders>
              <w:tl2br w:val="nil"/>
              <w:tr2bl w:val="nil"/>
            </w:tcBorders>
            <w:vAlign w:val="center"/>
          </w:tcPr>
          <w:p>
            <w:pPr>
              <w:pStyle w:val="30"/>
              <w:widowControl w:val="0"/>
              <w:bidi w:val="0"/>
            </w:pPr>
            <w:r>
              <w:rPr>
                <w:rFonts w:hint="eastAsia"/>
              </w:rPr>
              <w:t>7500</w:t>
            </w:r>
          </w:p>
        </w:tc>
        <w:tc>
          <w:tcPr>
            <w:tcW w:w="0" w:type="auto"/>
            <w:tcBorders>
              <w:tl2br w:val="nil"/>
              <w:tr2bl w:val="nil"/>
            </w:tcBorders>
            <w:vAlign w:val="center"/>
          </w:tcPr>
          <w:p>
            <w:pPr>
              <w:pStyle w:val="30"/>
              <w:widowControl w:val="0"/>
              <w:bidi w:val="0"/>
            </w:pPr>
            <w:r>
              <w:rPr>
                <w:rFonts w:hint="eastAsia"/>
              </w:rPr>
              <w:t>位于S306与杭瑞高速之</w:t>
            </w:r>
          </w:p>
          <w:p>
            <w:pPr>
              <w:pStyle w:val="30"/>
              <w:widowControl w:val="0"/>
              <w:bidi w:val="0"/>
            </w:pPr>
            <w:r>
              <w:rPr>
                <w:rFonts w:hint="eastAsia"/>
              </w:rPr>
              <w:t>间的一处荒地</w:t>
            </w:r>
          </w:p>
        </w:tc>
        <w:tc>
          <w:tcPr>
            <w:tcW w:w="0" w:type="auto"/>
            <w:tcBorders>
              <w:tl2br w:val="nil"/>
              <w:tr2bl w:val="nil"/>
            </w:tcBorders>
            <w:vAlign w:val="center"/>
          </w:tcPr>
          <w:p>
            <w:pPr>
              <w:pStyle w:val="30"/>
              <w:widowControl w:val="0"/>
              <w:bidi w:val="0"/>
            </w:pPr>
            <w:r>
              <w:rPr>
                <w:rFonts w:hint="eastAsia"/>
              </w:rPr>
              <w:t>建设用地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l2br w:val="nil"/>
              <w:tr2bl w:val="nil"/>
            </w:tcBorders>
            <w:vAlign w:val="center"/>
          </w:tcPr>
          <w:p>
            <w:pPr>
              <w:pStyle w:val="30"/>
              <w:widowControl w:val="0"/>
              <w:bidi w:val="0"/>
            </w:pPr>
            <w:r>
              <w:t>3</w:t>
            </w:r>
          </w:p>
        </w:tc>
        <w:tc>
          <w:tcPr>
            <w:tcW w:w="1762" w:type="dxa"/>
            <w:tcBorders>
              <w:tl2br w:val="nil"/>
              <w:tr2bl w:val="nil"/>
            </w:tcBorders>
            <w:vAlign w:val="center"/>
          </w:tcPr>
          <w:p>
            <w:pPr>
              <w:pStyle w:val="30"/>
              <w:widowControl w:val="0"/>
              <w:bidi w:val="0"/>
            </w:pPr>
            <w:r>
              <w:rPr>
                <w:lang w:val="zh-CN"/>
              </w:rPr>
              <w:t>施工临时便道区</w:t>
            </w:r>
          </w:p>
        </w:tc>
        <w:tc>
          <w:tcPr>
            <w:tcW w:w="1641" w:type="dxa"/>
            <w:tcBorders>
              <w:tl2br w:val="nil"/>
              <w:tr2bl w:val="nil"/>
            </w:tcBorders>
            <w:vAlign w:val="center"/>
          </w:tcPr>
          <w:p>
            <w:pPr>
              <w:pStyle w:val="30"/>
              <w:widowControl w:val="0"/>
              <w:bidi w:val="0"/>
            </w:pPr>
            <w:r>
              <w:rPr>
                <w:rFonts w:hint="eastAsia"/>
              </w:rPr>
              <w:t>6500</w:t>
            </w:r>
          </w:p>
        </w:tc>
        <w:tc>
          <w:tcPr>
            <w:tcW w:w="0" w:type="auto"/>
            <w:tcBorders>
              <w:tl2br w:val="nil"/>
              <w:tr2bl w:val="nil"/>
            </w:tcBorders>
            <w:vAlign w:val="center"/>
          </w:tcPr>
          <w:p>
            <w:pPr>
              <w:pStyle w:val="30"/>
              <w:widowControl w:val="0"/>
              <w:bidi w:val="0"/>
            </w:pPr>
            <w:r>
              <w:rPr>
                <w:rFonts w:hint="eastAsia"/>
              </w:rPr>
              <w:t>下穿通道所在路段S306右侧</w:t>
            </w:r>
          </w:p>
        </w:tc>
        <w:tc>
          <w:tcPr>
            <w:tcW w:w="0" w:type="auto"/>
            <w:tcBorders>
              <w:tl2br w:val="nil"/>
              <w:tr2bl w:val="nil"/>
            </w:tcBorders>
            <w:vAlign w:val="center"/>
          </w:tcPr>
          <w:p>
            <w:pPr>
              <w:pStyle w:val="30"/>
              <w:widowControl w:val="0"/>
              <w:bidi w:val="0"/>
            </w:pPr>
            <w:r>
              <w:rPr>
                <w:rFonts w:hint="eastAsia"/>
              </w:rPr>
              <w:t>建设用地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l2br w:val="nil"/>
              <w:tr2bl w:val="nil"/>
            </w:tcBorders>
            <w:vAlign w:val="center"/>
          </w:tcPr>
          <w:p>
            <w:pPr>
              <w:pStyle w:val="30"/>
              <w:widowControl w:val="0"/>
              <w:bidi w:val="0"/>
            </w:pPr>
            <w:r>
              <w:rPr>
                <w:rFonts w:hint="eastAsia"/>
              </w:rPr>
              <w:t>4</w:t>
            </w:r>
          </w:p>
        </w:tc>
        <w:tc>
          <w:tcPr>
            <w:tcW w:w="1762" w:type="dxa"/>
            <w:tcBorders>
              <w:tl2br w:val="nil"/>
              <w:tr2bl w:val="nil"/>
            </w:tcBorders>
            <w:vAlign w:val="center"/>
          </w:tcPr>
          <w:p>
            <w:pPr>
              <w:pStyle w:val="30"/>
              <w:widowControl w:val="0"/>
              <w:bidi w:val="0"/>
              <w:rPr>
                <w:lang w:val="zh-CN"/>
              </w:rPr>
            </w:pPr>
            <w:r>
              <w:rPr>
                <w:lang w:val="zh-CN"/>
              </w:rPr>
              <w:t>合计</w:t>
            </w:r>
          </w:p>
        </w:tc>
        <w:tc>
          <w:tcPr>
            <w:tcW w:w="6584" w:type="dxa"/>
            <w:gridSpan w:val="3"/>
            <w:tcBorders>
              <w:tl2br w:val="nil"/>
              <w:tr2bl w:val="nil"/>
            </w:tcBorders>
            <w:vAlign w:val="center"/>
          </w:tcPr>
          <w:p>
            <w:pPr>
              <w:pStyle w:val="30"/>
              <w:widowControl w:val="0"/>
              <w:bidi w:val="0"/>
            </w:pPr>
            <w:r>
              <w:rPr>
                <w:rFonts w:hint="eastAsia"/>
              </w:rPr>
              <w:t>31000</w:t>
            </w:r>
          </w:p>
        </w:tc>
      </w:tr>
    </w:tbl>
    <w:p>
      <w:pPr>
        <w:pStyle w:val="4"/>
        <w:bidi w:val="0"/>
        <w:rPr>
          <w:lang w:eastAsia="zh-CN"/>
        </w:rPr>
      </w:pPr>
      <w:bookmarkStart w:id="27" w:name="_Toc6175"/>
      <w:bookmarkStart w:id="28" w:name="_Toc13328"/>
      <w:bookmarkStart w:id="29" w:name="_Toc517214622"/>
      <w:r>
        <w:rPr>
          <w:lang w:eastAsia="zh-CN"/>
        </w:rPr>
        <w:t>变更前工艺流程及产污环节</w:t>
      </w:r>
      <w:bookmarkEnd w:id="27"/>
      <w:bookmarkEnd w:id="28"/>
      <w:bookmarkEnd w:id="29"/>
    </w:p>
    <w:p>
      <w:pPr>
        <w:pStyle w:val="2"/>
        <w:bidi w:val="0"/>
        <w:rPr>
          <w:lang w:eastAsia="zh-CN"/>
        </w:rPr>
      </w:pPr>
      <w:r>
        <w:rPr>
          <w:rFonts w:hint="eastAsia"/>
          <w:lang w:eastAsia="zh-CN"/>
        </w:rPr>
        <w:t>施工期</w:t>
      </w:r>
      <w:r>
        <w:rPr>
          <w:rFonts w:hint="eastAsia"/>
        </w:rPr>
        <w:t>工艺流程及产污节点图</w:t>
      </w:r>
    </w:p>
    <w:p>
      <w:pPr>
        <w:spacing w:line="360" w:lineRule="auto"/>
        <w:ind w:right="210" w:firstLine="480" w:firstLineChars="200"/>
        <w:jc w:val="left"/>
        <w:rPr>
          <w:sz w:val="24"/>
        </w:rPr>
      </w:pPr>
      <w:r>
        <w:rPr>
          <w:rFonts w:hint="eastAsia"/>
          <w:sz w:val="24"/>
        </w:rPr>
        <w:t>建设内容包括道路工程、涵洞结构工程、堤防工程、给排水工程、景观绿化及环境保护工程、交通配套设施工程、照明工程、S306省道临时保通道路、路线起点与二洲子村垃圾处理中心复建工程。</w:t>
      </w:r>
    </w:p>
    <w:p>
      <w:pPr>
        <w:pStyle w:val="29"/>
        <w:bidi w:val="0"/>
        <w:rPr>
          <w:rStyle w:val="34"/>
        </w:rPr>
      </w:pPr>
      <w:r>
        <w:object>
          <v:shape id="_x0000_i1025" o:spt="75" type="#_x0000_t75" style="height:249.5pt;width:450.4pt;" o:ole="t" filled="f" o:preferrelative="t" stroked="f" coordsize="21600,21600">
            <v:path/>
            <v:fill on="f" focussize="0,0"/>
            <v:stroke on="f" joinstyle="miter"/>
            <v:imagedata r:id="rId6" o:title=""/>
            <o:lock v:ext="edit" aspectratio="t"/>
            <w10:wrap type="none"/>
            <w10:anchorlock/>
          </v:shape>
          <o:OLEObject Type="Embed" ProgID="Visio.Drawing.11" ShapeID="_x0000_i1025" DrawAspect="Content" ObjectID="_1468075725" r:id="rId5">
            <o:LockedField>false</o:LockedField>
          </o:OLEObject>
        </w:object>
      </w:r>
      <w:r>
        <w:rPr>
          <w:rStyle w:val="34"/>
        </w:rPr>
        <w:t xml:space="preserve">图5-1  </w:t>
      </w:r>
      <w:r>
        <w:rPr>
          <w:rStyle w:val="34"/>
          <w:rFonts w:hint="eastAsia"/>
        </w:rPr>
        <w:t>本</w:t>
      </w:r>
      <w:r>
        <w:rPr>
          <w:rStyle w:val="34"/>
        </w:rPr>
        <w:t>项目施工期工艺流程图</w:t>
      </w:r>
    </w:p>
    <w:p>
      <w:pPr>
        <w:pStyle w:val="4"/>
        <w:bidi w:val="0"/>
        <w:rPr>
          <w:lang w:eastAsia="zh-CN"/>
        </w:rPr>
      </w:pPr>
      <w:bookmarkStart w:id="30" w:name="_Toc503609590"/>
      <w:bookmarkStart w:id="31" w:name="_Toc31385"/>
      <w:bookmarkStart w:id="32" w:name="_Toc24599"/>
      <w:bookmarkStart w:id="33" w:name="_Toc517214623"/>
      <w:r>
        <w:t>污染源排放情况</w:t>
      </w:r>
      <w:bookmarkEnd w:id="30"/>
      <w:bookmarkEnd w:id="31"/>
      <w:bookmarkEnd w:id="32"/>
      <w:bookmarkEnd w:id="33"/>
    </w:p>
    <w:p>
      <w:pPr>
        <w:bidi w:val="0"/>
      </w:pPr>
      <w:r>
        <w:t>目前项目暂未</w:t>
      </w:r>
      <w:r>
        <w:rPr>
          <w:rFonts w:hint="eastAsia"/>
          <w:lang w:eastAsia="zh-CN"/>
        </w:rPr>
        <w:t>正式投产运营</w:t>
      </w:r>
      <w:r>
        <w:t>，项目污染物产排情况引用原环评报告表中工程分析中数据，具体如下表所示：</w:t>
      </w:r>
    </w:p>
    <w:p>
      <w:pPr>
        <w:pStyle w:val="29"/>
        <w:bidi w:val="0"/>
      </w:pPr>
      <w:r>
        <w:t>表</w:t>
      </w:r>
      <w:r>
        <w:rPr>
          <w:rFonts w:hint="eastAsia"/>
          <w:lang w:val="en-US" w:eastAsia="zh-CN"/>
        </w:rPr>
        <w:t>2.14-1</w:t>
      </w:r>
      <w:r>
        <w:t xml:space="preserve">  </w:t>
      </w:r>
      <w:r>
        <w:rPr>
          <w:rFonts w:hint="eastAsia"/>
        </w:rPr>
        <w:t>项目</w:t>
      </w:r>
      <w:r>
        <w:t>污染物产排情况一览表</w:t>
      </w:r>
    </w:p>
    <w:tbl>
      <w:tblPr>
        <w:tblStyle w:val="21"/>
        <w:tblW w:w="5405"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60"/>
        <w:gridCol w:w="912"/>
        <w:gridCol w:w="1382"/>
        <w:gridCol w:w="1876"/>
        <w:gridCol w:w="2217"/>
        <w:gridCol w:w="21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358" w:type="pct"/>
            <w:vAlign w:val="center"/>
          </w:tcPr>
          <w:p>
            <w:pPr>
              <w:pStyle w:val="30"/>
              <w:bidi w:val="0"/>
              <w:rPr>
                <w:rFonts w:hint="eastAsia" w:eastAsia="宋体"/>
                <w:lang w:eastAsia="zh-CN"/>
              </w:rPr>
            </w:pPr>
            <w:r>
              <w:rPr>
                <w:rFonts w:hint="eastAsia"/>
                <w:lang w:eastAsia="zh-CN"/>
              </w:rPr>
              <w:t>工期</w:t>
            </w:r>
          </w:p>
        </w:tc>
        <w:tc>
          <w:tcPr>
            <w:tcW w:w="495" w:type="pct"/>
            <w:vAlign w:val="center"/>
          </w:tcPr>
          <w:p>
            <w:pPr>
              <w:pStyle w:val="30"/>
              <w:bidi w:val="0"/>
            </w:pPr>
            <w:r>
              <w:t>排放源</w:t>
            </w:r>
          </w:p>
        </w:tc>
        <w:tc>
          <w:tcPr>
            <w:tcW w:w="750" w:type="pct"/>
            <w:vAlign w:val="center"/>
          </w:tcPr>
          <w:p>
            <w:pPr>
              <w:pStyle w:val="30"/>
              <w:bidi w:val="0"/>
            </w:pPr>
            <w:r>
              <w:t>污染物名称</w:t>
            </w:r>
          </w:p>
        </w:tc>
        <w:tc>
          <w:tcPr>
            <w:tcW w:w="1018" w:type="pct"/>
            <w:vAlign w:val="center"/>
          </w:tcPr>
          <w:p>
            <w:pPr>
              <w:pStyle w:val="30"/>
              <w:bidi w:val="0"/>
            </w:pPr>
            <w:r>
              <w:t>产生浓度及产生量</w:t>
            </w:r>
          </w:p>
          <w:p>
            <w:pPr>
              <w:pStyle w:val="30"/>
              <w:bidi w:val="0"/>
            </w:pPr>
            <w:r>
              <w:t>(单位)</w:t>
            </w:r>
          </w:p>
        </w:tc>
        <w:tc>
          <w:tcPr>
            <w:tcW w:w="1203" w:type="pct"/>
            <w:vAlign w:val="center"/>
          </w:tcPr>
          <w:p>
            <w:pPr>
              <w:pStyle w:val="30"/>
              <w:bidi w:val="0"/>
              <w:rPr>
                <w:lang w:val="en-US" w:eastAsia="zh-CN"/>
              </w:rPr>
            </w:pPr>
            <w:r>
              <w:t>防治措施</w:t>
            </w:r>
          </w:p>
        </w:tc>
        <w:tc>
          <w:tcPr>
            <w:tcW w:w="1173" w:type="pct"/>
            <w:vAlign w:val="center"/>
          </w:tcPr>
          <w:p>
            <w:pPr>
              <w:pStyle w:val="30"/>
              <w:bidi w:val="0"/>
            </w:pPr>
            <w:r>
              <w:t>排放浓度及排放量</w:t>
            </w:r>
          </w:p>
          <w:p>
            <w:pPr>
              <w:pStyle w:val="30"/>
              <w:bidi w:val="0"/>
            </w:pPr>
            <w:r>
              <w:t>(单位)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358" w:type="pct"/>
            <w:vMerge w:val="restart"/>
            <w:vAlign w:val="center"/>
          </w:tcPr>
          <w:p>
            <w:pPr>
              <w:pStyle w:val="30"/>
              <w:bidi w:val="0"/>
              <w:rPr>
                <w:rFonts w:hint="eastAsia" w:eastAsia="宋体"/>
                <w:lang w:eastAsia="zh-CN"/>
              </w:rPr>
            </w:pPr>
            <w:r>
              <w:rPr>
                <w:rFonts w:hint="eastAsia"/>
                <w:lang w:eastAsia="zh-CN"/>
              </w:rPr>
              <w:t>施工期</w:t>
            </w:r>
          </w:p>
        </w:tc>
        <w:tc>
          <w:tcPr>
            <w:tcW w:w="495" w:type="pct"/>
            <w:vAlign w:val="center"/>
          </w:tcPr>
          <w:p>
            <w:pPr>
              <w:pStyle w:val="30"/>
              <w:bidi w:val="0"/>
            </w:pPr>
            <w:r>
              <w:t>施工扬尘</w:t>
            </w:r>
          </w:p>
        </w:tc>
        <w:tc>
          <w:tcPr>
            <w:tcW w:w="750" w:type="pct"/>
            <w:vAlign w:val="center"/>
          </w:tcPr>
          <w:p>
            <w:pPr>
              <w:pStyle w:val="30"/>
              <w:bidi w:val="0"/>
            </w:pPr>
            <w:r>
              <w:rPr>
                <w:rFonts w:hint="eastAsia"/>
              </w:rPr>
              <w:t>TSP</w:t>
            </w:r>
          </w:p>
        </w:tc>
        <w:tc>
          <w:tcPr>
            <w:tcW w:w="1018" w:type="pct"/>
            <w:vAlign w:val="center"/>
          </w:tcPr>
          <w:p>
            <w:pPr>
              <w:pStyle w:val="30"/>
              <w:bidi w:val="0"/>
            </w:pPr>
            <w:r>
              <w:rPr>
                <w:rFonts w:hint="eastAsia"/>
              </w:rPr>
              <w:t>少量</w:t>
            </w:r>
          </w:p>
        </w:tc>
        <w:tc>
          <w:tcPr>
            <w:tcW w:w="1203" w:type="pct"/>
            <w:vAlign w:val="center"/>
          </w:tcPr>
          <w:p>
            <w:pPr>
              <w:pStyle w:val="30"/>
              <w:bidi w:val="0"/>
            </w:pPr>
            <w:r>
              <w:rPr>
                <w:rFonts w:hint="eastAsia"/>
              </w:rPr>
              <w:t>筑路材料贮存：洒水、蓬布遮盖及建设相应高度的围挡。</w:t>
            </w:r>
          </w:p>
          <w:p>
            <w:pPr>
              <w:pStyle w:val="30"/>
              <w:bidi w:val="0"/>
              <w:rPr>
                <w:rFonts w:hint="eastAsia"/>
                <w:lang w:val="en-US" w:eastAsia="zh-CN"/>
              </w:rPr>
            </w:pPr>
            <w:r>
              <w:rPr>
                <w:rFonts w:hint="eastAsia"/>
              </w:rPr>
              <w:t>房屋拆迁及施工现场定期洒水</w:t>
            </w:r>
            <w:r>
              <w:t>抑尘</w:t>
            </w:r>
          </w:p>
        </w:tc>
        <w:tc>
          <w:tcPr>
            <w:tcW w:w="1173" w:type="pct"/>
            <w:vAlign w:val="center"/>
          </w:tcPr>
          <w:p>
            <w:pPr>
              <w:pStyle w:val="30"/>
              <w:bidi w:val="0"/>
            </w:pPr>
            <w:r>
              <w:rPr>
                <w:rFonts w:hint="eastAsia"/>
              </w:rPr>
              <w:t>少量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358" w:type="pct"/>
            <w:vMerge w:val="continue"/>
            <w:vAlign w:val="center"/>
          </w:tcPr>
          <w:p>
            <w:pPr>
              <w:pStyle w:val="30"/>
              <w:bidi w:val="0"/>
            </w:pPr>
          </w:p>
        </w:tc>
        <w:tc>
          <w:tcPr>
            <w:tcW w:w="495" w:type="pct"/>
            <w:vAlign w:val="center"/>
          </w:tcPr>
          <w:p>
            <w:pPr>
              <w:pStyle w:val="30"/>
              <w:bidi w:val="0"/>
            </w:pPr>
            <w:r>
              <w:t>沥青烟气</w:t>
            </w:r>
          </w:p>
        </w:tc>
        <w:tc>
          <w:tcPr>
            <w:tcW w:w="750" w:type="pct"/>
            <w:vAlign w:val="center"/>
          </w:tcPr>
          <w:p>
            <w:pPr>
              <w:pStyle w:val="30"/>
              <w:bidi w:val="0"/>
            </w:pPr>
            <w:r>
              <w:t>沥青烟和</w:t>
            </w:r>
          </w:p>
          <w:p>
            <w:pPr>
              <w:pStyle w:val="30"/>
              <w:bidi w:val="0"/>
            </w:pPr>
            <w:r>
              <w:t>苯并[a]芘</w:t>
            </w:r>
          </w:p>
        </w:tc>
        <w:tc>
          <w:tcPr>
            <w:tcW w:w="1018" w:type="pct"/>
            <w:vAlign w:val="center"/>
          </w:tcPr>
          <w:p>
            <w:pPr>
              <w:pStyle w:val="30"/>
              <w:bidi w:val="0"/>
            </w:pPr>
            <w:r>
              <w:t>少量</w:t>
            </w:r>
          </w:p>
        </w:tc>
        <w:tc>
          <w:tcPr>
            <w:tcW w:w="1203" w:type="pct"/>
            <w:vAlign w:val="center"/>
          </w:tcPr>
          <w:p>
            <w:pPr>
              <w:pStyle w:val="30"/>
              <w:bidi w:val="0"/>
              <w:rPr>
                <w:lang w:val="en-US" w:eastAsia="zh-CN"/>
              </w:rPr>
            </w:pPr>
            <w:r>
              <w:rPr>
                <w:rFonts w:hint="eastAsia"/>
              </w:rPr>
              <w:t>不设沥青混凝土拌合站，直接购买成品沥青。</w:t>
            </w:r>
          </w:p>
        </w:tc>
        <w:tc>
          <w:tcPr>
            <w:tcW w:w="1173" w:type="pct"/>
            <w:vAlign w:val="center"/>
          </w:tcPr>
          <w:p>
            <w:pPr>
              <w:pStyle w:val="30"/>
              <w:bidi w:val="0"/>
            </w:pPr>
            <w:r>
              <w:t>少量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358" w:type="pct"/>
            <w:vMerge w:val="continue"/>
            <w:vAlign w:val="center"/>
          </w:tcPr>
          <w:p>
            <w:pPr>
              <w:pStyle w:val="30"/>
              <w:bidi w:val="0"/>
              <w:rPr>
                <w:rFonts w:hint="eastAsia"/>
              </w:rPr>
            </w:pPr>
          </w:p>
        </w:tc>
        <w:tc>
          <w:tcPr>
            <w:tcW w:w="495" w:type="pct"/>
            <w:vAlign w:val="center"/>
          </w:tcPr>
          <w:p>
            <w:pPr>
              <w:pStyle w:val="30"/>
              <w:bidi w:val="0"/>
            </w:pPr>
            <w:r>
              <w:rPr>
                <w:rFonts w:hint="eastAsia"/>
              </w:rPr>
              <w:t>泥浆水和基坑废水</w:t>
            </w:r>
          </w:p>
        </w:tc>
        <w:tc>
          <w:tcPr>
            <w:tcW w:w="750" w:type="pct"/>
            <w:vAlign w:val="center"/>
          </w:tcPr>
          <w:p>
            <w:pPr>
              <w:pStyle w:val="30"/>
              <w:bidi w:val="0"/>
            </w:pPr>
            <w:r>
              <w:rPr>
                <w:rFonts w:hint="eastAsia"/>
              </w:rPr>
              <w:t>SS</w:t>
            </w:r>
          </w:p>
        </w:tc>
        <w:tc>
          <w:tcPr>
            <w:tcW w:w="1018" w:type="pct"/>
            <w:vAlign w:val="center"/>
          </w:tcPr>
          <w:p>
            <w:pPr>
              <w:pStyle w:val="30"/>
              <w:bidi w:val="0"/>
            </w:pPr>
            <w:r>
              <w:rPr>
                <w:rFonts w:hint="eastAsia"/>
              </w:rPr>
              <w:t>SS：1000～3000mg/L</w:t>
            </w:r>
          </w:p>
        </w:tc>
        <w:tc>
          <w:tcPr>
            <w:tcW w:w="1203" w:type="pct"/>
            <w:vAlign w:val="center"/>
          </w:tcPr>
          <w:p>
            <w:pPr>
              <w:pStyle w:val="30"/>
              <w:bidi w:val="0"/>
              <w:rPr>
                <w:rFonts w:hint="eastAsia"/>
                <w:lang w:val="en-US" w:eastAsia="zh-CN"/>
              </w:rPr>
            </w:pPr>
            <w:r>
              <w:rPr>
                <w:rFonts w:hint="eastAsia"/>
              </w:rPr>
              <w:t>经沉淀后回用于施工或抑尘洒水。</w:t>
            </w:r>
          </w:p>
        </w:tc>
        <w:tc>
          <w:tcPr>
            <w:tcW w:w="1173" w:type="pct"/>
            <w:vAlign w:val="center"/>
          </w:tcPr>
          <w:p>
            <w:pPr>
              <w:pStyle w:val="30"/>
              <w:bidi w:val="0"/>
            </w:pPr>
            <w:r>
              <w:rPr>
                <w:rFonts w:hint="eastAsia"/>
              </w:rPr>
              <w:t>经沉淀后回用于施工或抑尘洒水。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358" w:type="pct"/>
            <w:vMerge w:val="continue"/>
            <w:vAlign w:val="center"/>
          </w:tcPr>
          <w:p>
            <w:pPr>
              <w:pStyle w:val="30"/>
              <w:bidi w:val="0"/>
            </w:pPr>
          </w:p>
        </w:tc>
        <w:tc>
          <w:tcPr>
            <w:tcW w:w="495" w:type="pct"/>
            <w:vAlign w:val="center"/>
          </w:tcPr>
          <w:p>
            <w:pPr>
              <w:pStyle w:val="30"/>
              <w:bidi w:val="0"/>
            </w:pPr>
            <w:r>
              <w:t>车辆冲洗废水</w:t>
            </w:r>
          </w:p>
        </w:tc>
        <w:tc>
          <w:tcPr>
            <w:tcW w:w="750" w:type="pct"/>
            <w:vAlign w:val="center"/>
          </w:tcPr>
          <w:p>
            <w:pPr>
              <w:pStyle w:val="30"/>
              <w:bidi w:val="0"/>
            </w:pPr>
            <w:r>
              <w:rPr>
                <w:rFonts w:hint="eastAsia"/>
                <w:lang w:eastAsia="zh-CN"/>
              </w:rPr>
              <w:t>COD</w:t>
            </w:r>
            <w:r>
              <w:rPr>
                <w:rFonts w:hint="eastAsia"/>
                <w:vertAlign w:val="subscript"/>
                <w:lang w:eastAsia="zh-CN"/>
              </w:rPr>
              <w:t>cr</w:t>
            </w:r>
            <w:r>
              <w:t>、石油类、SS</w:t>
            </w:r>
          </w:p>
        </w:tc>
        <w:tc>
          <w:tcPr>
            <w:tcW w:w="1018" w:type="pct"/>
            <w:vAlign w:val="center"/>
          </w:tcPr>
          <w:p>
            <w:pPr>
              <w:pStyle w:val="30"/>
              <w:bidi w:val="0"/>
            </w:pPr>
            <w:r>
              <w:rPr>
                <w:rFonts w:hint="eastAsia"/>
              </w:rPr>
              <w:t>水量：10</w:t>
            </w:r>
            <w:r>
              <w:rPr>
                <w:rFonts w:hint="eastAsia"/>
                <w:lang w:eastAsia="zh-CN"/>
              </w:rPr>
              <w:t>m</w:t>
            </w:r>
            <w:r>
              <w:rPr>
                <w:rFonts w:hint="eastAsia"/>
                <w:vertAlign w:val="superscript"/>
                <w:lang w:eastAsia="zh-CN"/>
              </w:rPr>
              <w:t>3</w:t>
            </w:r>
            <w:r>
              <w:t>/d</w:t>
            </w:r>
          </w:p>
        </w:tc>
        <w:tc>
          <w:tcPr>
            <w:tcW w:w="1203" w:type="pct"/>
            <w:vAlign w:val="center"/>
          </w:tcPr>
          <w:p>
            <w:pPr>
              <w:pStyle w:val="30"/>
              <w:bidi w:val="0"/>
              <w:rPr>
                <w:rFonts w:hint="eastAsia"/>
                <w:lang w:val="en-US" w:eastAsia="zh-CN"/>
              </w:rPr>
            </w:pPr>
            <w:r>
              <w:rPr>
                <w:rFonts w:hint="eastAsia"/>
              </w:rPr>
              <w:t>经隔油沉淀后回用于抑尘洒水，不外排。</w:t>
            </w:r>
          </w:p>
        </w:tc>
        <w:tc>
          <w:tcPr>
            <w:tcW w:w="1173" w:type="pct"/>
            <w:vAlign w:val="center"/>
          </w:tcPr>
          <w:p>
            <w:pPr>
              <w:pStyle w:val="30"/>
              <w:bidi w:val="0"/>
            </w:pPr>
            <w:r>
              <w:rPr>
                <w:rFonts w:hint="eastAsia"/>
              </w:rPr>
              <w:t>经隔油沉淀后回用于抑尘洒水，不外排。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358" w:type="pct"/>
            <w:vMerge w:val="continue"/>
            <w:vAlign w:val="center"/>
          </w:tcPr>
          <w:p>
            <w:pPr>
              <w:pStyle w:val="30"/>
              <w:bidi w:val="0"/>
            </w:pPr>
          </w:p>
        </w:tc>
        <w:tc>
          <w:tcPr>
            <w:tcW w:w="495" w:type="pct"/>
            <w:vMerge w:val="restart"/>
            <w:vAlign w:val="center"/>
          </w:tcPr>
          <w:p>
            <w:pPr>
              <w:pStyle w:val="30"/>
              <w:bidi w:val="0"/>
            </w:pPr>
            <w:r>
              <w:t>生活污水</w:t>
            </w:r>
          </w:p>
        </w:tc>
        <w:tc>
          <w:tcPr>
            <w:tcW w:w="750" w:type="pct"/>
            <w:vAlign w:val="center"/>
          </w:tcPr>
          <w:p>
            <w:pPr>
              <w:pStyle w:val="30"/>
              <w:bidi w:val="0"/>
            </w:pPr>
            <w:r>
              <w:t>废水量</w:t>
            </w:r>
          </w:p>
        </w:tc>
        <w:tc>
          <w:tcPr>
            <w:tcW w:w="1018" w:type="pct"/>
            <w:vAlign w:val="center"/>
          </w:tcPr>
          <w:p>
            <w:pPr>
              <w:pStyle w:val="30"/>
              <w:bidi w:val="0"/>
              <w:rPr>
                <w:rFonts w:hint="eastAsia" w:eastAsia="宋体"/>
                <w:lang w:eastAsia="zh-CN"/>
              </w:rPr>
            </w:pPr>
            <w:r>
              <w:rPr>
                <w:rFonts w:hint="eastAsia"/>
              </w:rPr>
              <w:t>621</w:t>
            </w:r>
            <w:r>
              <w:rPr>
                <w:rFonts w:hint="eastAsia"/>
                <w:lang w:eastAsia="zh-CN"/>
              </w:rPr>
              <w:t>m</w:t>
            </w:r>
            <w:r>
              <w:rPr>
                <w:rFonts w:hint="eastAsia"/>
                <w:vertAlign w:val="superscript"/>
                <w:lang w:eastAsia="zh-CN"/>
              </w:rPr>
              <w:t>3</w:t>
            </w:r>
          </w:p>
        </w:tc>
        <w:tc>
          <w:tcPr>
            <w:tcW w:w="1203" w:type="pct"/>
            <w:vMerge w:val="restart"/>
            <w:vAlign w:val="center"/>
          </w:tcPr>
          <w:p>
            <w:pPr>
              <w:pStyle w:val="30"/>
              <w:bidi w:val="0"/>
              <w:rPr>
                <w:rFonts w:hint="eastAsia"/>
                <w:lang w:val="en-US" w:eastAsia="zh-CN"/>
              </w:rPr>
            </w:pPr>
            <w:r>
              <w:t>经化粪池</w:t>
            </w:r>
          </w:p>
        </w:tc>
        <w:tc>
          <w:tcPr>
            <w:tcW w:w="1173" w:type="pct"/>
            <w:vMerge w:val="restart"/>
            <w:vAlign w:val="center"/>
          </w:tcPr>
          <w:p>
            <w:pPr>
              <w:pStyle w:val="30"/>
              <w:bidi w:val="0"/>
            </w:pPr>
            <w:r>
              <w:t>达</w:t>
            </w:r>
            <w:r>
              <w:rPr>
                <w:rFonts w:hint="eastAsia"/>
              </w:rPr>
              <w:t>《污水综合排放标准》（GB8978-1996）三级标准后，</w:t>
            </w:r>
            <w:r>
              <w:t>运至</w:t>
            </w:r>
            <w:r>
              <w:rPr>
                <w:rFonts w:hint="eastAsia"/>
              </w:rPr>
              <w:t>君山区第二污水处理厂处理。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6" w:hRule="atLeast"/>
          <w:jc w:val="center"/>
        </w:trPr>
        <w:tc>
          <w:tcPr>
            <w:tcW w:w="358" w:type="pct"/>
            <w:vMerge w:val="continue"/>
            <w:vAlign w:val="center"/>
          </w:tcPr>
          <w:p>
            <w:pPr>
              <w:pStyle w:val="30"/>
              <w:bidi w:val="0"/>
            </w:pPr>
          </w:p>
        </w:tc>
        <w:tc>
          <w:tcPr>
            <w:tcW w:w="495" w:type="pct"/>
            <w:vMerge w:val="continue"/>
            <w:vAlign w:val="center"/>
          </w:tcPr>
          <w:p>
            <w:pPr>
              <w:pStyle w:val="30"/>
              <w:bidi w:val="0"/>
            </w:pPr>
          </w:p>
        </w:tc>
        <w:tc>
          <w:tcPr>
            <w:tcW w:w="750" w:type="pct"/>
            <w:vAlign w:val="center"/>
          </w:tcPr>
          <w:p>
            <w:pPr>
              <w:pStyle w:val="30"/>
              <w:bidi w:val="0"/>
            </w:pPr>
            <w:r>
              <w:t>COD</w:t>
            </w:r>
          </w:p>
        </w:tc>
        <w:tc>
          <w:tcPr>
            <w:tcW w:w="1018" w:type="pct"/>
            <w:vAlign w:val="center"/>
          </w:tcPr>
          <w:p>
            <w:pPr>
              <w:pStyle w:val="30"/>
              <w:bidi w:val="0"/>
            </w:pPr>
            <w:r>
              <w:t>250 mg /L</w:t>
            </w:r>
            <w:r>
              <w:rPr>
                <w:rFonts w:hint="eastAsia"/>
              </w:rPr>
              <w:t>、0.16t</w:t>
            </w:r>
          </w:p>
        </w:tc>
        <w:tc>
          <w:tcPr>
            <w:tcW w:w="1203" w:type="pct"/>
            <w:vMerge w:val="continue"/>
            <w:vAlign w:val="center"/>
          </w:tcPr>
          <w:p>
            <w:pPr>
              <w:pStyle w:val="30"/>
              <w:bidi w:val="0"/>
              <w:rPr>
                <w:lang w:val="en-US" w:eastAsia="zh-CN"/>
              </w:rPr>
            </w:pPr>
          </w:p>
        </w:tc>
        <w:tc>
          <w:tcPr>
            <w:tcW w:w="1173" w:type="pct"/>
            <w:vMerge w:val="continue"/>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6" w:hRule="atLeast"/>
          <w:jc w:val="center"/>
        </w:trPr>
        <w:tc>
          <w:tcPr>
            <w:tcW w:w="358" w:type="pct"/>
            <w:vMerge w:val="continue"/>
            <w:vAlign w:val="center"/>
          </w:tcPr>
          <w:p>
            <w:pPr>
              <w:pStyle w:val="30"/>
              <w:bidi w:val="0"/>
            </w:pPr>
          </w:p>
        </w:tc>
        <w:tc>
          <w:tcPr>
            <w:tcW w:w="495" w:type="pct"/>
            <w:vMerge w:val="continue"/>
            <w:vAlign w:val="center"/>
          </w:tcPr>
          <w:p>
            <w:pPr>
              <w:pStyle w:val="30"/>
              <w:bidi w:val="0"/>
            </w:pPr>
          </w:p>
        </w:tc>
        <w:tc>
          <w:tcPr>
            <w:tcW w:w="750" w:type="pct"/>
            <w:vAlign w:val="center"/>
          </w:tcPr>
          <w:p>
            <w:pPr>
              <w:pStyle w:val="30"/>
              <w:bidi w:val="0"/>
              <w:rPr>
                <w:rFonts w:hint="eastAsia" w:eastAsia="宋体"/>
                <w:lang w:eastAsia="zh-CN"/>
              </w:rPr>
            </w:pPr>
            <w:r>
              <w:rPr>
                <w:rFonts w:hint="eastAsia"/>
                <w:lang w:eastAsia="zh-CN"/>
              </w:rPr>
              <w:t>BOD</w:t>
            </w:r>
            <w:r>
              <w:rPr>
                <w:rFonts w:hint="eastAsia"/>
                <w:vertAlign w:val="subscript"/>
                <w:lang w:eastAsia="zh-CN"/>
              </w:rPr>
              <w:t>5</w:t>
            </w:r>
          </w:p>
        </w:tc>
        <w:tc>
          <w:tcPr>
            <w:tcW w:w="1018" w:type="pct"/>
            <w:vAlign w:val="center"/>
          </w:tcPr>
          <w:p>
            <w:pPr>
              <w:pStyle w:val="30"/>
              <w:bidi w:val="0"/>
            </w:pPr>
            <w:r>
              <w:t>150 mg/ L</w:t>
            </w:r>
            <w:r>
              <w:rPr>
                <w:rFonts w:hint="eastAsia"/>
              </w:rPr>
              <w:t>、0.094t</w:t>
            </w:r>
          </w:p>
        </w:tc>
        <w:tc>
          <w:tcPr>
            <w:tcW w:w="1203" w:type="pct"/>
            <w:vMerge w:val="continue"/>
            <w:vAlign w:val="center"/>
          </w:tcPr>
          <w:p>
            <w:pPr>
              <w:pStyle w:val="30"/>
              <w:bidi w:val="0"/>
              <w:rPr>
                <w:lang w:val="en-US" w:eastAsia="zh-CN"/>
              </w:rPr>
            </w:pPr>
          </w:p>
        </w:tc>
        <w:tc>
          <w:tcPr>
            <w:tcW w:w="1173" w:type="pct"/>
            <w:vMerge w:val="continue"/>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4" w:hRule="atLeast"/>
          <w:jc w:val="center"/>
        </w:trPr>
        <w:tc>
          <w:tcPr>
            <w:tcW w:w="358" w:type="pct"/>
            <w:vMerge w:val="continue"/>
            <w:vAlign w:val="center"/>
          </w:tcPr>
          <w:p>
            <w:pPr>
              <w:pStyle w:val="30"/>
              <w:bidi w:val="0"/>
            </w:pPr>
          </w:p>
        </w:tc>
        <w:tc>
          <w:tcPr>
            <w:tcW w:w="495" w:type="pct"/>
            <w:vMerge w:val="continue"/>
            <w:vAlign w:val="center"/>
          </w:tcPr>
          <w:p>
            <w:pPr>
              <w:pStyle w:val="30"/>
              <w:bidi w:val="0"/>
            </w:pPr>
          </w:p>
        </w:tc>
        <w:tc>
          <w:tcPr>
            <w:tcW w:w="750" w:type="pct"/>
            <w:vAlign w:val="center"/>
          </w:tcPr>
          <w:p>
            <w:pPr>
              <w:pStyle w:val="30"/>
              <w:bidi w:val="0"/>
            </w:pPr>
            <w:r>
              <w:t>SS</w:t>
            </w:r>
          </w:p>
        </w:tc>
        <w:tc>
          <w:tcPr>
            <w:tcW w:w="1018" w:type="pct"/>
            <w:vAlign w:val="center"/>
          </w:tcPr>
          <w:p>
            <w:pPr>
              <w:pStyle w:val="30"/>
              <w:bidi w:val="0"/>
            </w:pPr>
            <w:r>
              <w:rPr>
                <w:rFonts w:hint="eastAsia"/>
              </w:rPr>
              <w:t>20</w:t>
            </w:r>
            <w:r>
              <w:t>0mg/L、</w:t>
            </w:r>
            <w:r>
              <w:rPr>
                <w:rFonts w:hint="eastAsia"/>
              </w:rPr>
              <w:t>0.13</w:t>
            </w:r>
            <w:r>
              <w:t>t</w:t>
            </w:r>
          </w:p>
        </w:tc>
        <w:tc>
          <w:tcPr>
            <w:tcW w:w="1203" w:type="pct"/>
            <w:vMerge w:val="continue"/>
            <w:vAlign w:val="center"/>
          </w:tcPr>
          <w:p>
            <w:pPr>
              <w:pStyle w:val="30"/>
              <w:bidi w:val="0"/>
              <w:rPr>
                <w:rFonts w:hint="eastAsia"/>
                <w:lang w:val="en-US" w:eastAsia="zh-CN"/>
              </w:rPr>
            </w:pPr>
          </w:p>
        </w:tc>
        <w:tc>
          <w:tcPr>
            <w:tcW w:w="1173" w:type="pct"/>
            <w:vMerge w:val="continue"/>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6" w:hRule="atLeast"/>
          <w:jc w:val="center"/>
        </w:trPr>
        <w:tc>
          <w:tcPr>
            <w:tcW w:w="358" w:type="pct"/>
            <w:vMerge w:val="continue"/>
            <w:vAlign w:val="center"/>
          </w:tcPr>
          <w:p>
            <w:pPr>
              <w:pStyle w:val="30"/>
              <w:bidi w:val="0"/>
            </w:pPr>
          </w:p>
        </w:tc>
        <w:tc>
          <w:tcPr>
            <w:tcW w:w="495" w:type="pct"/>
            <w:vMerge w:val="continue"/>
            <w:vAlign w:val="center"/>
          </w:tcPr>
          <w:p>
            <w:pPr>
              <w:pStyle w:val="30"/>
              <w:bidi w:val="0"/>
            </w:pPr>
          </w:p>
        </w:tc>
        <w:tc>
          <w:tcPr>
            <w:tcW w:w="750" w:type="pct"/>
            <w:vAlign w:val="center"/>
          </w:tcPr>
          <w:p>
            <w:pPr>
              <w:pStyle w:val="30"/>
              <w:bidi w:val="0"/>
            </w:pPr>
            <w:r>
              <w:rPr>
                <w:rFonts w:hint="eastAsia"/>
                <w:lang w:eastAsia="zh-CN"/>
              </w:rPr>
              <w:t>NH</w:t>
            </w:r>
            <w:r>
              <w:rPr>
                <w:rFonts w:hint="eastAsia"/>
                <w:vertAlign w:val="subscript"/>
                <w:lang w:eastAsia="zh-CN"/>
              </w:rPr>
              <w:t>3</w:t>
            </w:r>
            <w:r>
              <w:t>-N</w:t>
            </w:r>
          </w:p>
        </w:tc>
        <w:tc>
          <w:tcPr>
            <w:tcW w:w="1018" w:type="pct"/>
            <w:vAlign w:val="center"/>
          </w:tcPr>
          <w:p>
            <w:pPr>
              <w:pStyle w:val="30"/>
              <w:bidi w:val="0"/>
            </w:pPr>
            <w:r>
              <w:t>25 mg/L、</w:t>
            </w:r>
            <w:r>
              <w:rPr>
                <w:rFonts w:hint="eastAsia"/>
              </w:rPr>
              <w:t>0.016t</w:t>
            </w:r>
          </w:p>
        </w:tc>
        <w:tc>
          <w:tcPr>
            <w:tcW w:w="1203" w:type="pct"/>
            <w:vMerge w:val="continue"/>
            <w:vAlign w:val="center"/>
          </w:tcPr>
          <w:p>
            <w:pPr>
              <w:pStyle w:val="30"/>
              <w:bidi w:val="0"/>
              <w:rPr>
                <w:lang w:val="en-US" w:eastAsia="zh-CN"/>
              </w:rPr>
            </w:pPr>
          </w:p>
        </w:tc>
        <w:tc>
          <w:tcPr>
            <w:tcW w:w="1173" w:type="pct"/>
            <w:vMerge w:val="continue"/>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9" w:hRule="atLeast"/>
          <w:jc w:val="center"/>
        </w:trPr>
        <w:tc>
          <w:tcPr>
            <w:tcW w:w="358" w:type="pct"/>
            <w:vMerge w:val="continue"/>
            <w:vAlign w:val="center"/>
          </w:tcPr>
          <w:p>
            <w:pPr>
              <w:pStyle w:val="30"/>
              <w:bidi w:val="0"/>
            </w:pPr>
          </w:p>
        </w:tc>
        <w:tc>
          <w:tcPr>
            <w:tcW w:w="495" w:type="pct"/>
            <w:vMerge w:val="continue"/>
            <w:vAlign w:val="center"/>
          </w:tcPr>
          <w:p>
            <w:pPr>
              <w:pStyle w:val="30"/>
              <w:bidi w:val="0"/>
            </w:pPr>
          </w:p>
        </w:tc>
        <w:tc>
          <w:tcPr>
            <w:tcW w:w="750" w:type="pct"/>
            <w:vAlign w:val="center"/>
          </w:tcPr>
          <w:p>
            <w:pPr>
              <w:pStyle w:val="30"/>
              <w:bidi w:val="0"/>
            </w:pPr>
            <w:r>
              <w:t>动植物油</w:t>
            </w:r>
          </w:p>
        </w:tc>
        <w:tc>
          <w:tcPr>
            <w:tcW w:w="1018" w:type="pct"/>
            <w:vAlign w:val="center"/>
          </w:tcPr>
          <w:p>
            <w:pPr>
              <w:pStyle w:val="30"/>
              <w:bidi w:val="0"/>
            </w:pPr>
            <w:r>
              <w:rPr>
                <w:rFonts w:hint="eastAsia"/>
              </w:rPr>
              <w:t>2</w:t>
            </w:r>
            <w:r>
              <w:t>0mg/L、</w:t>
            </w:r>
            <w:r>
              <w:rPr>
                <w:rFonts w:hint="eastAsia"/>
              </w:rPr>
              <w:t>0.013t</w:t>
            </w:r>
          </w:p>
        </w:tc>
        <w:tc>
          <w:tcPr>
            <w:tcW w:w="1203" w:type="pct"/>
            <w:vMerge w:val="continue"/>
            <w:vAlign w:val="center"/>
          </w:tcPr>
          <w:p>
            <w:pPr>
              <w:pStyle w:val="30"/>
              <w:bidi w:val="0"/>
              <w:rPr>
                <w:rFonts w:hint="eastAsia"/>
              </w:rPr>
            </w:pPr>
          </w:p>
        </w:tc>
        <w:tc>
          <w:tcPr>
            <w:tcW w:w="1173" w:type="pct"/>
            <w:vMerge w:val="continue"/>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358" w:type="pct"/>
            <w:vMerge w:val="continue"/>
            <w:vAlign w:val="center"/>
          </w:tcPr>
          <w:p>
            <w:pPr>
              <w:pStyle w:val="30"/>
              <w:bidi w:val="0"/>
            </w:pPr>
          </w:p>
        </w:tc>
        <w:tc>
          <w:tcPr>
            <w:tcW w:w="495" w:type="pct"/>
            <w:vAlign w:val="center"/>
          </w:tcPr>
          <w:p>
            <w:pPr>
              <w:pStyle w:val="30"/>
              <w:bidi w:val="0"/>
            </w:pPr>
            <w:r>
              <w:t>拆迁固废</w:t>
            </w:r>
          </w:p>
        </w:tc>
        <w:tc>
          <w:tcPr>
            <w:tcW w:w="750" w:type="pct"/>
            <w:vAlign w:val="center"/>
          </w:tcPr>
          <w:p>
            <w:pPr>
              <w:pStyle w:val="30"/>
              <w:bidi w:val="0"/>
            </w:pPr>
            <w:r>
              <w:rPr>
                <w:rFonts w:hint="eastAsia"/>
              </w:rPr>
              <w:t>废弃混凝土</w:t>
            </w:r>
          </w:p>
        </w:tc>
        <w:tc>
          <w:tcPr>
            <w:tcW w:w="1018" w:type="pct"/>
            <w:vAlign w:val="center"/>
          </w:tcPr>
          <w:p>
            <w:pPr>
              <w:pStyle w:val="30"/>
              <w:bidi w:val="0"/>
              <w:rPr>
                <w:rFonts w:hint="eastAsia" w:eastAsia="宋体"/>
                <w:lang w:eastAsia="zh-CN"/>
              </w:rPr>
            </w:pPr>
            <w:r>
              <w:t>34855.2</w:t>
            </w:r>
            <w:r>
              <w:rPr>
                <w:rFonts w:hint="eastAsia"/>
                <w:lang w:eastAsia="zh-CN"/>
              </w:rPr>
              <w:t>m</w:t>
            </w:r>
            <w:r>
              <w:rPr>
                <w:rFonts w:hint="eastAsia"/>
                <w:vertAlign w:val="superscript"/>
                <w:lang w:eastAsia="zh-CN"/>
              </w:rPr>
              <w:t>3</w:t>
            </w:r>
          </w:p>
        </w:tc>
        <w:tc>
          <w:tcPr>
            <w:tcW w:w="1203" w:type="pct"/>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用于路基填土</w:t>
            </w:r>
          </w:p>
        </w:tc>
        <w:tc>
          <w:tcPr>
            <w:tcW w:w="1173" w:type="pct"/>
            <w:vAlign w:val="center"/>
          </w:tcPr>
          <w:p>
            <w:pPr>
              <w:pStyle w:val="30"/>
              <w:bidi w:val="0"/>
            </w:pPr>
            <w:r>
              <w:rPr>
                <w:rFonts w:hint="eastAsia"/>
              </w:rPr>
              <w:t>0（用于路基填土）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4" w:hRule="atLeast"/>
          <w:jc w:val="center"/>
        </w:trPr>
        <w:tc>
          <w:tcPr>
            <w:tcW w:w="358" w:type="pct"/>
            <w:vMerge w:val="continue"/>
            <w:vAlign w:val="center"/>
          </w:tcPr>
          <w:p>
            <w:pPr>
              <w:pStyle w:val="30"/>
              <w:bidi w:val="0"/>
            </w:pPr>
          </w:p>
        </w:tc>
        <w:tc>
          <w:tcPr>
            <w:tcW w:w="495" w:type="pct"/>
            <w:vAlign w:val="center"/>
          </w:tcPr>
          <w:p>
            <w:pPr>
              <w:pStyle w:val="30"/>
              <w:bidi w:val="0"/>
            </w:pPr>
            <w:r>
              <w:t>挖方</w:t>
            </w:r>
          </w:p>
        </w:tc>
        <w:tc>
          <w:tcPr>
            <w:tcW w:w="750" w:type="pct"/>
            <w:vAlign w:val="center"/>
          </w:tcPr>
          <w:p>
            <w:pPr>
              <w:pStyle w:val="30"/>
              <w:bidi w:val="0"/>
              <w:rPr>
                <w:rFonts w:hint="eastAsia"/>
              </w:rPr>
            </w:pPr>
            <w:r>
              <w:rPr>
                <w:rFonts w:hint="eastAsia"/>
              </w:rPr>
              <w:t>土石方</w:t>
            </w:r>
          </w:p>
        </w:tc>
        <w:tc>
          <w:tcPr>
            <w:tcW w:w="1018" w:type="pct"/>
            <w:vAlign w:val="center"/>
          </w:tcPr>
          <w:p>
            <w:pPr>
              <w:pStyle w:val="30"/>
              <w:bidi w:val="0"/>
              <w:rPr>
                <w:rFonts w:hint="eastAsia" w:eastAsia="宋体"/>
                <w:lang w:eastAsia="zh-CN"/>
              </w:rPr>
            </w:pPr>
            <w:r>
              <w:t>139074</w:t>
            </w:r>
            <w:r>
              <w:rPr>
                <w:rFonts w:hint="eastAsia"/>
                <w:lang w:eastAsia="zh-CN"/>
              </w:rPr>
              <w:t>m</w:t>
            </w:r>
            <w:r>
              <w:rPr>
                <w:rFonts w:hint="eastAsia"/>
                <w:vertAlign w:val="superscript"/>
                <w:lang w:eastAsia="zh-CN"/>
              </w:rPr>
              <w:t>3</w:t>
            </w:r>
          </w:p>
        </w:tc>
        <w:tc>
          <w:tcPr>
            <w:tcW w:w="1203" w:type="pct"/>
            <w:vAlign w:val="center"/>
          </w:tcPr>
          <w:p>
            <w:pPr>
              <w:pStyle w:val="30"/>
              <w:bidi w:val="0"/>
              <w:rPr>
                <w:rFonts w:ascii="Times New Roman" w:hAnsi="Times New Roman" w:eastAsia="宋体" w:cstheme="minorBidi"/>
                <w:snapToGrid w:val="0"/>
                <w:sz w:val="21"/>
                <w:szCs w:val="24"/>
                <w:lang w:val="en-US" w:eastAsia="zh-CN" w:bidi="ar-SA"/>
              </w:rPr>
            </w:pPr>
            <w:r>
              <w:t>挖</w:t>
            </w:r>
            <w:r>
              <w:rPr>
                <w:rFonts w:hint="eastAsia"/>
              </w:rPr>
              <w:t>方用于路基填土</w:t>
            </w:r>
          </w:p>
        </w:tc>
        <w:tc>
          <w:tcPr>
            <w:tcW w:w="1173" w:type="pct"/>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358" w:type="pct"/>
            <w:vMerge w:val="continue"/>
            <w:vAlign w:val="center"/>
          </w:tcPr>
          <w:p>
            <w:pPr>
              <w:pStyle w:val="30"/>
              <w:bidi w:val="0"/>
            </w:pPr>
          </w:p>
        </w:tc>
        <w:tc>
          <w:tcPr>
            <w:tcW w:w="495" w:type="pct"/>
            <w:tcBorders>
              <w:right w:val="single" w:color="auto" w:sz="4" w:space="0"/>
            </w:tcBorders>
            <w:vAlign w:val="center"/>
          </w:tcPr>
          <w:p>
            <w:pPr>
              <w:pStyle w:val="30"/>
              <w:bidi w:val="0"/>
            </w:pPr>
            <w:r>
              <w:t>生活垃圾</w:t>
            </w:r>
          </w:p>
        </w:tc>
        <w:tc>
          <w:tcPr>
            <w:tcW w:w="750" w:type="pct"/>
            <w:tcBorders>
              <w:left w:val="single" w:color="auto" w:sz="4" w:space="0"/>
            </w:tcBorders>
            <w:vAlign w:val="center"/>
          </w:tcPr>
          <w:p>
            <w:pPr>
              <w:pStyle w:val="30"/>
              <w:bidi w:val="0"/>
              <w:rPr>
                <w:rFonts w:hint="eastAsia" w:eastAsia="宋体"/>
                <w:lang w:val="en-US" w:eastAsia="zh-CN"/>
              </w:rPr>
            </w:pPr>
            <w:r>
              <w:rPr>
                <w:rFonts w:hint="eastAsia"/>
                <w:lang w:val="en-US" w:eastAsia="zh-CN"/>
              </w:rPr>
              <w:t>/</w:t>
            </w:r>
          </w:p>
        </w:tc>
        <w:tc>
          <w:tcPr>
            <w:tcW w:w="1018" w:type="pct"/>
            <w:vAlign w:val="center"/>
          </w:tcPr>
          <w:p>
            <w:pPr>
              <w:pStyle w:val="30"/>
              <w:bidi w:val="0"/>
            </w:pPr>
            <w:r>
              <w:rPr>
                <w:rFonts w:hint="eastAsia"/>
              </w:rPr>
              <w:t>16.2t</w:t>
            </w:r>
          </w:p>
        </w:tc>
        <w:tc>
          <w:tcPr>
            <w:tcW w:w="1203" w:type="pct"/>
            <w:vAlign w:val="center"/>
          </w:tcPr>
          <w:p>
            <w:pPr>
              <w:pStyle w:val="30"/>
              <w:bidi w:val="0"/>
              <w:rPr>
                <w:rFonts w:hint="eastAsia" w:ascii="Times New Roman" w:hAnsi="Times New Roman" w:eastAsia="宋体" w:cstheme="minorBidi"/>
                <w:snapToGrid w:val="0"/>
                <w:sz w:val="21"/>
                <w:szCs w:val="24"/>
                <w:lang w:val="en-US" w:eastAsia="zh-CN" w:bidi="ar-SA"/>
              </w:rPr>
            </w:pPr>
            <w:r>
              <w:rPr>
                <w:rFonts w:hint="eastAsia"/>
              </w:rPr>
              <w:t>委托环卫部门统一清运。</w:t>
            </w:r>
          </w:p>
        </w:tc>
        <w:tc>
          <w:tcPr>
            <w:tcW w:w="1173" w:type="pct"/>
            <w:vAlign w:val="center"/>
          </w:tcPr>
          <w:p>
            <w:pPr>
              <w:pStyle w:val="30"/>
              <w:bidi w:val="0"/>
              <w:rPr>
                <w:rFonts w:hint="eastAsia" w:ascii="Times New Roman" w:hAnsi="Times New Roman" w:eastAsia="宋体" w:cstheme="minorBidi"/>
                <w:snapToGrid w:val="0"/>
                <w:sz w:val="21"/>
                <w:szCs w:val="24"/>
                <w:lang w:val="en-US" w:eastAsia="zh-CN" w:bidi="ar-SA"/>
              </w:rPr>
            </w:pPr>
            <w:r>
              <w:rPr>
                <w:rFonts w:hint="eastAsia"/>
                <w:lang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358" w:type="pct"/>
            <w:vMerge w:val="continue"/>
            <w:vAlign w:val="center"/>
          </w:tcPr>
          <w:p>
            <w:pPr>
              <w:pStyle w:val="30"/>
              <w:bidi w:val="0"/>
            </w:pPr>
          </w:p>
        </w:tc>
        <w:tc>
          <w:tcPr>
            <w:tcW w:w="1245" w:type="pct"/>
            <w:gridSpan w:val="2"/>
            <w:vAlign w:val="center"/>
          </w:tcPr>
          <w:p>
            <w:pPr>
              <w:pStyle w:val="30"/>
              <w:bidi w:val="0"/>
              <w:rPr>
                <w:rFonts w:hint="eastAsia" w:eastAsia="宋体"/>
                <w:lang w:val="en-US" w:eastAsia="zh-CN"/>
              </w:rPr>
            </w:pPr>
            <w:r>
              <w:t>沥青渣</w:t>
            </w:r>
          </w:p>
        </w:tc>
        <w:tc>
          <w:tcPr>
            <w:tcW w:w="1018" w:type="pct"/>
            <w:vAlign w:val="center"/>
          </w:tcPr>
          <w:p>
            <w:pPr>
              <w:pStyle w:val="30"/>
              <w:bidi w:val="0"/>
              <w:rPr>
                <w:rFonts w:hint="eastAsia"/>
              </w:rPr>
            </w:pPr>
            <w:r>
              <w:rPr>
                <w:rFonts w:hint="eastAsia"/>
              </w:rPr>
              <w:t>少量</w:t>
            </w:r>
          </w:p>
        </w:tc>
        <w:tc>
          <w:tcPr>
            <w:tcW w:w="1203" w:type="pct"/>
            <w:vAlign w:val="center"/>
          </w:tcPr>
          <w:p>
            <w:pPr>
              <w:pStyle w:val="30"/>
              <w:bidi w:val="0"/>
              <w:rPr>
                <w:rFonts w:hint="eastAsia" w:ascii="Times New Roman" w:hAnsi="Times New Roman" w:eastAsia="宋体" w:cstheme="minorBidi"/>
                <w:snapToGrid w:val="0"/>
                <w:sz w:val="21"/>
                <w:szCs w:val="24"/>
                <w:lang w:val="en-US" w:eastAsia="zh-CN" w:bidi="ar-SA"/>
              </w:rPr>
            </w:pPr>
            <w:r>
              <w:rPr>
                <w:rFonts w:hint="eastAsia"/>
              </w:rPr>
              <w:t>沥青渣由沥青供应单位回收利用。</w:t>
            </w:r>
          </w:p>
        </w:tc>
        <w:tc>
          <w:tcPr>
            <w:tcW w:w="1173" w:type="pct"/>
            <w:vAlign w:val="center"/>
          </w:tcPr>
          <w:p>
            <w:pPr>
              <w:pStyle w:val="30"/>
              <w:bidi w:val="0"/>
              <w:rPr>
                <w:rFonts w:hint="eastAsia" w:ascii="Times New Roman" w:hAnsi="Times New Roman" w:eastAsia="宋体" w:cstheme="minorBidi"/>
                <w:snapToGrid w:val="0"/>
                <w:sz w:val="21"/>
                <w:szCs w:val="24"/>
                <w:lang w:val="en-US" w:eastAsia="zh-CN" w:bidi="ar-SA"/>
              </w:rPr>
            </w:pPr>
            <w:r>
              <w:rPr>
                <w:rFonts w:hint="eastAsia"/>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358" w:type="pct"/>
            <w:vMerge w:val="continue"/>
            <w:vAlign w:val="center"/>
          </w:tcPr>
          <w:p>
            <w:pPr>
              <w:pStyle w:val="30"/>
              <w:bidi w:val="0"/>
            </w:pPr>
          </w:p>
        </w:tc>
        <w:tc>
          <w:tcPr>
            <w:tcW w:w="1245" w:type="pct"/>
            <w:gridSpan w:val="2"/>
            <w:vAlign w:val="center"/>
          </w:tcPr>
          <w:p>
            <w:pPr>
              <w:pStyle w:val="30"/>
              <w:bidi w:val="0"/>
              <w:rPr>
                <w:rFonts w:hint="eastAsia" w:eastAsia="宋体"/>
                <w:lang w:eastAsia="zh-CN"/>
              </w:rPr>
            </w:pPr>
            <w:r>
              <w:rPr>
                <w:rFonts w:hint="eastAsia"/>
                <w:lang w:eastAsia="zh-CN"/>
              </w:rPr>
              <w:t>噪声</w:t>
            </w:r>
          </w:p>
        </w:tc>
        <w:tc>
          <w:tcPr>
            <w:tcW w:w="3396" w:type="pct"/>
            <w:gridSpan w:val="3"/>
            <w:vAlign w:val="center"/>
          </w:tcPr>
          <w:p>
            <w:pPr>
              <w:pStyle w:val="30"/>
              <w:bidi w:val="0"/>
              <w:rPr>
                <w:rFonts w:hint="eastAsia"/>
                <w:lang w:val="en-US" w:eastAsia="zh-CN"/>
              </w:rPr>
            </w:pPr>
            <w:r>
              <w:rPr>
                <w:rFonts w:hint="eastAsia"/>
                <w:lang w:val="en-US" w:eastAsia="zh-CN"/>
              </w:rPr>
              <w:t>施工机械和运输车辆噪声：84dB~92dB</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358" w:type="pct"/>
            <w:vMerge w:val="restart"/>
            <w:vAlign w:val="center"/>
          </w:tcPr>
          <w:p>
            <w:pPr>
              <w:pStyle w:val="30"/>
              <w:bidi w:val="0"/>
              <w:rPr>
                <w:rFonts w:hint="eastAsia" w:eastAsia="宋体"/>
                <w:lang w:eastAsia="zh-CN"/>
              </w:rPr>
            </w:pPr>
            <w:r>
              <w:rPr>
                <w:rFonts w:hint="eastAsia"/>
                <w:lang w:eastAsia="zh-CN"/>
              </w:rPr>
              <w:t>运营期</w:t>
            </w:r>
          </w:p>
        </w:tc>
        <w:tc>
          <w:tcPr>
            <w:tcW w:w="495" w:type="pct"/>
            <w:vMerge w:val="restart"/>
            <w:vAlign w:val="center"/>
          </w:tcPr>
          <w:p>
            <w:pPr>
              <w:pStyle w:val="30"/>
              <w:bidi w:val="0"/>
            </w:pPr>
            <w:r>
              <w:rPr>
                <w:rFonts w:hint="eastAsia"/>
              </w:rPr>
              <w:t>汽车尾气</w:t>
            </w:r>
          </w:p>
        </w:tc>
        <w:tc>
          <w:tcPr>
            <w:tcW w:w="750" w:type="pct"/>
            <w:vAlign w:val="center"/>
          </w:tcPr>
          <w:p>
            <w:pPr>
              <w:pStyle w:val="30"/>
              <w:bidi w:val="0"/>
              <w:rPr>
                <w:rFonts w:hint="eastAsia" w:eastAsia="宋体"/>
                <w:lang w:eastAsia="zh-CN"/>
              </w:rPr>
            </w:pPr>
            <w:r>
              <w:rPr>
                <w:rFonts w:hint="eastAsia"/>
                <w:lang w:eastAsia="zh-CN"/>
              </w:rPr>
              <w:t>NO</w:t>
            </w:r>
            <w:r>
              <w:rPr>
                <w:rFonts w:hint="eastAsia"/>
                <w:vertAlign w:val="subscript"/>
                <w:lang w:eastAsia="zh-CN"/>
              </w:rPr>
              <w:t>2</w:t>
            </w:r>
          </w:p>
        </w:tc>
        <w:tc>
          <w:tcPr>
            <w:tcW w:w="1018" w:type="pct"/>
            <w:vAlign w:val="center"/>
          </w:tcPr>
          <w:p>
            <w:pPr>
              <w:pStyle w:val="30"/>
              <w:bidi w:val="0"/>
            </w:pPr>
            <w:r>
              <w:rPr>
                <w:rFonts w:hint="eastAsia"/>
              </w:rPr>
              <w:t>近期：0.187kg/h</w:t>
            </w:r>
          </w:p>
          <w:p>
            <w:pPr>
              <w:pStyle w:val="30"/>
              <w:bidi w:val="0"/>
            </w:pPr>
            <w:r>
              <w:rPr>
                <w:rFonts w:hint="eastAsia"/>
              </w:rPr>
              <w:t>中期：0.19kg/h</w:t>
            </w:r>
          </w:p>
          <w:p>
            <w:pPr>
              <w:pStyle w:val="30"/>
              <w:bidi w:val="0"/>
            </w:pPr>
            <w:r>
              <w:rPr>
                <w:rFonts w:hint="eastAsia"/>
              </w:rPr>
              <w:t>远期：0.21kg/h</w:t>
            </w:r>
          </w:p>
        </w:tc>
        <w:tc>
          <w:tcPr>
            <w:tcW w:w="1203" w:type="pct"/>
            <w:vMerge w:val="restart"/>
            <w:vAlign w:val="center"/>
          </w:tcPr>
          <w:p>
            <w:pPr>
              <w:pStyle w:val="30"/>
              <w:bidi w:val="0"/>
              <w:rPr>
                <w:lang w:val="en-US" w:eastAsia="zh-CN"/>
              </w:rPr>
            </w:pPr>
            <w:r>
              <w:rPr>
                <w:rFonts w:hint="eastAsia"/>
              </w:rPr>
              <w:t>加强</w:t>
            </w:r>
            <w:r>
              <w:t>道路两侧绿化</w:t>
            </w:r>
          </w:p>
        </w:tc>
        <w:tc>
          <w:tcPr>
            <w:tcW w:w="1173" w:type="pct"/>
            <w:vAlign w:val="center"/>
          </w:tcPr>
          <w:p>
            <w:pPr>
              <w:pStyle w:val="30"/>
              <w:bidi w:val="0"/>
            </w:pPr>
            <w:r>
              <w:rPr>
                <w:rFonts w:hint="eastAsia"/>
              </w:rPr>
              <w:t>近期：0.187kg/h</w:t>
            </w:r>
          </w:p>
          <w:p>
            <w:pPr>
              <w:pStyle w:val="30"/>
              <w:bidi w:val="0"/>
            </w:pPr>
            <w:r>
              <w:rPr>
                <w:rFonts w:hint="eastAsia"/>
              </w:rPr>
              <w:t>中期：0.19kg/h</w:t>
            </w:r>
          </w:p>
          <w:p>
            <w:pPr>
              <w:pStyle w:val="30"/>
              <w:bidi w:val="0"/>
              <w:rPr>
                <w:rFonts w:hint="eastAsia" w:ascii="Times New Roman" w:hAnsi="Times New Roman" w:eastAsia="宋体" w:cstheme="minorBidi"/>
                <w:snapToGrid w:val="0"/>
                <w:sz w:val="21"/>
                <w:szCs w:val="24"/>
                <w:lang w:val="en-US" w:eastAsia="zh-CN" w:bidi="ar-SA"/>
              </w:rPr>
            </w:pPr>
            <w:r>
              <w:rPr>
                <w:rFonts w:hint="eastAsia"/>
              </w:rPr>
              <w:t>远期：0.21kg/h</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358" w:type="pct"/>
            <w:vMerge w:val="continue"/>
            <w:vAlign w:val="center"/>
          </w:tcPr>
          <w:p>
            <w:pPr>
              <w:pStyle w:val="30"/>
              <w:bidi w:val="0"/>
            </w:pPr>
          </w:p>
        </w:tc>
        <w:tc>
          <w:tcPr>
            <w:tcW w:w="495" w:type="pct"/>
            <w:vMerge w:val="continue"/>
            <w:vAlign w:val="center"/>
          </w:tcPr>
          <w:p>
            <w:pPr>
              <w:pStyle w:val="30"/>
              <w:bidi w:val="0"/>
            </w:pPr>
          </w:p>
        </w:tc>
        <w:tc>
          <w:tcPr>
            <w:tcW w:w="750" w:type="pct"/>
            <w:vAlign w:val="center"/>
          </w:tcPr>
          <w:p>
            <w:pPr>
              <w:pStyle w:val="30"/>
              <w:bidi w:val="0"/>
            </w:pPr>
            <w:r>
              <w:rPr>
                <w:rFonts w:hint="eastAsia"/>
              </w:rPr>
              <w:t>CO</w:t>
            </w:r>
          </w:p>
        </w:tc>
        <w:tc>
          <w:tcPr>
            <w:tcW w:w="1018" w:type="pct"/>
            <w:vAlign w:val="center"/>
          </w:tcPr>
          <w:p>
            <w:pPr>
              <w:pStyle w:val="30"/>
              <w:bidi w:val="0"/>
            </w:pPr>
            <w:r>
              <w:rPr>
                <w:rFonts w:hint="eastAsia"/>
              </w:rPr>
              <w:t>近期：5.14kg/h</w:t>
            </w:r>
          </w:p>
          <w:p>
            <w:pPr>
              <w:pStyle w:val="30"/>
              <w:bidi w:val="0"/>
            </w:pPr>
            <w:r>
              <w:rPr>
                <w:rFonts w:hint="eastAsia"/>
              </w:rPr>
              <w:t>中期：5.26kg/h</w:t>
            </w:r>
          </w:p>
          <w:p>
            <w:pPr>
              <w:pStyle w:val="30"/>
              <w:bidi w:val="0"/>
            </w:pPr>
            <w:r>
              <w:rPr>
                <w:rFonts w:hint="eastAsia"/>
              </w:rPr>
              <w:t>远期：5.75kg/h</w:t>
            </w:r>
          </w:p>
        </w:tc>
        <w:tc>
          <w:tcPr>
            <w:tcW w:w="1203" w:type="pct"/>
            <w:vMerge w:val="continue"/>
            <w:vAlign w:val="center"/>
          </w:tcPr>
          <w:p>
            <w:pPr>
              <w:snapToGrid w:val="0"/>
              <w:ind w:firstLine="480" w:firstLineChars="200"/>
              <w:jc w:val="center"/>
              <w:rPr>
                <w:rFonts w:ascii="Times New Roman" w:hAnsi="Times New Roman" w:eastAsia="宋体" w:cs="Times New Roman"/>
                <w:kern w:val="2"/>
                <w:sz w:val="24"/>
                <w:szCs w:val="21"/>
                <w:lang w:val="en-US" w:eastAsia="zh-CN" w:bidi="ar-SA"/>
              </w:rPr>
            </w:pPr>
          </w:p>
        </w:tc>
        <w:tc>
          <w:tcPr>
            <w:tcW w:w="1173" w:type="pct"/>
            <w:vAlign w:val="center"/>
          </w:tcPr>
          <w:p>
            <w:pPr>
              <w:pStyle w:val="30"/>
              <w:bidi w:val="0"/>
            </w:pPr>
            <w:r>
              <w:rPr>
                <w:rFonts w:hint="eastAsia"/>
              </w:rPr>
              <w:t>近期：5.14kg/h</w:t>
            </w:r>
          </w:p>
          <w:p>
            <w:pPr>
              <w:pStyle w:val="30"/>
              <w:bidi w:val="0"/>
            </w:pPr>
            <w:r>
              <w:rPr>
                <w:rFonts w:hint="eastAsia"/>
              </w:rPr>
              <w:t>中期：5.26kg/h</w:t>
            </w:r>
          </w:p>
          <w:p>
            <w:pPr>
              <w:pStyle w:val="30"/>
              <w:bidi w:val="0"/>
              <w:rPr>
                <w:rFonts w:hint="eastAsia" w:ascii="Times New Roman" w:hAnsi="Times New Roman" w:eastAsia="宋体" w:cstheme="minorBidi"/>
                <w:snapToGrid w:val="0"/>
                <w:sz w:val="21"/>
                <w:szCs w:val="24"/>
                <w:lang w:val="en-US" w:eastAsia="zh-CN" w:bidi="ar-SA"/>
              </w:rPr>
            </w:pPr>
            <w:r>
              <w:rPr>
                <w:rFonts w:hint="eastAsia"/>
              </w:rPr>
              <w:t>远期：5.75kg/h</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jc w:val="center"/>
        </w:trPr>
        <w:tc>
          <w:tcPr>
            <w:tcW w:w="358" w:type="pct"/>
            <w:vMerge w:val="continue"/>
            <w:vAlign w:val="center"/>
          </w:tcPr>
          <w:p>
            <w:pPr>
              <w:pStyle w:val="30"/>
              <w:bidi w:val="0"/>
            </w:pPr>
          </w:p>
        </w:tc>
        <w:tc>
          <w:tcPr>
            <w:tcW w:w="495" w:type="pct"/>
            <w:vMerge w:val="restart"/>
            <w:vAlign w:val="center"/>
          </w:tcPr>
          <w:p>
            <w:pPr>
              <w:pStyle w:val="30"/>
              <w:bidi w:val="0"/>
            </w:pPr>
            <w:r>
              <w:t>生活污水</w:t>
            </w:r>
          </w:p>
        </w:tc>
        <w:tc>
          <w:tcPr>
            <w:tcW w:w="750" w:type="pct"/>
            <w:vAlign w:val="center"/>
          </w:tcPr>
          <w:p>
            <w:pPr>
              <w:pStyle w:val="30"/>
              <w:bidi w:val="0"/>
            </w:pPr>
            <w:r>
              <w:t>废水量</w:t>
            </w:r>
          </w:p>
        </w:tc>
        <w:tc>
          <w:tcPr>
            <w:tcW w:w="1018" w:type="pct"/>
            <w:vAlign w:val="center"/>
          </w:tcPr>
          <w:p>
            <w:pPr>
              <w:pStyle w:val="30"/>
              <w:bidi w:val="0"/>
            </w:pPr>
            <w:r>
              <w:t>140.86t/d</w:t>
            </w:r>
          </w:p>
        </w:tc>
        <w:tc>
          <w:tcPr>
            <w:tcW w:w="1203" w:type="pct"/>
            <w:vMerge w:val="restart"/>
            <w:vAlign w:val="center"/>
          </w:tcPr>
          <w:p>
            <w:pPr>
              <w:pStyle w:val="30"/>
              <w:bidi w:val="0"/>
            </w:pPr>
            <w:r>
              <w:rPr>
                <w:rFonts w:hint="eastAsia"/>
              </w:rPr>
              <w:t>6套不小于23</w:t>
            </w:r>
            <w:r>
              <w:rPr>
                <w:rFonts w:hint="eastAsia"/>
                <w:lang w:eastAsia="zh-CN"/>
              </w:rPr>
              <w:t>m</w:t>
            </w:r>
            <w:r>
              <w:rPr>
                <w:rFonts w:hint="eastAsia"/>
                <w:vertAlign w:val="superscript"/>
                <w:lang w:eastAsia="zh-CN"/>
              </w:rPr>
              <w:t>3</w:t>
            </w:r>
            <w:r>
              <w:rPr>
                <w:rFonts w:hint="eastAsia"/>
              </w:rPr>
              <w:t>的化粪池，并全线配套建设污水管网，同时将污水管网接入柳毅路市政污水管网。</w:t>
            </w:r>
          </w:p>
        </w:tc>
        <w:tc>
          <w:tcPr>
            <w:tcW w:w="1173" w:type="pct"/>
            <w:vMerge w:val="restart"/>
            <w:vAlign w:val="center"/>
          </w:tcPr>
          <w:p>
            <w:pPr>
              <w:pStyle w:val="30"/>
              <w:bidi w:val="0"/>
              <w:rPr>
                <w:rFonts w:ascii="Times New Roman" w:hAnsi="Times New Roman" w:eastAsia="宋体" w:cstheme="minorBidi"/>
                <w:snapToGrid w:val="0"/>
                <w:sz w:val="21"/>
                <w:szCs w:val="24"/>
                <w:lang w:val="en-US" w:eastAsia="zh-CN" w:bidi="ar-SA"/>
              </w:rPr>
            </w:pPr>
            <w:r>
              <w:t>经化粪池处理达</w:t>
            </w:r>
            <w:r>
              <w:rPr>
                <w:rFonts w:hint="eastAsia"/>
              </w:rPr>
              <w:t>《污水综合排放标准》（GB8978-1996）三级标准后，</w:t>
            </w:r>
            <w:r>
              <w:t>运至或者排至</w:t>
            </w:r>
            <w:r>
              <w:rPr>
                <w:rFonts w:hint="eastAsia"/>
              </w:rPr>
              <w:t>君山区第二污水处理厂处理。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jc w:val="center"/>
        </w:trPr>
        <w:tc>
          <w:tcPr>
            <w:tcW w:w="358" w:type="pct"/>
            <w:vMerge w:val="continue"/>
            <w:vAlign w:val="center"/>
          </w:tcPr>
          <w:p>
            <w:pPr>
              <w:pStyle w:val="30"/>
              <w:bidi w:val="0"/>
            </w:pPr>
          </w:p>
        </w:tc>
        <w:tc>
          <w:tcPr>
            <w:tcW w:w="495" w:type="pct"/>
            <w:vMerge w:val="continue"/>
            <w:vAlign w:val="center"/>
          </w:tcPr>
          <w:p>
            <w:pPr>
              <w:pStyle w:val="30"/>
              <w:bidi w:val="0"/>
            </w:pPr>
          </w:p>
        </w:tc>
        <w:tc>
          <w:tcPr>
            <w:tcW w:w="750" w:type="pct"/>
            <w:vAlign w:val="center"/>
          </w:tcPr>
          <w:p>
            <w:pPr>
              <w:pStyle w:val="30"/>
              <w:bidi w:val="0"/>
            </w:pPr>
            <w:r>
              <w:t>COD</w:t>
            </w:r>
          </w:p>
        </w:tc>
        <w:tc>
          <w:tcPr>
            <w:tcW w:w="1018" w:type="pct"/>
            <w:vAlign w:val="center"/>
          </w:tcPr>
          <w:p>
            <w:pPr>
              <w:pStyle w:val="30"/>
              <w:bidi w:val="0"/>
            </w:pPr>
            <w:r>
              <w:t>250 mg /L</w:t>
            </w:r>
            <w:r>
              <w:rPr>
                <w:rFonts w:hint="eastAsia"/>
              </w:rPr>
              <w:t>、0.036t</w:t>
            </w:r>
          </w:p>
        </w:tc>
        <w:tc>
          <w:tcPr>
            <w:tcW w:w="1203" w:type="pct"/>
            <w:vMerge w:val="continue"/>
            <w:vAlign w:val="center"/>
          </w:tcPr>
          <w:p>
            <w:pPr>
              <w:snapToGrid w:val="0"/>
              <w:ind w:firstLine="480" w:firstLineChars="200"/>
              <w:jc w:val="center"/>
              <w:rPr>
                <w:rFonts w:ascii="Times New Roman" w:hAnsi="Times New Roman" w:eastAsia="宋体" w:cs="Times New Roman"/>
                <w:kern w:val="2"/>
                <w:sz w:val="24"/>
                <w:szCs w:val="21"/>
                <w:lang w:val="en-US" w:eastAsia="zh-CN" w:bidi="ar-SA"/>
              </w:rPr>
            </w:pPr>
          </w:p>
        </w:tc>
        <w:tc>
          <w:tcPr>
            <w:tcW w:w="1173" w:type="pct"/>
            <w:vMerge w:val="continue"/>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jc w:val="center"/>
        </w:trPr>
        <w:tc>
          <w:tcPr>
            <w:tcW w:w="358" w:type="pct"/>
            <w:vMerge w:val="continue"/>
            <w:vAlign w:val="center"/>
          </w:tcPr>
          <w:p>
            <w:pPr>
              <w:pStyle w:val="30"/>
              <w:bidi w:val="0"/>
            </w:pPr>
          </w:p>
        </w:tc>
        <w:tc>
          <w:tcPr>
            <w:tcW w:w="495" w:type="pct"/>
            <w:vMerge w:val="continue"/>
            <w:vAlign w:val="center"/>
          </w:tcPr>
          <w:p>
            <w:pPr>
              <w:pStyle w:val="30"/>
              <w:bidi w:val="0"/>
            </w:pPr>
          </w:p>
        </w:tc>
        <w:tc>
          <w:tcPr>
            <w:tcW w:w="750" w:type="pct"/>
            <w:vAlign w:val="center"/>
          </w:tcPr>
          <w:p>
            <w:pPr>
              <w:pStyle w:val="30"/>
              <w:bidi w:val="0"/>
              <w:rPr>
                <w:rFonts w:hint="eastAsia" w:eastAsia="宋体"/>
                <w:lang w:eastAsia="zh-CN"/>
              </w:rPr>
            </w:pPr>
            <w:r>
              <w:rPr>
                <w:rFonts w:hint="eastAsia"/>
                <w:lang w:eastAsia="zh-CN"/>
              </w:rPr>
              <w:t>BOD</w:t>
            </w:r>
            <w:r>
              <w:rPr>
                <w:rFonts w:hint="eastAsia"/>
                <w:vertAlign w:val="subscript"/>
                <w:lang w:eastAsia="zh-CN"/>
              </w:rPr>
              <w:t>5</w:t>
            </w:r>
          </w:p>
        </w:tc>
        <w:tc>
          <w:tcPr>
            <w:tcW w:w="1018" w:type="pct"/>
            <w:vAlign w:val="center"/>
          </w:tcPr>
          <w:p>
            <w:pPr>
              <w:pStyle w:val="30"/>
              <w:bidi w:val="0"/>
            </w:pPr>
            <w:r>
              <w:t>150 mg/ L</w:t>
            </w:r>
            <w:r>
              <w:rPr>
                <w:rFonts w:hint="eastAsia"/>
              </w:rPr>
              <w:t>、0.022t</w:t>
            </w:r>
          </w:p>
        </w:tc>
        <w:tc>
          <w:tcPr>
            <w:tcW w:w="1203" w:type="pct"/>
            <w:vMerge w:val="continue"/>
            <w:vAlign w:val="center"/>
          </w:tcPr>
          <w:p>
            <w:pPr>
              <w:pStyle w:val="30"/>
              <w:bidi w:val="0"/>
            </w:pPr>
          </w:p>
        </w:tc>
        <w:tc>
          <w:tcPr>
            <w:tcW w:w="1173" w:type="pct"/>
            <w:vMerge w:val="continue"/>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jc w:val="center"/>
        </w:trPr>
        <w:tc>
          <w:tcPr>
            <w:tcW w:w="358" w:type="pct"/>
            <w:vMerge w:val="continue"/>
            <w:vAlign w:val="center"/>
          </w:tcPr>
          <w:p>
            <w:pPr>
              <w:pStyle w:val="30"/>
              <w:bidi w:val="0"/>
            </w:pPr>
          </w:p>
        </w:tc>
        <w:tc>
          <w:tcPr>
            <w:tcW w:w="495" w:type="pct"/>
            <w:vMerge w:val="continue"/>
            <w:vAlign w:val="center"/>
          </w:tcPr>
          <w:p>
            <w:pPr>
              <w:pStyle w:val="30"/>
              <w:bidi w:val="0"/>
            </w:pPr>
          </w:p>
        </w:tc>
        <w:tc>
          <w:tcPr>
            <w:tcW w:w="750" w:type="pct"/>
            <w:vAlign w:val="center"/>
          </w:tcPr>
          <w:p>
            <w:pPr>
              <w:pStyle w:val="30"/>
              <w:bidi w:val="0"/>
            </w:pPr>
            <w:r>
              <w:t>SS</w:t>
            </w:r>
          </w:p>
        </w:tc>
        <w:tc>
          <w:tcPr>
            <w:tcW w:w="1018" w:type="pct"/>
            <w:vAlign w:val="center"/>
          </w:tcPr>
          <w:p>
            <w:pPr>
              <w:pStyle w:val="30"/>
              <w:bidi w:val="0"/>
            </w:pPr>
            <w:r>
              <w:rPr>
                <w:rFonts w:hint="eastAsia"/>
              </w:rPr>
              <w:t>20</w:t>
            </w:r>
            <w:r>
              <w:t>0mg/L、</w:t>
            </w:r>
            <w:r>
              <w:rPr>
                <w:rFonts w:hint="eastAsia"/>
              </w:rPr>
              <w:t>0.029</w:t>
            </w:r>
            <w:r>
              <w:t>t</w:t>
            </w:r>
          </w:p>
        </w:tc>
        <w:tc>
          <w:tcPr>
            <w:tcW w:w="1203" w:type="pct"/>
            <w:vMerge w:val="continue"/>
            <w:vAlign w:val="center"/>
          </w:tcPr>
          <w:p>
            <w:pPr>
              <w:pStyle w:val="30"/>
              <w:bidi w:val="0"/>
            </w:pPr>
          </w:p>
        </w:tc>
        <w:tc>
          <w:tcPr>
            <w:tcW w:w="1173" w:type="pct"/>
            <w:vMerge w:val="continue"/>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jc w:val="center"/>
        </w:trPr>
        <w:tc>
          <w:tcPr>
            <w:tcW w:w="358" w:type="pct"/>
            <w:vMerge w:val="continue"/>
            <w:vAlign w:val="center"/>
          </w:tcPr>
          <w:p>
            <w:pPr>
              <w:pStyle w:val="30"/>
              <w:bidi w:val="0"/>
            </w:pPr>
          </w:p>
        </w:tc>
        <w:tc>
          <w:tcPr>
            <w:tcW w:w="495" w:type="pct"/>
            <w:vMerge w:val="continue"/>
            <w:vAlign w:val="center"/>
          </w:tcPr>
          <w:p>
            <w:pPr>
              <w:pStyle w:val="30"/>
              <w:bidi w:val="0"/>
            </w:pPr>
          </w:p>
        </w:tc>
        <w:tc>
          <w:tcPr>
            <w:tcW w:w="750" w:type="pct"/>
            <w:vAlign w:val="center"/>
          </w:tcPr>
          <w:p>
            <w:pPr>
              <w:pStyle w:val="30"/>
              <w:bidi w:val="0"/>
            </w:pPr>
            <w:r>
              <w:rPr>
                <w:rFonts w:hint="eastAsia"/>
                <w:lang w:eastAsia="zh-CN"/>
              </w:rPr>
              <w:t>NH</w:t>
            </w:r>
            <w:r>
              <w:rPr>
                <w:rFonts w:hint="eastAsia"/>
                <w:vertAlign w:val="subscript"/>
                <w:lang w:eastAsia="zh-CN"/>
              </w:rPr>
              <w:t>3</w:t>
            </w:r>
            <w:r>
              <w:t>-N</w:t>
            </w:r>
          </w:p>
        </w:tc>
        <w:tc>
          <w:tcPr>
            <w:tcW w:w="1018" w:type="pct"/>
            <w:vAlign w:val="center"/>
          </w:tcPr>
          <w:p>
            <w:pPr>
              <w:pStyle w:val="30"/>
              <w:bidi w:val="0"/>
            </w:pPr>
            <w:r>
              <w:t>25 mg/L、</w:t>
            </w:r>
            <w:r>
              <w:rPr>
                <w:rFonts w:hint="eastAsia"/>
              </w:rPr>
              <w:t>0.0036t</w:t>
            </w:r>
          </w:p>
        </w:tc>
        <w:tc>
          <w:tcPr>
            <w:tcW w:w="1203" w:type="pct"/>
            <w:vMerge w:val="continue"/>
            <w:vAlign w:val="center"/>
          </w:tcPr>
          <w:p>
            <w:pPr>
              <w:pStyle w:val="30"/>
              <w:bidi w:val="0"/>
            </w:pPr>
          </w:p>
        </w:tc>
        <w:tc>
          <w:tcPr>
            <w:tcW w:w="1173" w:type="pct"/>
            <w:vMerge w:val="continue"/>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jc w:val="center"/>
        </w:trPr>
        <w:tc>
          <w:tcPr>
            <w:tcW w:w="358" w:type="pct"/>
            <w:vMerge w:val="continue"/>
            <w:vAlign w:val="center"/>
          </w:tcPr>
          <w:p>
            <w:pPr>
              <w:pStyle w:val="30"/>
              <w:bidi w:val="0"/>
            </w:pPr>
          </w:p>
        </w:tc>
        <w:tc>
          <w:tcPr>
            <w:tcW w:w="495" w:type="pct"/>
            <w:vMerge w:val="continue"/>
            <w:vAlign w:val="center"/>
          </w:tcPr>
          <w:p>
            <w:pPr>
              <w:pStyle w:val="30"/>
              <w:bidi w:val="0"/>
            </w:pPr>
          </w:p>
        </w:tc>
        <w:tc>
          <w:tcPr>
            <w:tcW w:w="750" w:type="pct"/>
            <w:vAlign w:val="center"/>
          </w:tcPr>
          <w:p>
            <w:pPr>
              <w:pStyle w:val="30"/>
              <w:bidi w:val="0"/>
            </w:pPr>
            <w:r>
              <w:t>动植物油</w:t>
            </w:r>
          </w:p>
        </w:tc>
        <w:tc>
          <w:tcPr>
            <w:tcW w:w="1018" w:type="pct"/>
            <w:vAlign w:val="center"/>
          </w:tcPr>
          <w:p>
            <w:pPr>
              <w:pStyle w:val="30"/>
              <w:bidi w:val="0"/>
            </w:pPr>
            <w:r>
              <w:rPr>
                <w:rFonts w:hint="eastAsia"/>
              </w:rPr>
              <w:t>2</w:t>
            </w:r>
            <w:r>
              <w:t>0mg/L、</w:t>
            </w:r>
            <w:r>
              <w:rPr>
                <w:rFonts w:hint="eastAsia"/>
              </w:rPr>
              <w:t>0.0029t</w:t>
            </w:r>
          </w:p>
        </w:tc>
        <w:tc>
          <w:tcPr>
            <w:tcW w:w="1203" w:type="pct"/>
            <w:vMerge w:val="continue"/>
            <w:vAlign w:val="center"/>
          </w:tcPr>
          <w:p>
            <w:pPr>
              <w:pStyle w:val="30"/>
              <w:bidi w:val="0"/>
            </w:pPr>
          </w:p>
        </w:tc>
        <w:tc>
          <w:tcPr>
            <w:tcW w:w="1173" w:type="pct"/>
            <w:vMerge w:val="continue"/>
            <w:vAlign w:val="center"/>
          </w:tcPr>
          <w:p>
            <w:pPr>
              <w:pStyle w:val="30"/>
              <w:bidi w:val="0"/>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jc w:val="center"/>
        </w:trPr>
        <w:tc>
          <w:tcPr>
            <w:tcW w:w="358" w:type="pct"/>
            <w:vMerge w:val="continue"/>
            <w:vAlign w:val="center"/>
          </w:tcPr>
          <w:p>
            <w:pPr>
              <w:pStyle w:val="30"/>
              <w:bidi w:val="0"/>
              <w:rPr>
                <w:rFonts w:hint="eastAsia"/>
              </w:rPr>
            </w:pPr>
          </w:p>
        </w:tc>
        <w:tc>
          <w:tcPr>
            <w:tcW w:w="495" w:type="pct"/>
            <w:vAlign w:val="center"/>
          </w:tcPr>
          <w:p>
            <w:pPr>
              <w:pStyle w:val="30"/>
              <w:bidi w:val="0"/>
            </w:pPr>
            <w:r>
              <w:rPr>
                <w:rFonts w:hint="eastAsia"/>
              </w:rPr>
              <w:t>路面</w:t>
            </w:r>
            <w:r>
              <w:t>径流</w:t>
            </w:r>
          </w:p>
        </w:tc>
        <w:tc>
          <w:tcPr>
            <w:tcW w:w="750" w:type="pct"/>
            <w:vAlign w:val="center"/>
          </w:tcPr>
          <w:p>
            <w:pPr>
              <w:pStyle w:val="30"/>
              <w:bidi w:val="0"/>
            </w:pPr>
            <w:r>
              <w:rPr>
                <w:rFonts w:hint="eastAsia"/>
              </w:rPr>
              <w:t>石油类、有机物、悬浮物</w:t>
            </w:r>
          </w:p>
        </w:tc>
        <w:tc>
          <w:tcPr>
            <w:tcW w:w="1018" w:type="pct"/>
            <w:vAlign w:val="center"/>
          </w:tcPr>
          <w:p>
            <w:pPr>
              <w:pStyle w:val="30"/>
              <w:bidi w:val="0"/>
            </w:pPr>
            <w:r>
              <w:t>少量</w:t>
            </w:r>
          </w:p>
        </w:tc>
        <w:tc>
          <w:tcPr>
            <w:tcW w:w="1203" w:type="pct"/>
            <w:vAlign w:val="center"/>
          </w:tcPr>
          <w:p>
            <w:pPr>
              <w:pStyle w:val="30"/>
              <w:bidi w:val="0"/>
            </w:pPr>
            <w:r>
              <w:rPr>
                <w:rFonts w:hint="eastAsia"/>
                <w:szCs w:val="21"/>
              </w:rPr>
              <w:t>建设雨水管、沟，排入道路右侧水体或水闸，无法建设雨水管沟的部分路段采取道路整体往右侧放坡（东高西低）</w:t>
            </w:r>
          </w:p>
        </w:tc>
        <w:tc>
          <w:tcPr>
            <w:tcW w:w="1173" w:type="pct"/>
            <w:vAlign w:val="center"/>
          </w:tcPr>
          <w:p>
            <w:pPr>
              <w:pStyle w:val="30"/>
              <w:bidi w:val="0"/>
              <w:rPr>
                <w:rFonts w:ascii="Times New Roman" w:hAnsi="Times New Roman" w:eastAsia="宋体" w:cstheme="minorBidi"/>
                <w:snapToGrid w:val="0"/>
                <w:sz w:val="21"/>
                <w:szCs w:val="24"/>
                <w:lang w:val="en-US" w:eastAsia="zh-CN" w:bidi="ar-SA"/>
              </w:rPr>
            </w:pPr>
            <w:r>
              <w:t>少量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58" w:type="pct"/>
            <w:vMerge w:val="continue"/>
            <w:vAlign w:val="center"/>
          </w:tcPr>
          <w:p>
            <w:pPr>
              <w:pStyle w:val="30"/>
              <w:bidi w:val="0"/>
              <w:rPr>
                <w:rFonts w:hint="eastAsia"/>
              </w:rPr>
            </w:pPr>
          </w:p>
        </w:tc>
        <w:tc>
          <w:tcPr>
            <w:tcW w:w="495" w:type="pct"/>
            <w:vAlign w:val="center"/>
          </w:tcPr>
          <w:p>
            <w:pPr>
              <w:pStyle w:val="30"/>
              <w:bidi w:val="0"/>
            </w:pPr>
            <w:r>
              <w:rPr>
                <w:rFonts w:hint="eastAsia"/>
              </w:rPr>
              <w:t>过往行人及驾乘人员</w:t>
            </w:r>
          </w:p>
        </w:tc>
        <w:tc>
          <w:tcPr>
            <w:tcW w:w="750" w:type="pct"/>
            <w:vAlign w:val="center"/>
          </w:tcPr>
          <w:p>
            <w:pPr>
              <w:pStyle w:val="30"/>
              <w:bidi w:val="0"/>
            </w:pPr>
            <w:r>
              <w:rPr>
                <w:rFonts w:hint="eastAsia"/>
              </w:rPr>
              <w:t>路面垃圾</w:t>
            </w:r>
          </w:p>
        </w:tc>
        <w:tc>
          <w:tcPr>
            <w:tcW w:w="1018" w:type="pct"/>
            <w:vAlign w:val="center"/>
          </w:tcPr>
          <w:p>
            <w:pPr>
              <w:pStyle w:val="30"/>
              <w:bidi w:val="0"/>
            </w:pPr>
            <w:r>
              <w:rPr>
                <w:rFonts w:hint="eastAsia"/>
              </w:rPr>
              <w:t>少量</w:t>
            </w:r>
          </w:p>
        </w:tc>
        <w:tc>
          <w:tcPr>
            <w:tcW w:w="1203" w:type="pct"/>
            <w:vAlign w:val="center"/>
          </w:tcPr>
          <w:p>
            <w:pPr>
              <w:pStyle w:val="30"/>
              <w:bidi w:val="0"/>
            </w:pPr>
            <w:r>
              <w:rPr>
                <w:rFonts w:hint="eastAsia"/>
                <w:szCs w:val="21"/>
              </w:rPr>
              <w:t>由城市环卫部门及时进行清理</w:t>
            </w:r>
          </w:p>
        </w:tc>
        <w:tc>
          <w:tcPr>
            <w:tcW w:w="1173" w:type="pct"/>
            <w:vAlign w:val="center"/>
          </w:tcPr>
          <w:p>
            <w:pPr>
              <w:pStyle w:val="30"/>
              <w:bidi w:val="0"/>
              <w:rPr>
                <w:rFonts w:ascii="Times New Roman" w:hAnsi="Times New Roman" w:eastAsia="宋体" w:cstheme="minorBidi"/>
                <w:snapToGrid w:val="0"/>
                <w:sz w:val="21"/>
                <w:szCs w:val="24"/>
                <w:lang w:val="en-US" w:eastAsia="zh-CN" w:bidi="ar-SA"/>
              </w:rPr>
            </w:pPr>
            <w:r>
              <w:t>少量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1" w:hRule="atLeast"/>
          <w:jc w:val="center"/>
        </w:trPr>
        <w:tc>
          <w:tcPr>
            <w:tcW w:w="358" w:type="pct"/>
            <w:vMerge w:val="continue"/>
            <w:vAlign w:val="center"/>
          </w:tcPr>
          <w:p>
            <w:pPr>
              <w:pStyle w:val="30"/>
              <w:bidi w:val="0"/>
              <w:rPr>
                <w:rFonts w:hint="eastAsia"/>
              </w:rPr>
            </w:pPr>
          </w:p>
        </w:tc>
        <w:tc>
          <w:tcPr>
            <w:tcW w:w="495" w:type="pct"/>
            <w:vAlign w:val="center"/>
          </w:tcPr>
          <w:p>
            <w:pPr>
              <w:pStyle w:val="30"/>
              <w:bidi w:val="0"/>
            </w:pPr>
            <w:r>
              <w:rPr>
                <w:rFonts w:hint="eastAsia"/>
              </w:rPr>
              <w:t>过往车辆</w:t>
            </w:r>
          </w:p>
        </w:tc>
        <w:tc>
          <w:tcPr>
            <w:tcW w:w="750" w:type="pct"/>
            <w:vAlign w:val="center"/>
          </w:tcPr>
          <w:p>
            <w:pPr>
              <w:pStyle w:val="30"/>
              <w:bidi w:val="0"/>
            </w:pPr>
            <w:r>
              <w:rPr>
                <w:rFonts w:hint="eastAsia"/>
              </w:rPr>
              <w:t>交通噪声</w:t>
            </w:r>
          </w:p>
        </w:tc>
        <w:tc>
          <w:tcPr>
            <w:tcW w:w="1018" w:type="pct"/>
            <w:vAlign w:val="center"/>
          </w:tcPr>
          <w:p>
            <w:pPr>
              <w:pStyle w:val="30"/>
              <w:bidi w:val="0"/>
            </w:pPr>
            <w:r>
              <w:rPr>
                <w:rFonts w:hint="eastAsia"/>
              </w:rPr>
              <w:t>小型车：68.2dB（A）</w:t>
            </w:r>
          </w:p>
          <w:p>
            <w:pPr>
              <w:pStyle w:val="30"/>
              <w:bidi w:val="0"/>
            </w:pPr>
            <w:r>
              <w:rPr>
                <w:rFonts w:hint="eastAsia"/>
              </w:rPr>
              <w:t>中型车：73.7dB（A）</w:t>
            </w:r>
          </w:p>
          <w:p>
            <w:pPr>
              <w:pStyle w:val="30"/>
              <w:bidi w:val="0"/>
            </w:pPr>
            <w:r>
              <w:rPr>
                <w:rFonts w:hint="eastAsia"/>
              </w:rPr>
              <w:t>大型车：80.2dB（A）</w:t>
            </w:r>
          </w:p>
        </w:tc>
        <w:tc>
          <w:tcPr>
            <w:tcW w:w="1203" w:type="pct"/>
            <w:vAlign w:val="center"/>
          </w:tcPr>
          <w:p>
            <w:pPr>
              <w:pStyle w:val="30"/>
              <w:bidi w:val="0"/>
            </w:pPr>
            <w:r>
              <w:rPr>
                <w:rFonts w:hint="eastAsia"/>
              </w:rPr>
              <w:t>通过加强交通管理，道路两侧40m范围内控制学校、敬老院、医院及幼儿园等特殊敏感建筑物，加强绿化等措施，使项目噪声实现达标排放。</w:t>
            </w:r>
          </w:p>
        </w:tc>
        <w:tc>
          <w:tcPr>
            <w:tcW w:w="1173" w:type="pct"/>
            <w:vAlign w:val="center"/>
          </w:tcPr>
          <w:p>
            <w:pPr>
              <w:pStyle w:val="30"/>
              <w:bidi w:val="0"/>
            </w:pPr>
            <w:r>
              <w:rPr>
                <w:rFonts w:hint="eastAsia"/>
              </w:rPr>
              <w:t>2类区达昼间60 dB（A），夜间达50 dB（A）</w:t>
            </w:r>
            <w:r>
              <w:t>标准要求</w:t>
            </w:r>
          </w:p>
          <w:p>
            <w:pPr>
              <w:pStyle w:val="30"/>
              <w:bidi w:val="0"/>
              <w:rPr>
                <w:rFonts w:hint="eastAsia" w:ascii="Times New Roman" w:hAnsi="Times New Roman" w:eastAsia="宋体" w:cstheme="minorBidi"/>
                <w:snapToGrid w:val="0"/>
                <w:sz w:val="21"/>
                <w:szCs w:val="24"/>
                <w:lang w:val="en-US" w:eastAsia="zh-CN" w:bidi="ar-SA"/>
              </w:rPr>
            </w:pPr>
            <w:r>
              <w:rPr>
                <w:rFonts w:hint="eastAsia"/>
              </w:rPr>
              <w:t>4a类区昼间70 dB（A），夜间达55 dB（A）</w:t>
            </w:r>
            <w:r>
              <w:t>标准要求</w:t>
            </w:r>
          </w:p>
        </w:tc>
      </w:tr>
    </w:tbl>
    <w:p>
      <w:pPr>
        <w:pStyle w:val="3"/>
        <w:bidi w:val="0"/>
      </w:pPr>
      <w:bookmarkStart w:id="34" w:name="_Toc9151"/>
      <w:bookmarkStart w:id="35" w:name="_Toc517214624"/>
      <w:bookmarkStart w:id="36" w:name="_Toc15280"/>
      <w:r>
        <w:t>变更项目基本概况</w:t>
      </w:r>
      <w:bookmarkEnd w:id="34"/>
      <w:bookmarkEnd w:id="35"/>
      <w:bookmarkEnd w:id="36"/>
    </w:p>
    <w:p>
      <w:pPr>
        <w:pStyle w:val="4"/>
        <w:bidi w:val="0"/>
      </w:pPr>
      <w:bookmarkStart w:id="37" w:name="_Toc11068"/>
      <w:bookmarkStart w:id="38" w:name="_Toc517214626"/>
      <w:bookmarkStart w:id="39" w:name="_Toc11527"/>
      <w:r>
        <w:t>变更内容</w:t>
      </w:r>
      <w:bookmarkEnd w:id="37"/>
      <w:bookmarkEnd w:id="38"/>
      <w:bookmarkEnd w:id="39"/>
    </w:p>
    <w:p>
      <w:pPr>
        <w:bidi w:val="0"/>
        <w:rPr>
          <w:rFonts w:hint="eastAsia"/>
          <w:lang w:eastAsia="zh-CN"/>
        </w:rPr>
      </w:pPr>
      <w:r>
        <w:rPr>
          <w:rFonts w:hint="eastAsia"/>
          <w:lang w:eastAsia="zh-CN"/>
        </w:rPr>
        <w:t>项目变更的情况主要涉及以下几个内容：</w:t>
      </w:r>
    </w:p>
    <w:p>
      <w:pPr>
        <w:numPr>
          <w:ilvl w:val="0"/>
          <w:numId w:val="3"/>
        </w:numPr>
        <w:bidi w:val="0"/>
        <w:rPr>
          <w:rFonts w:hint="eastAsia"/>
          <w:highlight w:val="none"/>
          <w:lang w:eastAsia="zh-CN"/>
        </w:rPr>
      </w:pPr>
      <w:r>
        <w:rPr>
          <w:rFonts w:hint="eastAsia"/>
          <w:highlight w:val="none"/>
          <w:lang w:eastAsia="zh-CN"/>
        </w:rPr>
        <w:t>临时堆场变更：</w:t>
      </w:r>
      <w:r>
        <w:rPr>
          <w:rFonts w:hint="eastAsia"/>
          <w:lang w:val="en-US" w:eastAsia="zh-CN"/>
        </w:rPr>
        <w:t>现由于原临时堆场距离居民位置过近，运输过程不便，因此建设过程中临时堆场位置发生变化，由桑园居民区东侧变更到</w:t>
      </w:r>
      <w:r>
        <w:rPr>
          <w:rFonts w:hint="eastAsia"/>
          <w:highlight w:val="none"/>
        </w:rPr>
        <w:t>湖南华南石化股份有限公司</w:t>
      </w:r>
      <w:r>
        <w:rPr>
          <w:rFonts w:hint="eastAsia"/>
          <w:highlight w:val="none"/>
          <w:lang w:eastAsia="zh-CN"/>
        </w:rPr>
        <w:t>东北侧的荒地，</w:t>
      </w:r>
      <w:r>
        <w:rPr>
          <w:rFonts w:hint="eastAsia"/>
          <w:highlight w:val="none"/>
          <w:lang w:val="en-US" w:eastAsia="zh-CN"/>
        </w:rPr>
        <w:t>原临时堆场面积占地面积17000m</w:t>
      </w:r>
      <w:r>
        <w:rPr>
          <w:rFonts w:hint="eastAsia"/>
          <w:highlight w:val="none"/>
          <w:vertAlign w:val="superscript"/>
          <w:lang w:val="en-US" w:eastAsia="zh-CN"/>
        </w:rPr>
        <w:t>2</w:t>
      </w:r>
      <w:r>
        <w:rPr>
          <w:rFonts w:hint="eastAsia"/>
          <w:highlight w:val="none"/>
          <w:vertAlign w:val="baseline"/>
          <w:lang w:val="en-US" w:eastAsia="zh-CN"/>
        </w:rPr>
        <w:t>，现临时堆场面积为18295</w:t>
      </w:r>
      <w:r>
        <w:rPr>
          <w:rFonts w:hint="eastAsia"/>
          <w:highlight w:val="none"/>
          <w:lang w:val="en-US" w:eastAsia="zh-CN"/>
        </w:rPr>
        <w:t>m</w:t>
      </w:r>
      <w:r>
        <w:rPr>
          <w:rFonts w:hint="eastAsia"/>
          <w:highlight w:val="none"/>
          <w:vertAlign w:val="superscript"/>
          <w:lang w:val="en-US" w:eastAsia="zh-CN"/>
        </w:rPr>
        <w:t>2</w:t>
      </w:r>
      <w:r>
        <w:rPr>
          <w:rFonts w:hint="eastAsia"/>
          <w:highlight w:val="none"/>
          <w:vertAlign w:val="baseline"/>
          <w:lang w:val="en-US" w:eastAsia="zh-CN"/>
        </w:rPr>
        <w:t>，</w:t>
      </w:r>
      <w:r>
        <w:rPr>
          <w:rFonts w:hint="eastAsia"/>
          <w:highlight w:val="none"/>
          <w:lang w:val="en-US" w:eastAsia="zh-CN"/>
        </w:rPr>
        <w:t>现临时堆场属于湖南东洞庭湖国家级自然保护区实验区范围</w:t>
      </w:r>
      <w:r>
        <w:rPr>
          <w:rFonts w:hint="eastAsia"/>
          <w:highlight w:val="none"/>
          <w:lang w:eastAsia="zh-CN"/>
        </w:rPr>
        <w:t>。</w:t>
      </w:r>
    </w:p>
    <w:p>
      <w:pPr>
        <w:numPr>
          <w:ilvl w:val="0"/>
          <w:numId w:val="3"/>
        </w:numPr>
        <w:bidi w:val="0"/>
        <w:rPr>
          <w:rFonts w:hint="eastAsia"/>
          <w:lang w:val="zh-CN" w:eastAsia="zh-CN"/>
        </w:rPr>
      </w:pPr>
      <w:r>
        <w:rPr>
          <w:rFonts w:hint="eastAsia"/>
          <w:lang w:val="zh-CN" w:eastAsia="zh-CN"/>
        </w:rPr>
        <w:t>对K4+500～K5+020段已建路段利用的变更：原环评设计对K4+500～K5+020段已建路段直接进行利用，现实际作业过程中发现K4+500～K5+020段已建路段的道路结构达不到设计要求，因此决定对K4+500～K5+020段已建路段进行改造，将面层及基成挖出后，利用破碎机破碎后回填。</w:t>
      </w:r>
    </w:p>
    <w:p>
      <w:pPr>
        <w:bidi w:val="0"/>
        <w:rPr>
          <w:rFonts w:hint="eastAsia"/>
          <w:highlight w:val="none"/>
        </w:rPr>
      </w:pPr>
      <w:r>
        <w:rPr>
          <w:rFonts w:hint="eastAsia"/>
          <w:highlight w:val="none"/>
        </w:rPr>
        <w:t>此外项目</w:t>
      </w:r>
      <w:r>
        <w:rPr>
          <w:rFonts w:hint="eastAsia"/>
          <w:lang w:val="en-US" w:eastAsia="zh-CN"/>
        </w:rPr>
        <w:t>建设内容道路工程、涵洞结构工程、堤防工程、给排水工程、景观绿化及环境保护工程、交通配套设施工程、照明工程、S306省道临时保通道路及起点处连接道复建工程等均未发生变化，</w:t>
      </w:r>
      <w:r>
        <w:rPr>
          <w:rFonts w:hint="eastAsia"/>
          <w:highlight w:val="none"/>
        </w:rPr>
        <w:t>设备</w:t>
      </w:r>
      <w:r>
        <w:rPr>
          <w:rFonts w:hint="eastAsia"/>
          <w:highlight w:val="none"/>
          <w:lang w:eastAsia="zh-CN"/>
        </w:rPr>
        <w:t>、</w:t>
      </w:r>
      <w:r>
        <w:rPr>
          <w:rFonts w:hint="eastAsia"/>
          <w:highlight w:val="none"/>
        </w:rPr>
        <w:t>公用工程、</w:t>
      </w:r>
      <w:r>
        <w:rPr>
          <w:rFonts w:hint="eastAsia"/>
          <w:highlight w:val="none"/>
          <w:lang w:eastAsia="zh-CN"/>
        </w:rPr>
        <w:t>施工营地设置、</w:t>
      </w:r>
      <w:r>
        <w:rPr>
          <w:rFonts w:hint="eastAsia"/>
          <w:highlight w:val="none"/>
        </w:rPr>
        <w:t>劳动定员等不发生改变。</w:t>
      </w:r>
    </w:p>
    <w:p>
      <w:pPr>
        <w:pStyle w:val="4"/>
        <w:bidi w:val="0"/>
        <w:rPr>
          <w:rFonts w:hint="default"/>
          <w:lang w:val="en-US" w:eastAsia="zh-CN"/>
        </w:rPr>
      </w:pPr>
      <w:bookmarkStart w:id="40" w:name="_Toc28133"/>
      <w:r>
        <w:rPr>
          <w:rFonts w:hint="eastAsia"/>
          <w:lang w:val="en-US" w:eastAsia="zh-CN"/>
        </w:rPr>
        <w:t>变更原因</w:t>
      </w:r>
      <w:bookmarkEnd w:id="40"/>
    </w:p>
    <w:p>
      <w:pPr>
        <w:pStyle w:val="2"/>
        <w:bidi w:val="0"/>
        <w:rPr>
          <w:rFonts w:hint="eastAsia"/>
          <w:lang w:val="en-US" w:eastAsia="zh-CN"/>
        </w:rPr>
      </w:pPr>
      <w:r>
        <w:rPr>
          <w:rFonts w:hint="eastAsia"/>
          <w:lang w:val="en-US" w:eastAsia="zh-CN"/>
        </w:rPr>
        <w:t>原设计堆场及现堆场对比</w:t>
      </w:r>
    </w:p>
    <w:p>
      <w:pPr>
        <w:rPr>
          <w:rFonts w:hint="default"/>
          <w:u w:val="single"/>
          <w:lang w:val="en-US" w:eastAsia="zh-CN"/>
        </w:rPr>
      </w:pPr>
      <w:r>
        <w:rPr>
          <w:rFonts w:hint="eastAsia"/>
          <w:u w:val="single"/>
          <w:lang w:val="en-US" w:eastAsia="zh-CN"/>
        </w:rPr>
        <w:t>（1）位置：原环评设计堆场紧领东侧桑园居民区设置，距离小于10m，离东侧长江堤坝最近距离为20m；现堆场位于</w:t>
      </w:r>
      <w:r>
        <w:rPr>
          <w:rFonts w:hint="eastAsia"/>
          <w:highlight w:val="none"/>
          <w:u w:val="single"/>
        </w:rPr>
        <w:t>湖南华南石化股份有限公司</w:t>
      </w:r>
      <w:r>
        <w:rPr>
          <w:rFonts w:hint="eastAsia"/>
          <w:highlight w:val="none"/>
          <w:u w:val="single"/>
          <w:lang w:eastAsia="zh-CN"/>
        </w:rPr>
        <w:t>东北侧地块，距离</w:t>
      </w:r>
      <w:r>
        <w:rPr>
          <w:rFonts w:hint="eastAsia"/>
          <w:highlight w:val="none"/>
          <w:u w:val="single"/>
          <w:lang w:val="en-US" w:eastAsia="zh-CN"/>
        </w:rPr>
        <w:t>10m左右，离东侧长江堤坝最近距离为15m左右，500m范围内无居民及其他大气环境敏感点。</w:t>
      </w:r>
    </w:p>
    <w:p>
      <w:pPr>
        <w:rPr>
          <w:rFonts w:hint="eastAsia" w:eastAsia="宋体"/>
          <w:u w:val="single"/>
          <w:lang w:val="en-US" w:eastAsia="zh-CN"/>
        </w:rPr>
      </w:pPr>
      <w:r>
        <w:rPr>
          <w:rFonts w:hint="eastAsia"/>
          <w:u w:val="single"/>
          <w:lang w:val="en-US" w:eastAsia="zh-CN"/>
        </w:rPr>
        <w:t>（2）中心坐标：原设计东经113.055020、北纬29.437299；现堆场东经</w:t>
      </w:r>
      <w:r>
        <w:rPr>
          <w:rFonts w:hint="eastAsia"/>
          <w:sz w:val="24"/>
          <w:u w:val="single"/>
        </w:rPr>
        <w:t>113.0</w:t>
      </w:r>
      <w:r>
        <w:rPr>
          <w:rFonts w:hint="eastAsia"/>
          <w:sz w:val="24"/>
          <w:u w:val="single"/>
          <w:lang w:val="en-US" w:eastAsia="zh-CN"/>
        </w:rPr>
        <w:t>53155、</w:t>
      </w:r>
      <w:r>
        <w:rPr>
          <w:rFonts w:hint="eastAsia"/>
          <w:sz w:val="24"/>
          <w:u w:val="single"/>
        </w:rPr>
        <w:t>北纬29.46</w:t>
      </w:r>
      <w:r>
        <w:rPr>
          <w:rFonts w:hint="eastAsia"/>
          <w:sz w:val="24"/>
          <w:u w:val="single"/>
          <w:lang w:val="en-US" w:eastAsia="zh-CN"/>
        </w:rPr>
        <w:t>4168</w:t>
      </w:r>
      <w:r>
        <w:rPr>
          <w:rFonts w:hint="eastAsia"/>
          <w:sz w:val="24"/>
          <w:u w:val="single"/>
          <w:lang w:eastAsia="zh-CN"/>
        </w:rPr>
        <w:t>。</w:t>
      </w:r>
    </w:p>
    <w:p>
      <w:pPr>
        <w:rPr>
          <w:rFonts w:hint="default"/>
          <w:u w:val="single"/>
          <w:vertAlign w:val="baseline"/>
          <w:lang w:val="en-US" w:eastAsia="zh-CN"/>
        </w:rPr>
      </w:pPr>
      <w:r>
        <w:rPr>
          <w:rFonts w:hint="eastAsia"/>
          <w:u w:val="single"/>
          <w:lang w:val="en-US" w:eastAsia="zh-CN"/>
        </w:rPr>
        <w:t>（3）占地面积：原设计17000m</w:t>
      </w:r>
      <w:r>
        <w:rPr>
          <w:rFonts w:hint="eastAsia"/>
          <w:u w:val="single"/>
          <w:vertAlign w:val="superscript"/>
          <w:lang w:val="en-US" w:eastAsia="zh-CN"/>
        </w:rPr>
        <w:t>2</w:t>
      </w:r>
      <w:r>
        <w:rPr>
          <w:rFonts w:hint="eastAsia"/>
          <w:u w:val="single"/>
          <w:vertAlign w:val="baseline"/>
          <w:lang w:val="en-US" w:eastAsia="zh-CN"/>
        </w:rPr>
        <w:t>；现堆场18295m</w:t>
      </w:r>
      <w:r>
        <w:rPr>
          <w:rFonts w:hint="eastAsia"/>
          <w:u w:val="single"/>
          <w:vertAlign w:val="superscript"/>
          <w:lang w:val="en-US" w:eastAsia="zh-CN"/>
        </w:rPr>
        <w:t>2</w:t>
      </w:r>
      <w:r>
        <w:rPr>
          <w:rFonts w:hint="eastAsia"/>
          <w:u w:val="single"/>
          <w:vertAlign w:val="baseline"/>
          <w:lang w:val="en-US" w:eastAsia="zh-CN"/>
        </w:rPr>
        <w:t>。</w:t>
      </w:r>
    </w:p>
    <w:p>
      <w:pPr>
        <w:rPr>
          <w:rFonts w:hint="eastAsia"/>
          <w:u w:val="single"/>
          <w:vertAlign w:val="baseline"/>
          <w:lang w:val="en-US" w:eastAsia="zh-CN"/>
        </w:rPr>
      </w:pPr>
      <w:r>
        <w:rPr>
          <w:rFonts w:hint="eastAsia"/>
          <w:u w:val="single"/>
          <w:vertAlign w:val="baseline"/>
          <w:lang w:val="en-US" w:eastAsia="zh-CN"/>
        </w:rPr>
        <w:t>（4）地块现状：原设计地块现状为荒地（待建设地块）；现堆场地块现状为荒地。</w:t>
      </w:r>
    </w:p>
    <w:p>
      <w:pPr>
        <w:rPr>
          <w:rFonts w:hint="eastAsia"/>
          <w:u w:val="single"/>
          <w:vertAlign w:val="baseline"/>
          <w:lang w:val="en-US" w:eastAsia="zh-CN"/>
        </w:rPr>
      </w:pPr>
      <w:r>
        <w:rPr>
          <w:rFonts w:hint="eastAsia"/>
          <w:u w:val="single"/>
          <w:vertAlign w:val="baseline"/>
          <w:lang w:val="en-US" w:eastAsia="zh-CN"/>
        </w:rPr>
        <w:t>（5）用途：原设计用于堆场表土及砂石等材料；现堆场除用于表土及砂石等材料外，还设置一个破碎区（</w:t>
      </w:r>
      <w:r>
        <w:rPr>
          <w:rFonts w:hint="eastAsia"/>
          <w:u w:val="single"/>
          <w:lang w:val="zh-CN" w:eastAsia="zh-CN"/>
        </w:rPr>
        <w:t>对K4+500～K5+020段已建路段挖出的面层及基层材料进行破碎</w:t>
      </w:r>
      <w:r>
        <w:rPr>
          <w:rFonts w:hint="eastAsia"/>
          <w:u w:val="single"/>
          <w:vertAlign w:val="baseline"/>
          <w:lang w:val="en-US" w:eastAsia="zh-CN"/>
        </w:rPr>
        <w:t>）。</w:t>
      </w:r>
    </w:p>
    <w:p>
      <w:pPr>
        <w:rPr>
          <w:rFonts w:hint="eastAsia" w:eastAsia="宋体"/>
          <w:u w:val="single"/>
          <w:lang w:val="en-US" w:eastAsia="zh-CN"/>
        </w:rPr>
      </w:pPr>
      <w:r>
        <w:rPr>
          <w:rFonts w:hint="eastAsia"/>
          <w:u w:val="single"/>
          <w:lang w:val="en-US" w:eastAsia="zh-CN"/>
        </w:rPr>
        <w:t>具体位置图如下：</w:t>
      </w:r>
    </w:p>
    <w:p>
      <w:pPr>
        <w:bidi w:val="0"/>
        <w:ind w:left="0" w:leftChars="0" w:firstLine="0" w:firstLineChars="0"/>
        <w:jc w:val="center"/>
        <w:rPr>
          <w:u w:val="single"/>
        </w:rPr>
      </w:pPr>
      <w:r>
        <w:rPr>
          <w:rFonts w:ascii="宋体" w:hAnsi="宋体" w:cs="宋体"/>
          <w:sz w:val="24"/>
          <w:u w:val="single"/>
        </w:rPr>
        <mc:AlternateContent>
          <mc:Choice Requires="wps">
            <w:drawing>
              <wp:anchor distT="0" distB="0" distL="114300" distR="114300" simplePos="0" relativeHeight="251813888" behindDoc="0" locked="0" layoutInCell="1" allowOverlap="1">
                <wp:simplePos x="0" y="0"/>
                <wp:positionH relativeFrom="column">
                  <wp:posOffset>762635</wp:posOffset>
                </wp:positionH>
                <wp:positionV relativeFrom="paragraph">
                  <wp:posOffset>1336040</wp:posOffset>
                </wp:positionV>
                <wp:extent cx="1089660" cy="249555"/>
                <wp:effectExtent l="5080" t="606425" r="105410" b="20320"/>
                <wp:wrapNone/>
                <wp:docPr id="6" name="矩形标注 6"/>
                <wp:cNvGraphicFramePr/>
                <a:graphic xmlns:a="http://schemas.openxmlformats.org/drawingml/2006/main">
                  <a:graphicData uri="http://schemas.microsoft.com/office/word/2010/wordprocessingShape">
                    <wps:wsp>
                      <wps:cNvSpPr/>
                      <wps:spPr>
                        <a:xfrm>
                          <a:off x="0" y="0"/>
                          <a:ext cx="1089660" cy="249555"/>
                        </a:xfrm>
                        <a:prstGeom prst="wedgeRectCallout">
                          <a:avLst>
                            <a:gd name="adj1" fmla="val 57459"/>
                            <a:gd name="adj2" fmla="val -283078"/>
                          </a:avLst>
                        </a:prstGeom>
                        <a:solidFill>
                          <a:srgbClr val="FFFFFF"/>
                        </a:solidFill>
                        <a:ln w="9525" cap="flat" cmpd="sng">
                          <a:solidFill>
                            <a:srgbClr val="000000"/>
                          </a:solidFill>
                          <a:prstDash val="solid"/>
                          <a:miter/>
                          <a:headEnd type="none" w="med" len="med"/>
                          <a:tailEnd type="none" w="med" len="med"/>
                        </a:ln>
                      </wps:spPr>
                      <wps:txbx>
                        <w:txbxContent>
                          <w:p>
                            <w:pPr>
                              <w:pStyle w:val="30"/>
                              <w:bidi w:val="0"/>
                            </w:pPr>
                            <w:r>
                              <w:rPr>
                                <w:rFonts w:hint="eastAsia"/>
                                <w:lang w:eastAsia="zh-CN"/>
                              </w:rPr>
                              <w:t>现</w:t>
                            </w:r>
                            <w:r>
                              <w:rPr>
                                <w:rFonts w:hint="eastAsia"/>
                              </w:rPr>
                              <w:t>表土堆置场</w:t>
                            </w:r>
                          </w:p>
                        </w:txbxContent>
                      </wps:txbx>
                      <wps:bodyPr upright="1"/>
                    </wps:wsp>
                  </a:graphicData>
                </a:graphic>
              </wp:anchor>
            </w:drawing>
          </mc:Choice>
          <mc:Fallback>
            <w:pict>
              <v:shape id="_x0000_s1026" o:spid="_x0000_s1026" o:spt="61" type="#_x0000_t61" style="position:absolute;left:0pt;margin-left:60.05pt;margin-top:105.2pt;height:19.65pt;width:85.8pt;z-index:251813888;mso-width-relative:page;mso-height-relative:page;" fillcolor="#FFFFFF" filled="t" stroked="t" coordsize="21600,21600" o:gfxdata="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GJwuWzZ&#10;AAAACwEAAA8AAAAAAAAAAQAgAAAAIgAAAGRycy9kb3ducmV2LnhtbFBLAQIUABQAAAAIAIdO4kBE&#10;h0q3HwIAAEAEAAAOAAAAAAAAAAEAIAAAACgBAABkcnMvZTJvRG9jLnhtbFBLBQYAAAAABgAGAFkB&#10;AAC5BQAAAAA=&#10;" adj="23211,-50345">
                <v:fill on="t" focussize="0,0"/>
                <v:stroke color="#000000" joinstyle="miter"/>
                <v:imagedata o:title=""/>
                <o:lock v:ext="edit" aspectratio="f"/>
                <v:textbox>
                  <w:txbxContent>
                    <w:p>
                      <w:pPr>
                        <w:pStyle w:val="30"/>
                        <w:bidi w:val="0"/>
                      </w:pPr>
                      <w:r>
                        <w:rPr>
                          <w:rFonts w:hint="eastAsia"/>
                          <w:lang w:eastAsia="zh-CN"/>
                        </w:rPr>
                        <w:t>现</w:t>
                      </w:r>
                      <w:r>
                        <w:rPr>
                          <w:rFonts w:hint="eastAsia"/>
                        </w:rPr>
                        <w:t>表土堆置场</w:t>
                      </w:r>
                    </w:p>
                  </w:txbxContent>
                </v:textbox>
              </v:shape>
            </w:pict>
          </mc:Fallback>
        </mc:AlternateContent>
      </w:r>
      <w:r>
        <w:rPr>
          <w:rFonts w:ascii="宋体" w:hAnsi="宋体" w:cs="宋体"/>
          <w:sz w:val="24"/>
          <w:u w:val="single"/>
        </w:rPr>
        <mc:AlternateContent>
          <mc:Choice Requires="wps">
            <w:drawing>
              <wp:anchor distT="0" distB="0" distL="114300" distR="114300" simplePos="0" relativeHeight="251970560" behindDoc="0" locked="0" layoutInCell="1" allowOverlap="1">
                <wp:simplePos x="0" y="0"/>
                <wp:positionH relativeFrom="column">
                  <wp:posOffset>549910</wp:posOffset>
                </wp:positionH>
                <wp:positionV relativeFrom="paragraph">
                  <wp:posOffset>2052320</wp:posOffset>
                </wp:positionV>
                <wp:extent cx="1194435" cy="249555"/>
                <wp:effectExtent l="5080" t="4445" r="305435" b="393700"/>
                <wp:wrapNone/>
                <wp:docPr id="4" name="矩形标注 4"/>
                <wp:cNvGraphicFramePr/>
                <a:graphic xmlns:a="http://schemas.openxmlformats.org/drawingml/2006/main">
                  <a:graphicData uri="http://schemas.microsoft.com/office/word/2010/wordprocessingShape">
                    <wps:wsp>
                      <wps:cNvSpPr/>
                      <wps:spPr>
                        <a:xfrm>
                          <a:off x="0" y="0"/>
                          <a:ext cx="1194435" cy="249555"/>
                        </a:xfrm>
                        <a:prstGeom prst="wedgeRectCallout">
                          <a:avLst>
                            <a:gd name="adj1" fmla="val 72434"/>
                            <a:gd name="adj2" fmla="val 197073"/>
                          </a:avLst>
                        </a:prstGeom>
                        <a:solidFill>
                          <a:srgbClr val="FFFFFF"/>
                        </a:solidFill>
                        <a:ln w="9525" cap="flat" cmpd="sng">
                          <a:solidFill>
                            <a:srgbClr val="000000"/>
                          </a:solidFill>
                          <a:prstDash val="solid"/>
                          <a:miter/>
                          <a:headEnd type="none" w="med" len="med"/>
                          <a:tailEnd type="none" w="med" len="med"/>
                        </a:ln>
                      </wps:spPr>
                      <wps:txbx>
                        <w:txbxContent>
                          <w:p>
                            <w:pPr>
                              <w:pStyle w:val="30"/>
                              <w:bidi w:val="0"/>
                            </w:pPr>
                            <w:r>
                              <w:rPr>
                                <w:rFonts w:hint="eastAsia"/>
                                <w:lang w:eastAsia="zh-CN"/>
                              </w:rPr>
                              <w:t>原</w:t>
                            </w:r>
                            <w:r>
                              <w:rPr>
                                <w:rFonts w:hint="eastAsia"/>
                              </w:rPr>
                              <w:t>表土堆置场</w:t>
                            </w:r>
                          </w:p>
                        </w:txbxContent>
                      </wps:txbx>
                      <wps:bodyPr upright="1"/>
                    </wps:wsp>
                  </a:graphicData>
                </a:graphic>
              </wp:anchor>
            </w:drawing>
          </mc:Choice>
          <mc:Fallback>
            <w:pict>
              <v:shape id="_x0000_s1026" o:spid="_x0000_s1026" o:spt="61" type="#_x0000_t61" style="position:absolute;left:0pt;margin-left:43.3pt;margin-top:161.6pt;height:19.65pt;width:94.05pt;z-index:251970560;mso-width-relative:page;mso-height-relative:page;" fillcolor="#FFFFFF" filled="t" stroked="t" coordsize="21600,21600" o:gfxdata="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O1rS+nXAAAA&#10;CgEAAA8AAAAAAAAAAQAgAAAAIgAAAGRycy9kb3ducmV2LnhtbFBLAQIUABQAAAAIAIdO4kB5nqoj&#10;HgIAAD8EAAAOAAAAAAAAAAEAIAAAACYBAABkcnMvZTJvRG9jLnhtbFBLBQYAAAAABgAGAFkBAAC2&#10;BQAAAAA=&#10;" adj="26446,53368">
                <v:fill on="t" focussize="0,0"/>
                <v:stroke color="#000000" joinstyle="miter"/>
                <v:imagedata o:title=""/>
                <o:lock v:ext="edit" aspectratio="f"/>
                <v:textbox>
                  <w:txbxContent>
                    <w:p>
                      <w:pPr>
                        <w:pStyle w:val="30"/>
                        <w:bidi w:val="0"/>
                      </w:pPr>
                      <w:r>
                        <w:rPr>
                          <w:rFonts w:hint="eastAsia"/>
                          <w:lang w:eastAsia="zh-CN"/>
                        </w:rPr>
                        <w:t>原</w:t>
                      </w:r>
                      <w:r>
                        <w:rPr>
                          <w:rFonts w:hint="eastAsia"/>
                        </w:rPr>
                        <w:t>表土堆置场</w:t>
                      </w:r>
                    </w:p>
                  </w:txbxContent>
                </v:textbox>
              </v:shape>
            </w:pict>
          </mc:Fallback>
        </mc:AlternateContent>
      </w:r>
      <w:r>
        <w:rPr>
          <w:u w:val="single"/>
        </w:rPr>
        <w:drawing>
          <wp:inline distT="0" distB="0" distL="114300" distR="114300">
            <wp:extent cx="4787265" cy="3872230"/>
            <wp:effectExtent l="0" t="0" r="13335" b="1397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7"/>
                    <a:stretch>
                      <a:fillRect/>
                    </a:stretch>
                  </pic:blipFill>
                  <pic:spPr>
                    <a:xfrm>
                      <a:off x="0" y="0"/>
                      <a:ext cx="4787265" cy="3872230"/>
                    </a:xfrm>
                    <a:prstGeom prst="rect">
                      <a:avLst/>
                    </a:prstGeom>
                    <a:noFill/>
                    <a:ln>
                      <a:noFill/>
                    </a:ln>
                  </pic:spPr>
                </pic:pic>
              </a:graphicData>
            </a:graphic>
          </wp:inline>
        </w:drawing>
      </w:r>
    </w:p>
    <w:p>
      <w:pPr>
        <w:pStyle w:val="59"/>
        <w:bidi w:val="0"/>
        <w:ind w:left="0" w:leftChars="0" w:firstLine="0" w:firstLineChars="0"/>
        <w:jc w:val="center"/>
        <w:rPr>
          <w:rFonts w:hint="eastAsia"/>
          <w:u w:val="single"/>
          <w:lang w:val="en-US" w:eastAsia="zh-CN"/>
        </w:rPr>
      </w:pPr>
      <w:r>
        <w:rPr>
          <w:rFonts w:hint="eastAsia"/>
          <w:u w:val="single"/>
          <w:lang w:eastAsia="zh-CN"/>
        </w:rPr>
        <w:t>图</w:t>
      </w:r>
      <w:r>
        <w:rPr>
          <w:rFonts w:hint="eastAsia"/>
          <w:u w:val="single"/>
          <w:lang w:val="en-US" w:eastAsia="zh-CN"/>
        </w:rPr>
        <w:t>3.2-1  堆场位置图</w:t>
      </w:r>
    </w:p>
    <w:p>
      <w:pPr>
        <w:pStyle w:val="2"/>
        <w:bidi w:val="0"/>
        <w:rPr>
          <w:rFonts w:hint="eastAsia"/>
          <w:lang w:val="en-US" w:eastAsia="zh-CN"/>
        </w:rPr>
      </w:pPr>
      <w:r>
        <w:rPr>
          <w:rFonts w:hint="eastAsia"/>
          <w:lang w:val="en-US" w:eastAsia="zh-CN"/>
        </w:rPr>
        <w:t>变更原因</w:t>
      </w:r>
    </w:p>
    <w:p>
      <w:pPr>
        <w:bidi w:val="0"/>
        <w:rPr>
          <w:rFonts w:hint="eastAsia"/>
          <w:u w:val="single"/>
          <w:lang w:val="en-US" w:eastAsia="zh-CN"/>
        </w:rPr>
      </w:pPr>
      <w:r>
        <w:rPr>
          <w:rFonts w:hint="eastAsia"/>
          <w:u w:val="single"/>
          <w:lang w:val="en-US" w:eastAsia="zh-CN"/>
        </w:rPr>
        <w:t>①车辆进出场区有较大扬尘，且表土堆场过程中也有粉尘，根据上图可知，原设计堆场距离桑园居民区不足10m，周边居民环绕，如遇大风天气，粉尘将对西侧、南侧及北侧居民生活产生较大影响，同时车辆装卸过程有噪音产生，亦会影响周边居民的生活。</w:t>
      </w:r>
    </w:p>
    <w:p>
      <w:pPr>
        <w:bidi w:val="0"/>
        <w:rPr>
          <w:rFonts w:hint="eastAsia"/>
          <w:u w:val="single"/>
          <w:lang w:val="en-US" w:eastAsia="zh-CN"/>
        </w:rPr>
      </w:pPr>
      <w:r>
        <w:rPr>
          <w:rFonts w:hint="eastAsia"/>
          <w:u w:val="single"/>
          <w:lang w:val="en-US" w:eastAsia="zh-CN"/>
        </w:rPr>
        <w:t>②由于原环评设计堆场周边居民较多，道路交通压力较大，运输过程不是十分便利。</w:t>
      </w:r>
    </w:p>
    <w:p>
      <w:pPr>
        <w:bidi w:val="0"/>
        <w:rPr>
          <w:rFonts w:hint="eastAsia"/>
          <w:u w:val="single"/>
          <w:lang w:val="en-US" w:eastAsia="zh-CN"/>
        </w:rPr>
      </w:pPr>
      <w:r>
        <w:rPr>
          <w:rFonts w:hint="eastAsia"/>
          <w:u w:val="single"/>
          <w:lang w:val="en-US" w:eastAsia="zh-CN"/>
        </w:rPr>
        <w:t>③原设计堆场位置现为荒地，属于待建设地块，预计2020年10月将开始进行施工建设，</w:t>
      </w:r>
      <w:r>
        <w:rPr>
          <w:rFonts w:hint="eastAsia"/>
          <w:u w:val="single"/>
        </w:rPr>
        <w:t>水利安保工程（二洲子村-旅游路）</w:t>
      </w:r>
      <w:r>
        <w:rPr>
          <w:rFonts w:hint="eastAsia"/>
          <w:u w:val="single"/>
          <w:lang w:eastAsia="zh-CN"/>
        </w:rPr>
        <w:t>项目建设期预计持续到</w:t>
      </w:r>
      <w:r>
        <w:rPr>
          <w:rFonts w:hint="eastAsia"/>
          <w:u w:val="single"/>
          <w:lang w:val="en-US" w:eastAsia="zh-CN"/>
        </w:rPr>
        <w:t>2021年6月份，若使用该地块作为</w:t>
      </w:r>
      <w:r>
        <w:rPr>
          <w:rFonts w:hint="eastAsia"/>
          <w:u w:val="single"/>
          <w:lang w:eastAsia="zh-CN"/>
        </w:rPr>
        <w:t>项目的临时堆场，时间上存在冲突</w:t>
      </w:r>
      <w:r>
        <w:rPr>
          <w:rFonts w:hint="eastAsia"/>
          <w:u w:val="single"/>
          <w:lang w:val="en-US" w:eastAsia="zh-CN"/>
        </w:rPr>
        <w:t>。</w:t>
      </w:r>
    </w:p>
    <w:p>
      <w:pPr>
        <w:bidi w:val="0"/>
        <w:rPr>
          <w:rFonts w:hint="eastAsia"/>
          <w:u w:val="single"/>
          <w:lang w:val="en-US" w:eastAsia="zh-CN"/>
        </w:rPr>
      </w:pPr>
      <w:r>
        <w:rPr>
          <w:rFonts w:hint="eastAsia"/>
          <w:u w:val="single"/>
          <w:lang w:val="en-US" w:eastAsia="zh-CN"/>
        </w:rPr>
        <w:t>④</w:t>
      </w:r>
      <w:r>
        <w:rPr>
          <w:rFonts w:hint="eastAsia"/>
          <w:u w:val="single"/>
          <w:lang w:val="zh-CN" w:eastAsia="zh-CN"/>
        </w:rPr>
        <w:t>实际作业过程中发现K4+500～K5+020段已建路段的道路结构达不到设计要求，因此决定对K4+500～K5+020段已建路段进行改造，将面层及基成挖出后，利用破碎机破碎后回填，由于将挖出建筑材料运出破碎处理再运回来回填，时间及经济成本都较大，因此建设方决定就近在堆场内设置一破碎区，将挖出的建筑材料在堆场内破碎后回填。</w:t>
      </w:r>
    </w:p>
    <w:p>
      <w:pPr>
        <w:bidi w:val="0"/>
        <w:rPr>
          <w:rFonts w:hint="eastAsia"/>
          <w:u w:val="single"/>
          <w:lang w:eastAsia="zh-CN"/>
        </w:rPr>
      </w:pPr>
      <w:r>
        <w:rPr>
          <w:rFonts w:hint="eastAsia"/>
          <w:u w:val="single"/>
          <w:lang w:val="en-US" w:eastAsia="zh-CN"/>
        </w:rPr>
        <w:t>综合上述，将原设计堆场位置及面积进行变更，现堆场位于</w:t>
      </w:r>
      <w:r>
        <w:rPr>
          <w:rFonts w:hint="eastAsia"/>
          <w:u w:val="single"/>
        </w:rPr>
        <w:t>湖南华南石化股份有限公司</w:t>
      </w:r>
      <w:r>
        <w:rPr>
          <w:rFonts w:hint="eastAsia"/>
          <w:u w:val="single"/>
          <w:lang w:eastAsia="zh-CN"/>
        </w:rPr>
        <w:t>东北侧地块，占地面积</w:t>
      </w:r>
      <w:r>
        <w:rPr>
          <w:rFonts w:hint="eastAsia"/>
          <w:u w:val="single"/>
          <w:lang w:val="en-US" w:eastAsia="zh-CN"/>
        </w:rPr>
        <w:t>18295m</w:t>
      </w:r>
      <w:r>
        <w:rPr>
          <w:rFonts w:hint="eastAsia"/>
          <w:u w:val="single"/>
          <w:vertAlign w:val="superscript"/>
          <w:lang w:val="en-US" w:eastAsia="zh-CN"/>
        </w:rPr>
        <w:t>2</w:t>
      </w:r>
      <w:r>
        <w:rPr>
          <w:rFonts w:hint="eastAsia"/>
          <w:u w:val="single"/>
          <w:lang w:val="en-US" w:eastAsia="zh-CN"/>
        </w:rPr>
        <w:t>，且现位置位于</w:t>
      </w:r>
      <w:r>
        <w:rPr>
          <w:rFonts w:hint="eastAsia"/>
          <w:u w:val="single"/>
        </w:rPr>
        <w:t>君山区水利安保工程二洲子村-旅游路</w:t>
      </w:r>
      <w:r>
        <w:rPr>
          <w:rFonts w:hint="eastAsia"/>
          <w:u w:val="single"/>
          <w:lang w:eastAsia="zh-CN"/>
        </w:rPr>
        <w:t>的起始点，同时在堆场内设置一破碎区。</w:t>
      </w:r>
    </w:p>
    <w:p>
      <w:pPr>
        <w:pStyle w:val="4"/>
        <w:bidi w:val="0"/>
        <w:rPr>
          <w:rFonts w:hint="default"/>
          <w:lang w:val="en-US" w:eastAsia="zh-CN"/>
        </w:rPr>
      </w:pPr>
      <w:bookmarkStart w:id="41" w:name="_Toc13497"/>
      <w:r>
        <w:rPr>
          <w:rFonts w:hint="eastAsia"/>
          <w:lang w:val="en-US" w:eastAsia="zh-CN"/>
        </w:rPr>
        <w:t>变更后堆场概述</w:t>
      </w:r>
      <w:bookmarkEnd w:id="41"/>
    </w:p>
    <w:p>
      <w:pPr>
        <w:adjustRightInd w:val="0"/>
        <w:snapToGrid w:val="0"/>
        <w:spacing w:line="360" w:lineRule="auto"/>
        <w:ind w:firstLine="480" w:firstLineChars="200"/>
        <w:rPr>
          <w:rFonts w:hint="eastAsia"/>
          <w:sz w:val="24"/>
          <w:lang w:eastAsia="zh-CN"/>
        </w:rPr>
      </w:pPr>
      <w:r>
        <w:rPr>
          <w:rFonts w:hint="eastAsia"/>
          <w:lang w:val="en-US" w:eastAsia="zh-CN"/>
        </w:rPr>
        <w:t>现堆场位于</w:t>
      </w:r>
      <w:r>
        <w:rPr>
          <w:rFonts w:hint="eastAsia"/>
          <w:highlight w:val="none"/>
        </w:rPr>
        <w:t>湖南华南石化股份有限公司</w:t>
      </w:r>
      <w:r>
        <w:rPr>
          <w:rFonts w:hint="eastAsia"/>
          <w:highlight w:val="none"/>
          <w:lang w:eastAsia="zh-CN"/>
        </w:rPr>
        <w:t>东北侧地块，占地面积为</w:t>
      </w:r>
      <w:r>
        <w:rPr>
          <w:rFonts w:hint="eastAsia"/>
          <w:highlight w:val="none"/>
          <w:lang w:val="en-US" w:eastAsia="zh-CN"/>
        </w:rPr>
        <w:t>18295m</w:t>
      </w:r>
      <w:r>
        <w:rPr>
          <w:rFonts w:hint="eastAsia"/>
          <w:highlight w:val="none"/>
          <w:vertAlign w:val="superscript"/>
          <w:lang w:val="en-US" w:eastAsia="zh-CN"/>
        </w:rPr>
        <w:t>2</w:t>
      </w:r>
      <w:r>
        <w:rPr>
          <w:rFonts w:hint="eastAsia"/>
          <w:highlight w:val="none"/>
          <w:lang w:val="en-US" w:eastAsia="zh-CN"/>
        </w:rPr>
        <w:t>。目前</w:t>
      </w:r>
      <w:r>
        <w:rPr>
          <w:rFonts w:hint="eastAsia"/>
          <w:sz w:val="24"/>
        </w:rPr>
        <w:t>水利安保工程（二洲子村-旅游路）项目</w:t>
      </w:r>
      <w:r>
        <w:rPr>
          <w:rFonts w:hint="eastAsia"/>
          <w:sz w:val="24"/>
          <w:lang w:eastAsia="zh-CN"/>
        </w:rPr>
        <w:t>正在建设中，因此本堆场已开始使用。</w:t>
      </w:r>
    </w:p>
    <w:p>
      <w:pPr>
        <w:adjustRightInd w:val="0"/>
        <w:snapToGrid w:val="0"/>
        <w:spacing w:line="360" w:lineRule="auto"/>
        <w:ind w:firstLine="480" w:firstLineChars="200"/>
        <w:rPr>
          <w:rFonts w:hint="eastAsia"/>
          <w:color w:val="auto"/>
          <w:sz w:val="24"/>
          <w:szCs w:val="24"/>
          <w:lang w:eastAsia="zh-CN"/>
        </w:rPr>
      </w:pPr>
      <w:r>
        <w:rPr>
          <w:rFonts w:hint="eastAsia"/>
          <w:color w:val="auto"/>
          <w:sz w:val="24"/>
          <w:szCs w:val="24"/>
          <w:lang w:eastAsia="zh-CN"/>
        </w:rPr>
        <w:t>（</w:t>
      </w:r>
      <w:r>
        <w:rPr>
          <w:rFonts w:hint="eastAsia"/>
          <w:color w:val="auto"/>
          <w:sz w:val="24"/>
          <w:szCs w:val="24"/>
          <w:lang w:val="en-US" w:eastAsia="zh-CN"/>
        </w:rPr>
        <w:t>1</w:t>
      </w:r>
      <w:r>
        <w:rPr>
          <w:rFonts w:hint="eastAsia"/>
          <w:color w:val="auto"/>
          <w:sz w:val="24"/>
          <w:szCs w:val="24"/>
          <w:lang w:eastAsia="zh-CN"/>
        </w:rPr>
        <w:t>）项目组成</w:t>
      </w:r>
    </w:p>
    <w:p>
      <w:pPr>
        <w:adjustRightInd w:val="0"/>
        <w:snapToGrid w:val="0"/>
        <w:spacing w:line="360" w:lineRule="auto"/>
        <w:ind w:firstLine="480" w:firstLineChars="200"/>
        <w:rPr>
          <w:rFonts w:hint="eastAsia" w:eastAsia="宋体"/>
          <w:color w:val="auto"/>
          <w:sz w:val="24"/>
          <w:szCs w:val="24"/>
          <w:lang w:val="en-US" w:eastAsia="zh-CN"/>
        </w:rPr>
      </w:pPr>
      <w:r>
        <w:rPr>
          <w:color w:val="auto"/>
          <w:sz w:val="24"/>
          <w:szCs w:val="24"/>
        </w:rPr>
        <w:t>项目由</w:t>
      </w:r>
      <w:r>
        <w:rPr>
          <w:rFonts w:hint="eastAsia"/>
          <w:color w:val="auto"/>
          <w:sz w:val="24"/>
          <w:szCs w:val="24"/>
        </w:rPr>
        <w:t>主体工程、辅助工程、环保工程、公用工程、储运工程</w:t>
      </w:r>
      <w:r>
        <w:rPr>
          <w:color w:val="auto"/>
          <w:sz w:val="24"/>
          <w:szCs w:val="24"/>
        </w:rPr>
        <w:t>等构成</w:t>
      </w:r>
      <w:r>
        <w:rPr>
          <w:rFonts w:hint="eastAsia"/>
          <w:color w:val="auto"/>
          <w:sz w:val="24"/>
          <w:szCs w:val="24"/>
        </w:rPr>
        <w:t>。</w:t>
      </w:r>
      <w:r>
        <w:rPr>
          <w:color w:val="auto"/>
          <w:sz w:val="24"/>
          <w:szCs w:val="24"/>
        </w:rPr>
        <w:t>项目</w:t>
      </w:r>
      <w:r>
        <w:rPr>
          <w:rFonts w:hint="eastAsia"/>
          <w:color w:val="auto"/>
          <w:sz w:val="24"/>
          <w:szCs w:val="24"/>
        </w:rPr>
        <w:t>组成</w:t>
      </w:r>
      <w:r>
        <w:rPr>
          <w:color w:val="auto"/>
          <w:sz w:val="24"/>
          <w:szCs w:val="24"/>
        </w:rPr>
        <w:t>见</w:t>
      </w:r>
      <w:r>
        <w:rPr>
          <w:rFonts w:hint="eastAsia"/>
          <w:color w:val="auto"/>
          <w:sz w:val="24"/>
          <w:szCs w:val="24"/>
          <w:lang w:eastAsia="zh-CN"/>
        </w:rPr>
        <w:t>下表</w:t>
      </w:r>
      <w:r>
        <w:rPr>
          <w:color w:val="auto"/>
          <w:sz w:val="24"/>
          <w:szCs w:val="24"/>
        </w:rPr>
        <w:t>。</w:t>
      </w:r>
    </w:p>
    <w:p>
      <w:pPr>
        <w:pStyle w:val="59"/>
        <w:bidi w:val="0"/>
        <w:rPr>
          <w:rFonts w:hint="eastAsia"/>
          <w:u w:val="single"/>
        </w:rPr>
      </w:pPr>
      <w:r>
        <w:rPr>
          <w:u w:val="single"/>
        </w:rPr>
        <w:t>表</w:t>
      </w:r>
      <w:r>
        <w:rPr>
          <w:rFonts w:hint="eastAsia"/>
          <w:u w:val="single"/>
          <w:lang w:val="en-US" w:eastAsia="zh-CN"/>
        </w:rPr>
        <w:t>3.3-1</w:t>
      </w:r>
      <w:r>
        <w:rPr>
          <w:u w:val="single"/>
        </w:rPr>
        <w:t xml:space="preserve">   项目组成一览表</w:t>
      </w:r>
    </w:p>
    <w:tbl>
      <w:tblPr>
        <w:tblStyle w:val="21"/>
        <w:tblW w:w="4998"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716"/>
        <w:gridCol w:w="1454"/>
        <w:gridCol w:w="1512"/>
        <w:gridCol w:w="3690"/>
        <w:gridCol w:w="14"/>
        <w:gridCol w:w="113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6" w:hRule="atLeast"/>
          <w:jc w:val="center"/>
        </w:trPr>
        <w:tc>
          <w:tcPr>
            <w:tcW w:w="420" w:type="pct"/>
            <w:noWrap w:val="0"/>
            <w:vAlign w:val="center"/>
          </w:tcPr>
          <w:p>
            <w:pPr>
              <w:pStyle w:val="30"/>
              <w:bidi w:val="0"/>
              <w:rPr>
                <w:u w:val="single"/>
              </w:rPr>
            </w:pPr>
            <w:r>
              <w:rPr>
                <w:u w:val="single"/>
              </w:rPr>
              <w:t>序号</w:t>
            </w:r>
          </w:p>
        </w:tc>
        <w:tc>
          <w:tcPr>
            <w:tcW w:w="853" w:type="pct"/>
            <w:noWrap w:val="0"/>
            <w:vAlign w:val="center"/>
          </w:tcPr>
          <w:p>
            <w:pPr>
              <w:pStyle w:val="30"/>
              <w:bidi w:val="0"/>
              <w:rPr>
                <w:u w:val="single"/>
              </w:rPr>
            </w:pPr>
            <w:r>
              <w:rPr>
                <w:u w:val="single"/>
              </w:rPr>
              <w:t>名称</w:t>
            </w:r>
          </w:p>
        </w:tc>
        <w:tc>
          <w:tcPr>
            <w:tcW w:w="887" w:type="pct"/>
            <w:noWrap w:val="0"/>
            <w:vAlign w:val="center"/>
          </w:tcPr>
          <w:p>
            <w:pPr>
              <w:pStyle w:val="30"/>
              <w:bidi w:val="0"/>
              <w:rPr>
                <w:u w:val="single"/>
              </w:rPr>
            </w:pPr>
            <w:r>
              <w:rPr>
                <w:u w:val="single"/>
              </w:rPr>
              <w:t>建设规模</w:t>
            </w:r>
          </w:p>
        </w:tc>
        <w:tc>
          <w:tcPr>
            <w:tcW w:w="2173" w:type="pct"/>
            <w:gridSpan w:val="2"/>
            <w:tcBorders>
              <w:right w:val="single" w:color="auto" w:sz="4" w:space="0"/>
            </w:tcBorders>
            <w:noWrap w:val="0"/>
            <w:vAlign w:val="center"/>
          </w:tcPr>
          <w:p>
            <w:pPr>
              <w:pStyle w:val="30"/>
              <w:bidi w:val="0"/>
              <w:rPr>
                <w:u w:val="single"/>
              </w:rPr>
            </w:pPr>
            <w:r>
              <w:rPr>
                <w:rFonts w:hint="eastAsia"/>
                <w:u w:val="single"/>
              </w:rPr>
              <w:t>建设内容</w:t>
            </w:r>
          </w:p>
        </w:tc>
        <w:tc>
          <w:tcPr>
            <w:tcW w:w="665" w:type="pct"/>
            <w:tcBorders>
              <w:left w:val="single" w:color="auto" w:sz="4" w:space="0"/>
            </w:tcBorders>
            <w:noWrap w:val="0"/>
            <w:vAlign w:val="center"/>
          </w:tcPr>
          <w:p>
            <w:pPr>
              <w:pStyle w:val="30"/>
              <w:bidi w:val="0"/>
              <w:rPr>
                <w:rFonts w:hint="eastAsia"/>
                <w:u w:val="single"/>
                <w:lang w:eastAsia="zh-CN"/>
              </w:rPr>
            </w:pPr>
            <w:r>
              <w:rPr>
                <w:rFonts w:hint="eastAsia"/>
                <w:u w:val="single"/>
                <w:lang w:eastAsia="zh-CN"/>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420" w:type="pct"/>
            <w:vMerge w:val="restart"/>
            <w:noWrap w:val="0"/>
            <w:vAlign w:val="center"/>
          </w:tcPr>
          <w:p>
            <w:pPr>
              <w:pStyle w:val="30"/>
              <w:bidi w:val="0"/>
              <w:rPr>
                <w:u w:val="single"/>
              </w:rPr>
            </w:pPr>
            <w:r>
              <w:rPr>
                <w:u w:val="single"/>
              </w:rPr>
              <w:t>主体工程</w:t>
            </w:r>
          </w:p>
        </w:tc>
        <w:tc>
          <w:tcPr>
            <w:tcW w:w="853" w:type="pct"/>
            <w:noWrap w:val="0"/>
            <w:vAlign w:val="center"/>
          </w:tcPr>
          <w:p>
            <w:pPr>
              <w:pStyle w:val="30"/>
              <w:bidi w:val="0"/>
              <w:rPr>
                <w:rFonts w:hint="eastAsia"/>
                <w:u w:val="single"/>
                <w:lang w:eastAsia="zh-CN"/>
              </w:rPr>
            </w:pPr>
            <w:r>
              <w:rPr>
                <w:rFonts w:hint="eastAsia"/>
                <w:u w:val="single"/>
                <w:lang w:eastAsia="zh-CN"/>
              </w:rPr>
              <w:t>破碎区</w:t>
            </w:r>
          </w:p>
        </w:tc>
        <w:tc>
          <w:tcPr>
            <w:tcW w:w="887" w:type="pct"/>
            <w:noWrap w:val="0"/>
            <w:vAlign w:val="center"/>
          </w:tcPr>
          <w:p>
            <w:pPr>
              <w:pStyle w:val="30"/>
              <w:bidi w:val="0"/>
              <w:rPr>
                <w:rFonts w:hint="eastAsia"/>
                <w:u w:val="single"/>
                <w:lang w:val="en-US" w:eastAsia="zh-CN"/>
              </w:rPr>
            </w:pPr>
            <w:r>
              <w:rPr>
                <w:rFonts w:hint="eastAsia"/>
                <w:u w:val="single"/>
                <w:lang w:val="en-US" w:eastAsia="zh-CN"/>
              </w:rPr>
              <w:t>450m</w:t>
            </w:r>
            <w:r>
              <w:rPr>
                <w:rFonts w:hint="eastAsia"/>
                <w:u w:val="single"/>
                <w:vertAlign w:val="superscript"/>
                <w:lang w:val="en-US" w:eastAsia="zh-CN"/>
              </w:rPr>
              <w:t>2</w:t>
            </w:r>
          </w:p>
        </w:tc>
        <w:tc>
          <w:tcPr>
            <w:tcW w:w="2173" w:type="pct"/>
            <w:gridSpan w:val="2"/>
            <w:tcBorders>
              <w:right w:val="single" w:color="auto" w:sz="4" w:space="0"/>
            </w:tcBorders>
            <w:noWrap w:val="0"/>
            <w:vAlign w:val="center"/>
          </w:tcPr>
          <w:p>
            <w:pPr>
              <w:pStyle w:val="30"/>
              <w:bidi w:val="0"/>
              <w:rPr>
                <w:rFonts w:hint="eastAsia" w:eastAsia="宋体"/>
                <w:u w:val="single"/>
                <w:lang w:eastAsia="zh-CN"/>
              </w:rPr>
            </w:pPr>
            <w:r>
              <w:rPr>
                <w:u w:val="single"/>
              </w:rPr>
              <w:t>含</w:t>
            </w:r>
            <w:r>
              <w:rPr>
                <w:rFonts w:hint="eastAsia"/>
                <w:u w:val="single"/>
                <w:lang w:eastAsia="zh-CN"/>
              </w:rPr>
              <w:t>锤式</w:t>
            </w:r>
            <w:r>
              <w:rPr>
                <w:rFonts w:hint="eastAsia"/>
                <w:u w:val="single"/>
              </w:rPr>
              <w:t>破碎机、圆振筛、</w:t>
            </w:r>
            <w:r>
              <w:rPr>
                <w:u w:val="single"/>
              </w:rPr>
              <w:t>传输系统</w:t>
            </w:r>
            <w:r>
              <w:rPr>
                <w:rFonts w:hint="eastAsia"/>
                <w:u w:val="single"/>
                <w:lang w:eastAsia="zh-CN"/>
              </w:rPr>
              <w:t>等</w:t>
            </w:r>
          </w:p>
        </w:tc>
        <w:tc>
          <w:tcPr>
            <w:tcW w:w="665" w:type="pct"/>
            <w:tcBorders>
              <w:left w:val="single" w:color="auto" w:sz="4" w:space="0"/>
            </w:tcBorders>
            <w:noWrap w:val="0"/>
            <w:vAlign w:val="center"/>
          </w:tcPr>
          <w:p>
            <w:pPr>
              <w:pStyle w:val="30"/>
              <w:bidi w:val="0"/>
              <w:rPr>
                <w:rFonts w:hint="eastAsia"/>
                <w:u w:val="single"/>
                <w:lang w:eastAsia="zh-CN"/>
              </w:rPr>
            </w:pPr>
            <w:r>
              <w:rPr>
                <w:rFonts w:hint="eastAsia"/>
                <w:u w:val="single"/>
                <w:lang w:eastAsia="zh-CN"/>
              </w:rPr>
              <w:t>原有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420" w:type="pct"/>
            <w:vMerge w:val="continue"/>
            <w:noWrap w:val="0"/>
            <w:vAlign w:val="center"/>
          </w:tcPr>
          <w:p>
            <w:pPr>
              <w:pStyle w:val="30"/>
              <w:bidi w:val="0"/>
              <w:rPr>
                <w:u w:val="single"/>
              </w:rPr>
            </w:pPr>
          </w:p>
        </w:tc>
        <w:tc>
          <w:tcPr>
            <w:tcW w:w="853" w:type="pct"/>
            <w:noWrap w:val="0"/>
            <w:vAlign w:val="center"/>
          </w:tcPr>
          <w:p>
            <w:pPr>
              <w:pStyle w:val="30"/>
              <w:bidi w:val="0"/>
              <w:rPr>
                <w:rFonts w:hint="eastAsia"/>
                <w:u w:val="single"/>
              </w:rPr>
            </w:pPr>
            <w:r>
              <w:rPr>
                <w:rFonts w:hint="eastAsia"/>
                <w:u w:val="single"/>
              </w:rPr>
              <w:t>堆放区</w:t>
            </w:r>
          </w:p>
        </w:tc>
        <w:tc>
          <w:tcPr>
            <w:tcW w:w="887" w:type="pct"/>
            <w:noWrap w:val="0"/>
            <w:vAlign w:val="center"/>
          </w:tcPr>
          <w:p>
            <w:pPr>
              <w:pStyle w:val="30"/>
              <w:bidi w:val="0"/>
              <w:rPr>
                <w:rFonts w:hint="eastAsia" w:eastAsia="宋体"/>
                <w:u w:val="single"/>
                <w:lang w:eastAsia="zh-CN"/>
              </w:rPr>
            </w:pPr>
            <w:r>
              <w:rPr>
                <w:rFonts w:hint="eastAsia"/>
                <w:u w:val="single"/>
                <w:lang w:val="en-US" w:eastAsia="zh-CN"/>
              </w:rPr>
              <w:t>17000</w:t>
            </w:r>
            <w:r>
              <w:rPr>
                <w:rFonts w:hint="eastAsia"/>
                <w:u w:val="single"/>
                <w:lang w:eastAsia="zh-CN"/>
              </w:rPr>
              <w:t>m</w:t>
            </w:r>
            <w:r>
              <w:rPr>
                <w:rFonts w:hint="eastAsia"/>
                <w:u w:val="single"/>
                <w:vertAlign w:val="superscript"/>
                <w:lang w:eastAsia="zh-CN"/>
              </w:rPr>
              <w:t>2</w:t>
            </w:r>
          </w:p>
        </w:tc>
        <w:tc>
          <w:tcPr>
            <w:tcW w:w="2173" w:type="pct"/>
            <w:gridSpan w:val="2"/>
            <w:tcBorders>
              <w:right w:val="single" w:color="auto" w:sz="4" w:space="0"/>
            </w:tcBorders>
            <w:noWrap w:val="0"/>
            <w:vAlign w:val="center"/>
          </w:tcPr>
          <w:p>
            <w:pPr>
              <w:pStyle w:val="30"/>
              <w:bidi w:val="0"/>
              <w:rPr>
                <w:u w:val="single"/>
              </w:rPr>
            </w:pPr>
            <w:r>
              <w:rPr>
                <w:u w:val="single"/>
              </w:rPr>
              <w:t>用于</w:t>
            </w:r>
            <w:r>
              <w:rPr>
                <w:rFonts w:hint="eastAsia"/>
                <w:u w:val="single"/>
                <w:lang w:eastAsia="zh-CN"/>
              </w:rPr>
              <w:t>修路建筑材料及表土的堆放</w:t>
            </w:r>
          </w:p>
        </w:tc>
        <w:tc>
          <w:tcPr>
            <w:tcW w:w="665" w:type="pct"/>
            <w:tcBorders>
              <w:left w:val="single" w:color="auto" w:sz="4" w:space="0"/>
            </w:tcBorders>
            <w:noWrap w:val="0"/>
            <w:vAlign w:val="center"/>
          </w:tcPr>
          <w:p>
            <w:pPr>
              <w:pStyle w:val="30"/>
              <w:bidi w:val="0"/>
              <w:rPr>
                <w:rFonts w:hint="eastAsia"/>
                <w:u w:val="single"/>
                <w:lang w:eastAsia="zh-CN"/>
              </w:rPr>
            </w:pPr>
            <w:r>
              <w:rPr>
                <w:rFonts w:hint="eastAsia"/>
                <w:u w:val="singl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420" w:type="pct"/>
            <w:vMerge w:val="restart"/>
            <w:noWrap w:val="0"/>
            <w:vAlign w:val="center"/>
          </w:tcPr>
          <w:p>
            <w:pPr>
              <w:pStyle w:val="30"/>
              <w:bidi w:val="0"/>
              <w:rPr>
                <w:rFonts w:hint="eastAsia"/>
                <w:u w:val="single"/>
                <w:lang w:eastAsia="zh-CN"/>
              </w:rPr>
            </w:pPr>
            <w:r>
              <w:rPr>
                <w:rFonts w:hint="eastAsia"/>
                <w:u w:val="single"/>
                <w:lang w:eastAsia="zh-CN"/>
              </w:rPr>
              <w:t>公用工程</w:t>
            </w:r>
          </w:p>
        </w:tc>
        <w:tc>
          <w:tcPr>
            <w:tcW w:w="853" w:type="pct"/>
            <w:noWrap w:val="0"/>
            <w:vAlign w:val="center"/>
          </w:tcPr>
          <w:p>
            <w:pPr>
              <w:pStyle w:val="30"/>
              <w:bidi w:val="0"/>
              <w:rPr>
                <w:u w:val="single"/>
              </w:rPr>
            </w:pPr>
            <w:r>
              <w:rPr>
                <w:u w:val="single"/>
              </w:rPr>
              <w:t>供水</w:t>
            </w:r>
          </w:p>
        </w:tc>
        <w:tc>
          <w:tcPr>
            <w:tcW w:w="887" w:type="pct"/>
            <w:noWrap w:val="0"/>
            <w:vAlign w:val="center"/>
          </w:tcPr>
          <w:p>
            <w:pPr>
              <w:pStyle w:val="30"/>
              <w:bidi w:val="0"/>
              <w:rPr>
                <w:rFonts w:hint="eastAsia"/>
                <w:u w:val="single"/>
                <w:lang w:val="en-US" w:eastAsia="zh-CN"/>
              </w:rPr>
            </w:pPr>
            <w:r>
              <w:rPr>
                <w:rFonts w:hint="eastAsia"/>
                <w:u w:val="single"/>
                <w:lang w:val="en-US" w:eastAsia="zh-CN"/>
              </w:rPr>
              <w:t>/</w:t>
            </w:r>
          </w:p>
        </w:tc>
        <w:tc>
          <w:tcPr>
            <w:tcW w:w="2173" w:type="pct"/>
            <w:gridSpan w:val="2"/>
            <w:tcBorders>
              <w:right w:val="single" w:color="auto" w:sz="4" w:space="0"/>
            </w:tcBorders>
            <w:noWrap w:val="0"/>
            <w:vAlign w:val="center"/>
          </w:tcPr>
          <w:p>
            <w:pPr>
              <w:pStyle w:val="30"/>
              <w:bidi w:val="0"/>
              <w:rPr>
                <w:rFonts w:hint="eastAsia"/>
                <w:u w:val="single"/>
              </w:rPr>
            </w:pPr>
            <w:r>
              <w:rPr>
                <w:rFonts w:hint="eastAsia"/>
                <w:u w:val="single"/>
                <w:lang w:eastAsia="zh-CN"/>
              </w:rPr>
              <w:t>市政</w:t>
            </w:r>
            <w:r>
              <w:rPr>
                <w:rFonts w:hint="eastAsia"/>
                <w:u w:val="single"/>
              </w:rPr>
              <w:t>自来水供水系统</w:t>
            </w:r>
          </w:p>
        </w:tc>
        <w:tc>
          <w:tcPr>
            <w:tcW w:w="665" w:type="pct"/>
            <w:tcBorders>
              <w:left w:val="single" w:color="auto" w:sz="4" w:space="0"/>
            </w:tcBorders>
            <w:noWrap w:val="0"/>
            <w:vAlign w:val="center"/>
          </w:tcPr>
          <w:p>
            <w:pPr>
              <w:pStyle w:val="30"/>
              <w:bidi w:val="0"/>
              <w:rPr>
                <w:rFonts w:hint="eastAsia"/>
                <w:u w:val="single"/>
                <w:lang w:val="en-US" w:eastAsia="zh-CN"/>
              </w:rPr>
            </w:pPr>
            <w:r>
              <w:rPr>
                <w:rFonts w:hint="eastAsia"/>
                <w:u w:val="singl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420" w:type="pct"/>
            <w:vMerge w:val="continue"/>
            <w:noWrap w:val="0"/>
            <w:vAlign w:val="center"/>
          </w:tcPr>
          <w:p>
            <w:pPr>
              <w:pStyle w:val="30"/>
              <w:bidi w:val="0"/>
              <w:rPr>
                <w:u w:val="single"/>
              </w:rPr>
            </w:pPr>
          </w:p>
        </w:tc>
        <w:tc>
          <w:tcPr>
            <w:tcW w:w="853" w:type="pct"/>
            <w:noWrap w:val="0"/>
            <w:vAlign w:val="center"/>
          </w:tcPr>
          <w:p>
            <w:pPr>
              <w:pStyle w:val="30"/>
              <w:bidi w:val="0"/>
              <w:rPr>
                <w:u w:val="single"/>
              </w:rPr>
            </w:pPr>
            <w:r>
              <w:rPr>
                <w:u w:val="single"/>
              </w:rPr>
              <w:t>供电</w:t>
            </w:r>
          </w:p>
        </w:tc>
        <w:tc>
          <w:tcPr>
            <w:tcW w:w="887" w:type="pct"/>
            <w:noWrap w:val="0"/>
            <w:vAlign w:val="center"/>
          </w:tcPr>
          <w:p>
            <w:pPr>
              <w:pStyle w:val="30"/>
              <w:bidi w:val="0"/>
              <w:rPr>
                <w:rFonts w:hint="eastAsia"/>
                <w:u w:val="single"/>
                <w:lang w:val="en-US" w:eastAsia="zh-CN"/>
              </w:rPr>
            </w:pPr>
            <w:r>
              <w:rPr>
                <w:rFonts w:hint="eastAsia"/>
                <w:u w:val="single"/>
                <w:lang w:val="en-US" w:eastAsia="zh-CN"/>
              </w:rPr>
              <w:t>/</w:t>
            </w:r>
          </w:p>
        </w:tc>
        <w:tc>
          <w:tcPr>
            <w:tcW w:w="2173" w:type="pct"/>
            <w:gridSpan w:val="2"/>
            <w:tcBorders>
              <w:right w:val="single" w:color="auto" w:sz="4" w:space="0"/>
            </w:tcBorders>
            <w:noWrap w:val="0"/>
            <w:vAlign w:val="center"/>
          </w:tcPr>
          <w:p>
            <w:pPr>
              <w:pStyle w:val="30"/>
              <w:bidi w:val="0"/>
              <w:rPr>
                <w:rFonts w:hint="eastAsia"/>
                <w:u w:val="single"/>
              </w:rPr>
            </w:pPr>
            <w:r>
              <w:rPr>
                <w:rFonts w:hint="eastAsia"/>
                <w:u w:val="single"/>
                <w:lang w:eastAsia="zh-CN"/>
              </w:rPr>
              <w:t>市政</w:t>
            </w:r>
            <w:r>
              <w:rPr>
                <w:rFonts w:hint="eastAsia"/>
                <w:u w:val="single"/>
              </w:rPr>
              <w:t>供电系统</w:t>
            </w:r>
          </w:p>
        </w:tc>
        <w:tc>
          <w:tcPr>
            <w:tcW w:w="665" w:type="pct"/>
            <w:tcBorders>
              <w:left w:val="single" w:color="auto" w:sz="4" w:space="0"/>
            </w:tcBorders>
            <w:noWrap w:val="0"/>
            <w:vAlign w:val="center"/>
          </w:tcPr>
          <w:p>
            <w:pPr>
              <w:pStyle w:val="30"/>
              <w:bidi w:val="0"/>
              <w:rPr>
                <w:rFonts w:hint="eastAsia"/>
                <w:u w:val="single"/>
                <w:lang w:val="en-US" w:eastAsia="zh-CN"/>
              </w:rPr>
            </w:pPr>
            <w:r>
              <w:rPr>
                <w:rFonts w:hint="eastAsia"/>
                <w:u w:val="singl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5" w:hRule="atLeast"/>
          <w:jc w:val="center"/>
        </w:trPr>
        <w:tc>
          <w:tcPr>
            <w:tcW w:w="420" w:type="pct"/>
            <w:vMerge w:val="restart"/>
            <w:tcBorders>
              <w:top w:val="single" w:color="auto" w:sz="4" w:space="0"/>
            </w:tcBorders>
            <w:noWrap w:val="0"/>
            <w:vAlign w:val="center"/>
          </w:tcPr>
          <w:p>
            <w:pPr>
              <w:pStyle w:val="30"/>
              <w:bidi w:val="0"/>
              <w:rPr>
                <w:u w:val="single"/>
              </w:rPr>
            </w:pPr>
            <w:r>
              <w:rPr>
                <w:rFonts w:hint="eastAsia"/>
                <w:u w:val="single"/>
              </w:rPr>
              <w:t>环保工程</w:t>
            </w:r>
          </w:p>
        </w:tc>
        <w:tc>
          <w:tcPr>
            <w:tcW w:w="853" w:type="pct"/>
            <w:vMerge w:val="restart"/>
            <w:tcBorders>
              <w:top w:val="single" w:color="auto" w:sz="4" w:space="0"/>
            </w:tcBorders>
            <w:noWrap w:val="0"/>
            <w:vAlign w:val="center"/>
          </w:tcPr>
          <w:p>
            <w:pPr>
              <w:pStyle w:val="30"/>
              <w:bidi w:val="0"/>
              <w:rPr>
                <w:rFonts w:hint="eastAsia"/>
                <w:u w:val="single"/>
              </w:rPr>
            </w:pPr>
            <w:r>
              <w:rPr>
                <w:rFonts w:hint="eastAsia"/>
                <w:u w:val="single"/>
                <w:lang w:val="en-US" w:eastAsia="zh-CN"/>
              </w:rPr>
              <w:t>废气</w:t>
            </w:r>
          </w:p>
        </w:tc>
        <w:tc>
          <w:tcPr>
            <w:tcW w:w="3052" w:type="pct"/>
            <w:gridSpan w:val="2"/>
            <w:tcBorders>
              <w:bottom w:val="single" w:color="auto" w:sz="4" w:space="0"/>
              <w:right w:val="single" w:color="auto" w:sz="4" w:space="0"/>
            </w:tcBorders>
            <w:noWrap w:val="0"/>
            <w:vAlign w:val="center"/>
          </w:tcPr>
          <w:p>
            <w:pPr>
              <w:pStyle w:val="30"/>
              <w:bidi w:val="0"/>
              <w:rPr>
                <w:rFonts w:hint="eastAsia"/>
                <w:u w:val="single"/>
                <w:lang w:val="en-US" w:eastAsia="zh-CN"/>
              </w:rPr>
            </w:pPr>
            <w:r>
              <w:rPr>
                <w:rFonts w:hint="eastAsia"/>
                <w:u w:val="single"/>
                <w:lang w:eastAsia="zh-CN"/>
              </w:rPr>
              <w:t>给料机、破碎机、筛分机安置喷雾洒水抑尘装置</w:t>
            </w:r>
          </w:p>
        </w:tc>
        <w:tc>
          <w:tcPr>
            <w:tcW w:w="673" w:type="pct"/>
            <w:gridSpan w:val="2"/>
            <w:tcBorders>
              <w:left w:val="single" w:color="auto" w:sz="4" w:space="0"/>
            </w:tcBorders>
            <w:noWrap w:val="0"/>
            <w:vAlign w:val="center"/>
          </w:tcPr>
          <w:p>
            <w:pPr>
              <w:pStyle w:val="30"/>
              <w:bidi w:val="0"/>
              <w:rPr>
                <w:rFonts w:hint="eastAsia"/>
                <w:u w:val="single"/>
                <w:lang w:eastAsia="zh-CN"/>
              </w:rPr>
            </w:pPr>
            <w:r>
              <w:rPr>
                <w:rFonts w:hint="eastAsia"/>
                <w:u w:val="single"/>
                <w:lang w:eastAsia="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420" w:type="pct"/>
            <w:vMerge w:val="continue"/>
            <w:noWrap w:val="0"/>
            <w:vAlign w:val="center"/>
          </w:tcPr>
          <w:p>
            <w:pPr>
              <w:pStyle w:val="30"/>
              <w:bidi w:val="0"/>
              <w:rPr>
                <w:rFonts w:hint="eastAsia"/>
                <w:u w:val="single"/>
              </w:rPr>
            </w:pPr>
          </w:p>
        </w:tc>
        <w:tc>
          <w:tcPr>
            <w:tcW w:w="853" w:type="pct"/>
            <w:vMerge w:val="continue"/>
            <w:noWrap w:val="0"/>
            <w:vAlign w:val="center"/>
          </w:tcPr>
          <w:p>
            <w:pPr>
              <w:pStyle w:val="30"/>
              <w:bidi w:val="0"/>
              <w:rPr>
                <w:rFonts w:hint="eastAsia"/>
                <w:u w:val="single"/>
                <w:lang w:val="en-US" w:eastAsia="zh-CN"/>
              </w:rPr>
            </w:pPr>
          </w:p>
        </w:tc>
        <w:tc>
          <w:tcPr>
            <w:tcW w:w="3052" w:type="pct"/>
            <w:gridSpan w:val="2"/>
            <w:tcBorders>
              <w:bottom w:val="single" w:color="auto" w:sz="4" w:space="0"/>
              <w:right w:val="single" w:color="auto" w:sz="4" w:space="0"/>
            </w:tcBorders>
            <w:noWrap w:val="0"/>
            <w:vAlign w:val="center"/>
          </w:tcPr>
          <w:p>
            <w:pPr>
              <w:pStyle w:val="30"/>
              <w:bidi w:val="0"/>
              <w:rPr>
                <w:rFonts w:hint="eastAsia"/>
                <w:u w:val="single"/>
                <w:lang w:eastAsia="zh-CN"/>
              </w:rPr>
            </w:pPr>
            <w:r>
              <w:rPr>
                <w:rFonts w:hint="eastAsia"/>
                <w:u w:val="single"/>
              </w:rPr>
              <w:t>传送带落料处设置雾化喷头装置，传送带全密闭</w:t>
            </w:r>
          </w:p>
        </w:tc>
        <w:tc>
          <w:tcPr>
            <w:tcW w:w="673" w:type="pct"/>
            <w:gridSpan w:val="2"/>
            <w:tcBorders>
              <w:left w:val="single" w:color="auto" w:sz="4" w:space="0"/>
            </w:tcBorders>
            <w:noWrap w:val="0"/>
            <w:vAlign w:val="center"/>
          </w:tcPr>
          <w:p>
            <w:pPr>
              <w:pStyle w:val="30"/>
              <w:bidi w:val="0"/>
              <w:rPr>
                <w:rFonts w:hint="eastAsia"/>
                <w:u w:val="single"/>
                <w:lang w:eastAsia="zh-CN"/>
              </w:rPr>
            </w:pPr>
            <w:r>
              <w:rPr>
                <w:rFonts w:hint="eastAsia"/>
                <w:u w:val="single"/>
                <w:lang w:eastAsia="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420" w:type="pct"/>
            <w:vMerge w:val="continue"/>
            <w:noWrap w:val="0"/>
            <w:vAlign w:val="center"/>
          </w:tcPr>
          <w:p>
            <w:pPr>
              <w:pStyle w:val="30"/>
              <w:bidi w:val="0"/>
              <w:rPr>
                <w:u w:val="single"/>
              </w:rPr>
            </w:pPr>
          </w:p>
        </w:tc>
        <w:tc>
          <w:tcPr>
            <w:tcW w:w="853" w:type="pct"/>
            <w:vMerge w:val="continue"/>
            <w:noWrap w:val="0"/>
            <w:vAlign w:val="center"/>
          </w:tcPr>
          <w:p>
            <w:pPr>
              <w:pStyle w:val="30"/>
              <w:bidi w:val="0"/>
              <w:rPr>
                <w:rFonts w:hint="eastAsia"/>
                <w:u w:val="single"/>
                <w:lang w:eastAsia="zh-CN"/>
              </w:rPr>
            </w:pPr>
          </w:p>
        </w:tc>
        <w:tc>
          <w:tcPr>
            <w:tcW w:w="3052" w:type="pct"/>
            <w:gridSpan w:val="2"/>
            <w:tcBorders>
              <w:top w:val="single" w:color="auto" w:sz="4" w:space="0"/>
              <w:bottom w:val="single" w:color="auto" w:sz="4" w:space="0"/>
              <w:right w:val="single" w:color="auto" w:sz="4" w:space="0"/>
            </w:tcBorders>
            <w:noWrap w:val="0"/>
            <w:vAlign w:val="center"/>
          </w:tcPr>
          <w:p>
            <w:pPr>
              <w:pStyle w:val="30"/>
              <w:bidi w:val="0"/>
              <w:rPr>
                <w:rFonts w:hint="eastAsia"/>
                <w:u w:val="single"/>
                <w:lang w:eastAsia="zh-CN"/>
              </w:rPr>
            </w:pPr>
            <w:r>
              <w:rPr>
                <w:rFonts w:hint="eastAsia"/>
                <w:u w:val="single"/>
                <w:lang w:eastAsia="zh-CN"/>
              </w:rPr>
              <w:t>破碎筛分区安置集气罩</w:t>
            </w:r>
            <w:r>
              <w:rPr>
                <w:rFonts w:hint="eastAsia"/>
                <w:u w:val="single"/>
                <w:lang w:val="en-US" w:eastAsia="zh-CN"/>
              </w:rPr>
              <w:t>，布袋除尘后15高排气筒</w:t>
            </w:r>
          </w:p>
        </w:tc>
        <w:tc>
          <w:tcPr>
            <w:tcW w:w="673" w:type="pct"/>
            <w:gridSpan w:val="2"/>
            <w:tcBorders>
              <w:left w:val="single" w:color="auto" w:sz="4" w:space="0"/>
            </w:tcBorders>
            <w:noWrap w:val="0"/>
            <w:vAlign w:val="center"/>
          </w:tcPr>
          <w:p>
            <w:pPr>
              <w:pStyle w:val="30"/>
              <w:bidi w:val="0"/>
              <w:rPr>
                <w:rFonts w:hint="eastAsia"/>
                <w:u w:val="single"/>
                <w:lang w:eastAsia="zh-CN"/>
              </w:rPr>
            </w:pPr>
            <w:r>
              <w:rPr>
                <w:rFonts w:hint="eastAsia"/>
                <w:u w:val="single"/>
                <w:lang w:eastAsia="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420" w:type="pct"/>
            <w:vMerge w:val="continue"/>
            <w:noWrap w:val="0"/>
            <w:vAlign w:val="center"/>
          </w:tcPr>
          <w:p>
            <w:pPr>
              <w:pStyle w:val="30"/>
              <w:bidi w:val="0"/>
              <w:rPr>
                <w:u w:val="single"/>
              </w:rPr>
            </w:pPr>
          </w:p>
        </w:tc>
        <w:tc>
          <w:tcPr>
            <w:tcW w:w="853" w:type="pct"/>
            <w:vMerge w:val="continue"/>
            <w:noWrap w:val="0"/>
            <w:vAlign w:val="center"/>
          </w:tcPr>
          <w:p>
            <w:pPr>
              <w:pStyle w:val="30"/>
              <w:bidi w:val="0"/>
              <w:rPr>
                <w:rFonts w:hint="eastAsia"/>
                <w:u w:val="single"/>
                <w:lang w:eastAsia="zh-CN"/>
              </w:rPr>
            </w:pPr>
          </w:p>
        </w:tc>
        <w:tc>
          <w:tcPr>
            <w:tcW w:w="3052" w:type="pct"/>
            <w:gridSpan w:val="2"/>
            <w:tcBorders>
              <w:top w:val="single" w:color="auto" w:sz="4" w:space="0"/>
              <w:right w:val="single" w:color="auto" w:sz="4" w:space="0"/>
            </w:tcBorders>
            <w:noWrap w:val="0"/>
            <w:vAlign w:val="center"/>
          </w:tcPr>
          <w:p>
            <w:pPr>
              <w:pStyle w:val="30"/>
              <w:bidi w:val="0"/>
              <w:rPr>
                <w:rFonts w:hint="eastAsia"/>
                <w:u w:val="single"/>
                <w:lang w:eastAsia="zh-CN"/>
              </w:rPr>
            </w:pPr>
            <w:r>
              <w:rPr>
                <w:rFonts w:hint="eastAsia"/>
                <w:u w:val="single"/>
                <w:lang w:val="en-US" w:eastAsia="zh-CN"/>
              </w:rPr>
              <w:t>运输进出车辆进行覆盖限速，并设置洗车平台（50m</w:t>
            </w:r>
            <w:r>
              <w:rPr>
                <w:rFonts w:hint="eastAsia"/>
                <w:u w:val="single"/>
                <w:vertAlign w:val="superscript"/>
                <w:lang w:val="en-US" w:eastAsia="zh-CN"/>
              </w:rPr>
              <w:t>2</w:t>
            </w:r>
            <w:r>
              <w:rPr>
                <w:rFonts w:hint="eastAsia"/>
                <w:u w:val="single"/>
                <w:lang w:val="en-US" w:eastAsia="zh-CN"/>
              </w:rPr>
              <w:t>）对车辆进行清洗</w:t>
            </w:r>
          </w:p>
        </w:tc>
        <w:tc>
          <w:tcPr>
            <w:tcW w:w="673" w:type="pct"/>
            <w:gridSpan w:val="2"/>
            <w:tcBorders>
              <w:left w:val="single" w:color="auto" w:sz="4" w:space="0"/>
            </w:tcBorders>
            <w:noWrap w:val="0"/>
            <w:vAlign w:val="center"/>
          </w:tcPr>
          <w:p>
            <w:pPr>
              <w:pStyle w:val="30"/>
              <w:bidi w:val="0"/>
              <w:rPr>
                <w:rFonts w:hint="eastAsia"/>
                <w:u w:val="single"/>
                <w:lang w:eastAsia="zh-CN"/>
              </w:rPr>
            </w:pPr>
            <w:r>
              <w:rPr>
                <w:rFonts w:hint="eastAsia"/>
                <w:u w:val="single"/>
                <w:lang w:eastAsia="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2" w:hRule="atLeast"/>
          <w:jc w:val="center"/>
        </w:trPr>
        <w:tc>
          <w:tcPr>
            <w:tcW w:w="420" w:type="pct"/>
            <w:vMerge w:val="continue"/>
            <w:noWrap w:val="0"/>
            <w:vAlign w:val="center"/>
          </w:tcPr>
          <w:p>
            <w:pPr>
              <w:pStyle w:val="30"/>
              <w:bidi w:val="0"/>
              <w:rPr>
                <w:u w:val="single"/>
              </w:rPr>
            </w:pPr>
          </w:p>
        </w:tc>
        <w:tc>
          <w:tcPr>
            <w:tcW w:w="853" w:type="pct"/>
            <w:vMerge w:val="restart"/>
            <w:noWrap w:val="0"/>
            <w:vAlign w:val="center"/>
          </w:tcPr>
          <w:p>
            <w:pPr>
              <w:pStyle w:val="30"/>
              <w:bidi w:val="0"/>
              <w:rPr>
                <w:u w:val="single"/>
              </w:rPr>
            </w:pPr>
            <w:r>
              <w:rPr>
                <w:rFonts w:hint="eastAsia"/>
                <w:u w:val="single"/>
                <w:lang w:eastAsia="zh-CN"/>
              </w:rPr>
              <w:t>废水</w:t>
            </w:r>
          </w:p>
        </w:tc>
        <w:tc>
          <w:tcPr>
            <w:tcW w:w="3052" w:type="pct"/>
            <w:gridSpan w:val="2"/>
            <w:tcBorders>
              <w:right w:val="single" w:color="auto" w:sz="4" w:space="0"/>
            </w:tcBorders>
            <w:noWrap w:val="0"/>
            <w:vAlign w:val="center"/>
          </w:tcPr>
          <w:p>
            <w:pPr>
              <w:pStyle w:val="30"/>
              <w:bidi w:val="0"/>
              <w:rPr>
                <w:rFonts w:hint="eastAsia"/>
                <w:u w:val="single"/>
                <w:lang w:val="en-US" w:eastAsia="zh-CN"/>
              </w:rPr>
            </w:pPr>
            <w:r>
              <w:rPr>
                <w:rFonts w:hint="eastAsia"/>
                <w:u w:val="single"/>
              </w:rPr>
              <w:t>沿场区四周及堆场设置排水沟</w:t>
            </w:r>
            <w:r>
              <w:rPr>
                <w:rFonts w:hint="eastAsia"/>
                <w:u w:val="single"/>
                <w:lang w:eastAsia="zh-CN"/>
              </w:rPr>
              <w:t>，并设置</w:t>
            </w:r>
            <w:r>
              <w:rPr>
                <w:rFonts w:hint="eastAsia"/>
                <w:u w:val="single"/>
                <w:lang w:val="en-US" w:eastAsia="zh-CN"/>
              </w:rPr>
              <w:t>250m</w:t>
            </w:r>
            <w:r>
              <w:rPr>
                <w:rFonts w:hint="eastAsia"/>
                <w:u w:val="single"/>
                <w:vertAlign w:val="superscript"/>
                <w:lang w:val="en-US" w:eastAsia="zh-CN"/>
              </w:rPr>
              <w:t>3</w:t>
            </w:r>
            <w:r>
              <w:rPr>
                <w:rFonts w:hint="eastAsia"/>
                <w:u w:val="single"/>
                <w:lang w:val="en-US" w:eastAsia="zh-CN"/>
              </w:rPr>
              <w:t>的初期雨水池</w:t>
            </w:r>
          </w:p>
        </w:tc>
        <w:tc>
          <w:tcPr>
            <w:tcW w:w="673" w:type="pct"/>
            <w:gridSpan w:val="2"/>
            <w:tcBorders>
              <w:left w:val="single" w:color="auto" w:sz="4" w:space="0"/>
            </w:tcBorders>
            <w:noWrap w:val="0"/>
            <w:vAlign w:val="center"/>
          </w:tcPr>
          <w:p>
            <w:pPr>
              <w:pStyle w:val="30"/>
              <w:bidi w:val="0"/>
              <w:rPr>
                <w:rFonts w:hint="eastAsia"/>
                <w:u w:val="single"/>
                <w:lang w:eastAsia="zh-CN"/>
              </w:rPr>
            </w:pPr>
            <w:r>
              <w:rPr>
                <w:rFonts w:hint="eastAsia"/>
                <w:u w:val="single"/>
                <w:lang w:eastAsia="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420" w:type="pct"/>
            <w:vMerge w:val="continue"/>
            <w:noWrap w:val="0"/>
            <w:vAlign w:val="center"/>
          </w:tcPr>
          <w:p>
            <w:pPr>
              <w:pStyle w:val="30"/>
              <w:bidi w:val="0"/>
              <w:rPr>
                <w:u w:val="single"/>
              </w:rPr>
            </w:pPr>
          </w:p>
        </w:tc>
        <w:tc>
          <w:tcPr>
            <w:tcW w:w="853" w:type="pct"/>
            <w:vMerge w:val="continue"/>
            <w:noWrap w:val="0"/>
            <w:vAlign w:val="center"/>
          </w:tcPr>
          <w:p>
            <w:pPr>
              <w:pStyle w:val="30"/>
              <w:bidi w:val="0"/>
              <w:rPr>
                <w:rFonts w:hint="eastAsia"/>
                <w:u w:val="single"/>
                <w:lang w:eastAsia="zh-CN"/>
              </w:rPr>
            </w:pPr>
          </w:p>
        </w:tc>
        <w:tc>
          <w:tcPr>
            <w:tcW w:w="3052" w:type="pct"/>
            <w:gridSpan w:val="2"/>
            <w:tcBorders>
              <w:right w:val="single" w:color="auto" w:sz="4" w:space="0"/>
            </w:tcBorders>
            <w:noWrap w:val="0"/>
            <w:vAlign w:val="center"/>
          </w:tcPr>
          <w:p>
            <w:pPr>
              <w:pStyle w:val="30"/>
              <w:bidi w:val="0"/>
              <w:rPr>
                <w:rFonts w:hint="eastAsia"/>
                <w:u w:val="single"/>
                <w:lang w:eastAsia="zh-CN"/>
              </w:rPr>
            </w:pPr>
            <w:r>
              <w:rPr>
                <w:rFonts w:hint="eastAsia"/>
                <w:u w:val="single"/>
                <w:lang w:eastAsia="zh-CN"/>
              </w:rPr>
              <w:t>对洗车废水经沉淀池处理后循环利用</w:t>
            </w:r>
          </w:p>
        </w:tc>
        <w:tc>
          <w:tcPr>
            <w:tcW w:w="673" w:type="pct"/>
            <w:gridSpan w:val="2"/>
            <w:tcBorders>
              <w:left w:val="single" w:color="auto" w:sz="4" w:space="0"/>
            </w:tcBorders>
            <w:noWrap w:val="0"/>
            <w:vAlign w:val="center"/>
          </w:tcPr>
          <w:p>
            <w:pPr>
              <w:pStyle w:val="30"/>
              <w:bidi w:val="0"/>
              <w:rPr>
                <w:rFonts w:hint="eastAsia"/>
                <w:u w:val="single"/>
                <w:lang w:eastAsia="zh-CN"/>
              </w:rPr>
            </w:pPr>
            <w:r>
              <w:rPr>
                <w:rFonts w:hint="eastAsia"/>
                <w:u w:val="single"/>
                <w:lang w:eastAsia="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420" w:type="pct"/>
            <w:vMerge w:val="continue"/>
            <w:noWrap w:val="0"/>
            <w:vAlign w:val="center"/>
          </w:tcPr>
          <w:p>
            <w:pPr>
              <w:pStyle w:val="30"/>
              <w:bidi w:val="0"/>
              <w:rPr>
                <w:u w:val="single"/>
              </w:rPr>
            </w:pPr>
          </w:p>
        </w:tc>
        <w:tc>
          <w:tcPr>
            <w:tcW w:w="853" w:type="pct"/>
            <w:noWrap w:val="0"/>
            <w:vAlign w:val="center"/>
          </w:tcPr>
          <w:p>
            <w:pPr>
              <w:pStyle w:val="30"/>
              <w:bidi w:val="0"/>
              <w:rPr>
                <w:rFonts w:hint="eastAsia"/>
                <w:u w:val="single"/>
                <w:lang w:eastAsia="zh-CN"/>
              </w:rPr>
            </w:pPr>
            <w:r>
              <w:rPr>
                <w:rFonts w:hint="eastAsia"/>
                <w:u w:val="single"/>
                <w:lang w:eastAsia="zh-CN"/>
              </w:rPr>
              <w:t>固废</w:t>
            </w:r>
          </w:p>
        </w:tc>
        <w:tc>
          <w:tcPr>
            <w:tcW w:w="3052" w:type="pct"/>
            <w:gridSpan w:val="2"/>
            <w:tcBorders>
              <w:right w:val="single" w:color="auto" w:sz="4" w:space="0"/>
            </w:tcBorders>
            <w:noWrap w:val="0"/>
            <w:vAlign w:val="center"/>
          </w:tcPr>
          <w:p>
            <w:pPr>
              <w:pStyle w:val="30"/>
              <w:bidi w:val="0"/>
              <w:rPr>
                <w:rFonts w:hint="eastAsia"/>
                <w:u w:val="single"/>
                <w:lang w:eastAsia="zh-CN"/>
              </w:rPr>
            </w:pPr>
            <w:r>
              <w:rPr>
                <w:rFonts w:hint="eastAsia"/>
                <w:u w:val="single"/>
                <w:lang w:eastAsia="zh-CN"/>
              </w:rPr>
              <w:t>固废暂存区</w:t>
            </w:r>
            <w:r>
              <w:rPr>
                <w:rFonts w:hint="eastAsia"/>
                <w:u w:val="single"/>
                <w:lang w:val="en-US" w:eastAsia="zh-CN"/>
              </w:rPr>
              <w:t>30m</w:t>
            </w:r>
            <w:r>
              <w:rPr>
                <w:rFonts w:hint="eastAsia"/>
                <w:u w:val="single"/>
                <w:vertAlign w:val="superscript"/>
                <w:lang w:val="en-US" w:eastAsia="zh-CN"/>
              </w:rPr>
              <w:t>2</w:t>
            </w:r>
            <w:r>
              <w:rPr>
                <w:rFonts w:hint="eastAsia"/>
                <w:u w:val="single"/>
                <w:lang w:val="en-US" w:eastAsia="zh-CN"/>
              </w:rPr>
              <w:t>，</w:t>
            </w:r>
            <w:r>
              <w:rPr>
                <w:rFonts w:hint="eastAsia"/>
                <w:u w:val="single"/>
                <w:lang w:eastAsia="zh-CN"/>
              </w:rPr>
              <w:t>用于对一般工业固废进行暂存</w:t>
            </w:r>
          </w:p>
        </w:tc>
        <w:tc>
          <w:tcPr>
            <w:tcW w:w="673" w:type="pct"/>
            <w:gridSpan w:val="2"/>
            <w:tcBorders>
              <w:left w:val="single" w:color="auto" w:sz="4" w:space="0"/>
            </w:tcBorders>
            <w:noWrap w:val="0"/>
            <w:vAlign w:val="center"/>
          </w:tcPr>
          <w:p>
            <w:pPr>
              <w:pStyle w:val="30"/>
              <w:bidi w:val="0"/>
              <w:rPr>
                <w:rFonts w:hint="eastAsia"/>
                <w:u w:val="single"/>
                <w:lang w:eastAsia="zh-CN"/>
              </w:rPr>
            </w:pPr>
            <w:r>
              <w:rPr>
                <w:rFonts w:hint="eastAsia"/>
                <w:u w:val="single"/>
                <w:lang w:eastAsia="zh-CN"/>
              </w:rPr>
              <w:t>新增</w:t>
            </w:r>
          </w:p>
        </w:tc>
      </w:tr>
    </w:tbl>
    <w:p>
      <w:pPr>
        <w:bidi w:val="0"/>
        <w:rPr>
          <w:rFonts w:hint="eastAsia"/>
          <w:sz w:val="24"/>
          <w:lang w:eastAsia="zh-CN"/>
        </w:rPr>
      </w:pPr>
      <w:r>
        <w:rPr>
          <w:rFonts w:hint="eastAsia"/>
          <w:sz w:val="24"/>
          <w:lang w:eastAsia="zh-CN"/>
        </w:rPr>
        <w:t>（</w:t>
      </w:r>
      <w:r>
        <w:rPr>
          <w:rFonts w:hint="eastAsia"/>
          <w:sz w:val="24"/>
          <w:lang w:val="en-US" w:eastAsia="zh-CN"/>
        </w:rPr>
        <w:t>2</w:t>
      </w:r>
      <w:r>
        <w:rPr>
          <w:rFonts w:hint="eastAsia"/>
          <w:sz w:val="24"/>
          <w:lang w:eastAsia="zh-CN"/>
        </w:rPr>
        <w:t>）项目设备</w:t>
      </w:r>
    </w:p>
    <w:p>
      <w:pPr>
        <w:pStyle w:val="59"/>
        <w:bidi w:val="0"/>
        <w:rPr>
          <w:rFonts w:hint="eastAsia"/>
        </w:rPr>
      </w:pPr>
      <w:r>
        <w:rPr>
          <w:rFonts w:hint="eastAsia"/>
        </w:rPr>
        <w:t>表</w:t>
      </w:r>
      <w:r>
        <w:rPr>
          <w:rFonts w:hint="eastAsia"/>
          <w:lang w:val="en-US" w:eastAsia="zh-CN"/>
        </w:rPr>
        <w:t>3.3</w:t>
      </w:r>
      <w:r>
        <w:rPr>
          <w:rFonts w:hint="eastAsia"/>
        </w:rPr>
        <w:t>-</w:t>
      </w:r>
      <w:r>
        <w:rPr>
          <w:rFonts w:hint="eastAsia"/>
          <w:lang w:val="en-US" w:eastAsia="zh-CN"/>
        </w:rPr>
        <w:t>2</w:t>
      </w:r>
      <w:r>
        <w:rPr>
          <w:rFonts w:hint="eastAsia"/>
        </w:rPr>
        <w:t xml:space="preserve">   主要设备清单</w:t>
      </w:r>
    </w:p>
    <w:tbl>
      <w:tblPr>
        <w:tblStyle w:val="21"/>
        <w:tblW w:w="4998"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493"/>
        <w:gridCol w:w="2983"/>
        <w:gridCol w:w="1631"/>
        <w:gridCol w:w="241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jc w:val="center"/>
        </w:trPr>
        <w:tc>
          <w:tcPr>
            <w:tcW w:w="876" w:type="pct"/>
            <w:noWrap w:val="0"/>
            <w:vAlign w:val="center"/>
          </w:tcPr>
          <w:p>
            <w:pPr>
              <w:pStyle w:val="30"/>
              <w:bidi w:val="0"/>
              <w:rPr>
                <w:rFonts w:hint="eastAsia"/>
              </w:rPr>
            </w:pPr>
            <w:r>
              <w:rPr>
                <w:rFonts w:hint="eastAsia"/>
              </w:rPr>
              <w:t>类型</w:t>
            </w:r>
          </w:p>
        </w:tc>
        <w:tc>
          <w:tcPr>
            <w:tcW w:w="1750" w:type="pct"/>
            <w:noWrap w:val="0"/>
            <w:vAlign w:val="center"/>
          </w:tcPr>
          <w:p>
            <w:pPr>
              <w:pStyle w:val="30"/>
              <w:bidi w:val="0"/>
            </w:pPr>
            <w:r>
              <w:t>名</w:t>
            </w:r>
            <w:r>
              <w:rPr>
                <w:rFonts w:hint="eastAsia"/>
              </w:rPr>
              <w:t xml:space="preserve"> </w:t>
            </w:r>
            <w:r>
              <w:t>称</w:t>
            </w:r>
          </w:p>
        </w:tc>
        <w:tc>
          <w:tcPr>
            <w:tcW w:w="957" w:type="pct"/>
            <w:noWrap w:val="0"/>
            <w:vAlign w:val="center"/>
          </w:tcPr>
          <w:p>
            <w:pPr>
              <w:pStyle w:val="30"/>
              <w:bidi w:val="0"/>
            </w:pPr>
            <w:r>
              <w:t>数</w:t>
            </w:r>
            <w:r>
              <w:rPr>
                <w:rFonts w:hint="eastAsia"/>
              </w:rPr>
              <w:t xml:space="preserve"> </w:t>
            </w:r>
            <w:r>
              <w:t>量</w:t>
            </w:r>
          </w:p>
        </w:tc>
        <w:tc>
          <w:tcPr>
            <w:tcW w:w="1415" w:type="pct"/>
            <w:noWrap w:val="0"/>
            <w:vAlign w:val="center"/>
          </w:tcPr>
          <w:p>
            <w:pPr>
              <w:pStyle w:val="30"/>
              <w:bidi w:val="0"/>
            </w:pPr>
            <w:r>
              <w:t>备</w:t>
            </w:r>
            <w:r>
              <w:rPr>
                <w:rFonts w:hint="eastAsia"/>
              </w:rPr>
              <w:t xml:space="preserve"> </w:t>
            </w:r>
            <w:r>
              <w:t>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jc w:val="center"/>
        </w:trPr>
        <w:tc>
          <w:tcPr>
            <w:tcW w:w="876" w:type="pct"/>
            <w:vMerge w:val="restart"/>
            <w:noWrap w:val="0"/>
            <w:vAlign w:val="center"/>
          </w:tcPr>
          <w:p>
            <w:pPr>
              <w:pStyle w:val="30"/>
              <w:bidi w:val="0"/>
              <w:rPr>
                <w:rFonts w:hint="eastAsia"/>
              </w:rPr>
            </w:pPr>
            <w:r>
              <w:rPr>
                <w:rFonts w:hint="eastAsia"/>
                <w:lang w:eastAsia="zh-CN"/>
              </w:rPr>
              <w:t>碎石</w:t>
            </w:r>
            <w:r>
              <w:rPr>
                <w:rFonts w:hint="eastAsia"/>
              </w:rPr>
              <w:t>生产</w:t>
            </w:r>
          </w:p>
        </w:tc>
        <w:tc>
          <w:tcPr>
            <w:tcW w:w="1750" w:type="pct"/>
            <w:noWrap w:val="0"/>
            <w:vAlign w:val="center"/>
          </w:tcPr>
          <w:p>
            <w:pPr>
              <w:pStyle w:val="30"/>
              <w:bidi w:val="0"/>
              <w:rPr>
                <w:rFonts w:hint="eastAsia"/>
                <w:color w:val="auto"/>
              </w:rPr>
            </w:pPr>
            <w:r>
              <w:rPr>
                <w:rFonts w:hint="eastAsia"/>
                <w:color w:val="auto"/>
              </w:rPr>
              <w:t>给料机</w:t>
            </w:r>
          </w:p>
        </w:tc>
        <w:tc>
          <w:tcPr>
            <w:tcW w:w="957" w:type="pct"/>
            <w:noWrap w:val="0"/>
            <w:vAlign w:val="center"/>
          </w:tcPr>
          <w:p>
            <w:pPr>
              <w:pStyle w:val="30"/>
              <w:bidi w:val="0"/>
              <w:rPr>
                <w:rFonts w:hint="eastAsia"/>
                <w:color w:val="auto"/>
              </w:rPr>
            </w:pPr>
            <w:r>
              <w:rPr>
                <w:rFonts w:hint="eastAsia"/>
                <w:color w:val="auto"/>
                <w:lang w:val="en-US" w:eastAsia="zh-CN"/>
              </w:rPr>
              <w:t>2</w:t>
            </w:r>
            <w:r>
              <w:rPr>
                <w:rFonts w:hint="eastAsia"/>
                <w:color w:val="auto"/>
              </w:rPr>
              <w:t>台</w:t>
            </w:r>
          </w:p>
        </w:tc>
        <w:tc>
          <w:tcPr>
            <w:tcW w:w="1415" w:type="pct"/>
            <w:noWrap w:val="0"/>
            <w:vAlign w:val="center"/>
          </w:tcPr>
          <w:p>
            <w:pPr>
              <w:pStyle w:val="30"/>
              <w:bidi w:val="0"/>
              <w:rPr>
                <w:rFonts w:hint="eastAsia"/>
                <w:lang w:val="en-US" w:eastAsia="zh-CN"/>
              </w:rPr>
            </w:pPr>
            <w:r>
              <w:rPr>
                <w:rFonts w:hint="eastAsia"/>
                <w:lang w:val="en-US" w:eastAsia="zh-CN"/>
              </w:rPr>
              <w:t>现有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jc w:val="center"/>
        </w:trPr>
        <w:tc>
          <w:tcPr>
            <w:tcW w:w="876" w:type="pct"/>
            <w:vMerge w:val="continue"/>
            <w:noWrap w:val="0"/>
            <w:vAlign w:val="center"/>
          </w:tcPr>
          <w:p>
            <w:pPr>
              <w:pStyle w:val="30"/>
              <w:bidi w:val="0"/>
              <w:rPr>
                <w:rFonts w:hint="eastAsia"/>
              </w:rPr>
            </w:pPr>
          </w:p>
        </w:tc>
        <w:tc>
          <w:tcPr>
            <w:tcW w:w="1750" w:type="pct"/>
            <w:noWrap w:val="0"/>
            <w:vAlign w:val="center"/>
          </w:tcPr>
          <w:p>
            <w:pPr>
              <w:pStyle w:val="30"/>
              <w:bidi w:val="0"/>
              <w:rPr>
                <w:rFonts w:hint="eastAsia"/>
                <w:color w:val="auto"/>
                <w:lang w:eastAsia="zh-CN"/>
              </w:rPr>
            </w:pPr>
            <w:r>
              <w:rPr>
                <w:rFonts w:hint="eastAsia"/>
                <w:color w:val="auto"/>
              </w:rPr>
              <w:t>破</w:t>
            </w:r>
            <w:r>
              <w:rPr>
                <w:rFonts w:hint="eastAsia"/>
                <w:color w:val="auto"/>
                <w:lang w:eastAsia="zh-CN"/>
              </w:rPr>
              <w:t>碎机</w:t>
            </w:r>
          </w:p>
        </w:tc>
        <w:tc>
          <w:tcPr>
            <w:tcW w:w="957" w:type="pct"/>
            <w:noWrap w:val="0"/>
            <w:vAlign w:val="center"/>
          </w:tcPr>
          <w:p>
            <w:pPr>
              <w:pStyle w:val="30"/>
              <w:bidi w:val="0"/>
              <w:rPr>
                <w:rFonts w:hint="eastAsia"/>
                <w:color w:val="auto"/>
              </w:rPr>
            </w:pPr>
            <w:r>
              <w:rPr>
                <w:rFonts w:hint="eastAsia"/>
                <w:color w:val="auto"/>
                <w:lang w:val="en-US" w:eastAsia="zh-CN"/>
              </w:rPr>
              <w:t>1</w:t>
            </w:r>
            <w:r>
              <w:rPr>
                <w:color w:val="auto"/>
              </w:rPr>
              <w:t>台</w:t>
            </w:r>
          </w:p>
        </w:tc>
        <w:tc>
          <w:tcPr>
            <w:tcW w:w="1415" w:type="pct"/>
            <w:noWrap w:val="0"/>
            <w:vAlign w:val="center"/>
          </w:tcPr>
          <w:p>
            <w:pPr>
              <w:pStyle w:val="30"/>
              <w:bidi w:val="0"/>
              <w:rPr>
                <w:rFonts w:hint="eastAsia"/>
                <w:lang w:val="en-US" w:eastAsia="zh-CN"/>
              </w:rPr>
            </w:pPr>
            <w:r>
              <w:rPr>
                <w:rFonts w:hint="eastAsia"/>
                <w:lang w:val="en-US" w:eastAsia="zh-CN"/>
              </w:rPr>
              <w:t>现有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jc w:val="center"/>
        </w:trPr>
        <w:tc>
          <w:tcPr>
            <w:tcW w:w="876" w:type="pct"/>
            <w:vMerge w:val="continue"/>
            <w:noWrap w:val="0"/>
            <w:vAlign w:val="center"/>
          </w:tcPr>
          <w:p>
            <w:pPr>
              <w:pStyle w:val="30"/>
              <w:bidi w:val="0"/>
              <w:rPr>
                <w:rFonts w:hint="eastAsia"/>
              </w:rPr>
            </w:pPr>
          </w:p>
        </w:tc>
        <w:tc>
          <w:tcPr>
            <w:tcW w:w="1750" w:type="pct"/>
            <w:noWrap w:val="0"/>
            <w:vAlign w:val="center"/>
          </w:tcPr>
          <w:p>
            <w:pPr>
              <w:pStyle w:val="30"/>
              <w:bidi w:val="0"/>
              <w:rPr>
                <w:rFonts w:hint="eastAsia" w:eastAsia="宋体"/>
                <w:color w:val="auto"/>
                <w:lang w:eastAsia="zh-CN"/>
              </w:rPr>
            </w:pPr>
            <w:r>
              <w:rPr>
                <w:rFonts w:hint="eastAsia"/>
                <w:color w:val="auto"/>
                <w:lang w:eastAsia="zh-CN"/>
              </w:rPr>
              <w:t>料仓</w:t>
            </w:r>
          </w:p>
        </w:tc>
        <w:tc>
          <w:tcPr>
            <w:tcW w:w="957" w:type="pct"/>
            <w:noWrap w:val="0"/>
            <w:vAlign w:val="center"/>
          </w:tcPr>
          <w:p>
            <w:pPr>
              <w:pStyle w:val="30"/>
              <w:bidi w:val="0"/>
              <w:rPr>
                <w:rFonts w:hint="eastAsia"/>
                <w:color w:val="auto"/>
              </w:rPr>
            </w:pPr>
            <w:r>
              <w:rPr>
                <w:rFonts w:hint="eastAsia"/>
                <w:color w:val="auto"/>
                <w:lang w:val="en-US" w:eastAsia="zh-CN"/>
              </w:rPr>
              <w:t>4</w:t>
            </w:r>
            <w:r>
              <w:rPr>
                <w:rFonts w:hint="eastAsia"/>
                <w:color w:val="auto"/>
              </w:rPr>
              <w:t>台</w:t>
            </w:r>
          </w:p>
        </w:tc>
        <w:tc>
          <w:tcPr>
            <w:tcW w:w="1415" w:type="pct"/>
            <w:noWrap w:val="0"/>
            <w:vAlign w:val="center"/>
          </w:tcPr>
          <w:p>
            <w:pPr>
              <w:pStyle w:val="30"/>
              <w:bidi w:val="0"/>
              <w:rPr>
                <w:rFonts w:hint="eastAsia"/>
                <w:lang w:val="en-US" w:eastAsia="zh-CN"/>
              </w:rPr>
            </w:pPr>
            <w:r>
              <w:rPr>
                <w:rFonts w:hint="eastAsia"/>
                <w:lang w:val="en-US" w:eastAsia="zh-CN"/>
              </w:rPr>
              <w:t>现有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jc w:val="center"/>
        </w:trPr>
        <w:tc>
          <w:tcPr>
            <w:tcW w:w="876" w:type="pct"/>
            <w:vMerge w:val="continue"/>
            <w:noWrap w:val="0"/>
            <w:vAlign w:val="center"/>
          </w:tcPr>
          <w:p>
            <w:pPr>
              <w:pStyle w:val="30"/>
              <w:bidi w:val="0"/>
              <w:rPr>
                <w:rFonts w:hint="eastAsia"/>
              </w:rPr>
            </w:pPr>
          </w:p>
        </w:tc>
        <w:tc>
          <w:tcPr>
            <w:tcW w:w="1750" w:type="pct"/>
            <w:noWrap w:val="0"/>
            <w:vAlign w:val="center"/>
          </w:tcPr>
          <w:p>
            <w:pPr>
              <w:pStyle w:val="30"/>
              <w:bidi w:val="0"/>
              <w:rPr>
                <w:rFonts w:hint="eastAsia"/>
                <w:color w:val="auto"/>
              </w:rPr>
            </w:pPr>
            <w:r>
              <w:rPr>
                <w:rFonts w:hint="eastAsia"/>
                <w:color w:val="auto"/>
              </w:rPr>
              <w:t>履带</w:t>
            </w:r>
          </w:p>
        </w:tc>
        <w:tc>
          <w:tcPr>
            <w:tcW w:w="957" w:type="pct"/>
            <w:noWrap w:val="0"/>
            <w:vAlign w:val="center"/>
          </w:tcPr>
          <w:p>
            <w:pPr>
              <w:pStyle w:val="30"/>
              <w:bidi w:val="0"/>
              <w:rPr>
                <w:rFonts w:hint="eastAsia"/>
                <w:color w:val="auto"/>
              </w:rPr>
            </w:pPr>
            <w:r>
              <w:rPr>
                <w:rFonts w:hint="eastAsia"/>
                <w:color w:val="auto"/>
                <w:lang w:val="en-US" w:eastAsia="zh-CN"/>
              </w:rPr>
              <w:t>2</w:t>
            </w:r>
            <w:r>
              <w:rPr>
                <w:rFonts w:hint="eastAsia"/>
                <w:color w:val="auto"/>
              </w:rPr>
              <w:t>条</w:t>
            </w:r>
          </w:p>
        </w:tc>
        <w:tc>
          <w:tcPr>
            <w:tcW w:w="1415" w:type="pct"/>
            <w:noWrap w:val="0"/>
            <w:vAlign w:val="center"/>
          </w:tcPr>
          <w:p>
            <w:pPr>
              <w:pStyle w:val="30"/>
              <w:bidi w:val="0"/>
              <w:rPr>
                <w:rFonts w:hint="eastAsia"/>
                <w:lang w:val="en-US" w:eastAsia="zh-CN"/>
              </w:rPr>
            </w:pPr>
            <w:r>
              <w:rPr>
                <w:rFonts w:hint="eastAsia"/>
                <w:lang w:val="en-US" w:eastAsia="zh-CN"/>
              </w:rPr>
              <w:t>现有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jc w:val="center"/>
        </w:trPr>
        <w:tc>
          <w:tcPr>
            <w:tcW w:w="876" w:type="pct"/>
            <w:noWrap w:val="0"/>
            <w:vAlign w:val="center"/>
          </w:tcPr>
          <w:p>
            <w:pPr>
              <w:pStyle w:val="30"/>
              <w:bidi w:val="0"/>
              <w:rPr>
                <w:rFonts w:hint="eastAsia"/>
              </w:rPr>
            </w:pPr>
            <w:r>
              <w:rPr>
                <w:rFonts w:hint="eastAsia"/>
              </w:rPr>
              <w:t>动力</w:t>
            </w:r>
          </w:p>
        </w:tc>
        <w:tc>
          <w:tcPr>
            <w:tcW w:w="1750" w:type="pct"/>
            <w:noWrap w:val="0"/>
            <w:vAlign w:val="center"/>
          </w:tcPr>
          <w:p>
            <w:pPr>
              <w:pStyle w:val="30"/>
              <w:bidi w:val="0"/>
              <w:rPr>
                <w:rFonts w:hint="eastAsia" w:ascii="Times New Roman" w:hAnsi="Times New Roman" w:eastAsia="宋体" w:cstheme="minorBidi"/>
                <w:snapToGrid w:val="0"/>
                <w:sz w:val="21"/>
                <w:szCs w:val="24"/>
                <w:lang w:val="en-US" w:eastAsia="zh-CN" w:bidi="ar-SA"/>
              </w:rPr>
            </w:pPr>
            <w:r>
              <w:rPr>
                <w:rFonts w:hint="eastAsia"/>
              </w:rPr>
              <w:t>水泵</w:t>
            </w:r>
          </w:p>
        </w:tc>
        <w:tc>
          <w:tcPr>
            <w:tcW w:w="957" w:type="pct"/>
            <w:noWrap w:val="0"/>
            <w:vAlign w:val="center"/>
          </w:tcPr>
          <w:p>
            <w:pPr>
              <w:pStyle w:val="30"/>
              <w:bidi w:val="0"/>
              <w:rPr>
                <w:rFonts w:hint="eastAsia" w:ascii="Times New Roman" w:hAnsi="Times New Roman" w:eastAsia="宋体" w:cstheme="minorBidi"/>
                <w:snapToGrid w:val="0"/>
                <w:sz w:val="21"/>
                <w:szCs w:val="24"/>
                <w:lang w:val="en-US" w:eastAsia="zh-CN" w:bidi="ar-SA"/>
              </w:rPr>
            </w:pPr>
            <w:r>
              <w:rPr>
                <w:rFonts w:hint="eastAsia"/>
                <w:lang w:val="en-US" w:eastAsia="zh-CN"/>
              </w:rPr>
              <w:t>2</w:t>
            </w:r>
            <w:r>
              <w:rPr>
                <w:rFonts w:hint="eastAsia"/>
              </w:rPr>
              <w:t>台</w:t>
            </w:r>
          </w:p>
        </w:tc>
        <w:tc>
          <w:tcPr>
            <w:tcW w:w="1415" w:type="pct"/>
            <w:noWrap w:val="0"/>
            <w:vAlign w:val="center"/>
          </w:tcPr>
          <w:p>
            <w:pPr>
              <w:pStyle w:val="30"/>
              <w:bidi w:val="0"/>
              <w:rPr>
                <w:rFonts w:hint="eastAsia" w:ascii="Times New Roman" w:hAnsi="Times New Roman" w:eastAsia="宋体" w:cstheme="minorBidi"/>
                <w:snapToGrid w:val="0"/>
                <w:sz w:val="21"/>
                <w:szCs w:val="24"/>
                <w:lang w:val="en-US" w:eastAsia="zh-CN" w:bidi="ar-SA"/>
              </w:rPr>
            </w:pPr>
            <w:r>
              <w:rPr>
                <w:rFonts w:hint="eastAsia"/>
                <w:lang w:val="en-US" w:eastAsia="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jc w:val="center"/>
        </w:trPr>
        <w:tc>
          <w:tcPr>
            <w:tcW w:w="876" w:type="pct"/>
            <w:vMerge w:val="restart"/>
            <w:noWrap w:val="0"/>
            <w:vAlign w:val="center"/>
          </w:tcPr>
          <w:p>
            <w:pPr>
              <w:pStyle w:val="30"/>
              <w:bidi w:val="0"/>
              <w:rPr>
                <w:rFonts w:hint="eastAsia"/>
              </w:rPr>
            </w:pPr>
            <w:r>
              <w:rPr>
                <w:rFonts w:hint="eastAsia"/>
              </w:rPr>
              <w:t>环保</w:t>
            </w:r>
          </w:p>
        </w:tc>
        <w:tc>
          <w:tcPr>
            <w:tcW w:w="1750" w:type="pct"/>
            <w:noWrap w:val="0"/>
            <w:vAlign w:val="center"/>
          </w:tcPr>
          <w:p>
            <w:pPr>
              <w:pStyle w:val="30"/>
              <w:bidi w:val="0"/>
            </w:pPr>
            <w:r>
              <w:rPr>
                <w:rFonts w:hint="eastAsia"/>
              </w:rPr>
              <w:t>喷雾洒水设备</w:t>
            </w:r>
          </w:p>
        </w:tc>
        <w:tc>
          <w:tcPr>
            <w:tcW w:w="957" w:type="pct"/>
            <w:noWrap w:val="0"/>
            <w:vAlign w:val="center"/>
          </w:tcPr>
          <w:p>
            <w:pPr>
              <w:pStyle w:val="30"/>
              <w:bidi w:val="0"/>
              <w:rPr>
                <w:rFonts w:hint="eastAsia"/>
                <w:lang w:val="en-US" w:eastAsia="zh-CN"/>
              </w:rPr>
            </w:pPr>
            <w:r>
              <w:rPr>
                <w:rFonts w:hint="eastAsia"/>
                <w:lang w:val="en-US" w:eastAsia="zh-CN"/>
              </w:rPr>
              <w:t>2套</w:t>
            </w:r>
          </w:p>
        </w:tc>
        <w:tc>
          <w:tcPr>
            <w:tcW w:w="1415" w:type="pct"/>
            <w:noWrap w:val="0"/>
            <w:vAlign w:val="center"/>
          </w:tcPr>
          <w:p>
            <w:pPr>
              <w:pStyle w:val="30"/>
              <w:bidi w:val="0"/>
              <w:rPr>
                <w:rFonts w:hint="eastAsia"/>
                <w:lang w:val="en-US" w:eastAsia="zh-CN"/>
              </w:rPr>
            </w:pPr>
            <w:r>
              <w:rPr>
                <w:rFonts w:hint="eastAsia"/>
                <w:lang w:val="en-US" w:eastAsia="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jc w:val="center"/>
        </w:trPr>
        <w:tc>
          <w:tcPr>
            <w:tcW w:w="876" w:type="pct"/>
            <w:vMerge w:val="continue"/>
            <w:noWrap w:val="0"/>
            <w:vAlign w:val="center"/>
          </w:tcPr>
          <w:p>
            <w:pPr>
              <w:pStyle w:val="30"/>
              <w:bidi w:val="0"/>
              <w:rPr>
                <w:rFonts w:hint="eastAsia"/>
              </w:rPr>
            </w:pPr>
          </w:p>
        </w:tc>
        <w:tc>
          <w:tcPr>
            <w:tcW w:w="1750" w:type="pct"/>
            <w:noWrap w:val="0"/>
            <w:vAlign w:val="center"/>
          </w:tcPr>
          <w:p>
            <w:pPr>
              <w:pStyle w:val="30"/>
              <w:bidi w:val="0"/>
              <w:rPr>
                <w:rFonts w:hint="eastAsia"/>
              </w:rPr>
            </w:pPr>
            <w:r>
              <w:rPr>
                <w:rFonts w:hint="eastAsia"/>
              </w:rPr>
              <w:t>脉冲布袋除尘器</w:t>
            </w:r>
          </w:p>
        </w:tc>
        <w:tc>
          <w:tcPr>
            <w:tcW w:w="957" w:type="pct"/>
            <w:noWrap w:val="0"/>
            <w:vAlign w:val="center"/>
          </w:tcPr>
          <w:p>
            <w:pPr>
              <w:pStyle w:val="30"/>
              <w:bidi w:val="0"/>
              <w:rPr>
                <w:rFonts w:hint="eastAsia"/>
              </w:rPr>
            </w:pPr>
            <w:r>
              <w:rPr>
                <w:rFonts w:hint="eastAsia"/>
                <w:lang w:val="en-US" w:eastAsia="zh-CN"/>
              </w:rPr>
              <w:t>1套</w:t>
            </w:r>
          </w:p>
        </w:tc>
        <w:tc>
          <w:tcPr>
            <w:tcW w:w="1415" w:type="pct"/>
            <w:noWrap w:val="0"/>
            <w:vAlign w:val="center"/>
          </w:tcPr>
          <w:p>
            <w:pPr>
              <w:pStyle w:val="30"/>
              <w:bidi w:val="0"/>
              <w:rPr>
                <w:rFonts w:hint="eastAsia"/>
                <w:lang w:val="en-US" w:eastAsia="zh-CN"/>
              </w:rPr>
            </w:pPr>
            <w:r>
              <w:rPr>
                <w:rFonts w:hint="eastAsia"/>
                <w:lang w:val="en-US" w:eastAsia="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jc w:val="center"/>
        </w:trPr>
        <w:tc>
          <w:tcPr>
            <w:tcW w:w="876" w:type="pct"/>
            <w:vMerge w:val="continue"/>
            <w:noWrap w:val="0"/>
            <w:vAlign w:val="center"/>
          </w:tcPr>
          <w:p>
            <w:pPr>
              <w:pStyle w:val="30"/>
              <w:bidi w:val="0"/>
              <w:rPr>
                <w:rFonts w:hint="eastAsia"/>
              </w:rPr>
            </w:pPr>
          </w:p>
        </w:tc>
        <w:tc>
          <w:tcPr>
            <w:tcW w:w="1750" w:type="pct"/>
            <w:noWrap w:val="0"/>
            <w:vAlign w:val="center"/>
          </w:tcPr>
          <w:p>
            <w:pPr>
              <w:pStyle w:val="30"/>
              <w:bidi w:val="0"/>
              <w:rPr>
                <w:rFonts w:hint="eastAsia"/>
                <w:lang w:eastAsia="zh-CN"/>
              </w:rPr>
            </w:pPr>
            <w:r>
              <w:rPr>
                <w:rFonts w:hint="eastAsia"/>
                <w:lang w:eastAsia="zh-CN"/>
              </w:rPr>
              <w:t>集气罩</w:t>
            </w:r>
          </w:p>
        </w:tc>
        <w:tc>
          <w:tcPr>
            <w:tcW w:w="957" w:type="pct"/>
            <w:noWrap w:val="0"/>
            <w:vAlign w:val="center"/>
          </w:tcPr>
          <w:p>
            <w:pPr>
              <w:pStyle w:val="30"/>
              <w:bidi w:val="0"/>
              <w:rPr>
                <w:rFonts w:hint="eastAsia"/>
                <w:lang w:val="en-US" w:eastAsia="zh-CN"/>
              </w:rPr>
            </w:pPr>
            <w:r>
              <w:rPr>
                <w:rFonts w:hint="eastAsia"/>
                <w:lang w:val="en-US" w:eastAsia="zh-CN"/>
              </w:rPr>
              <w:t>2套</w:t>
            </w:r>
          </w:p>
        </w:tc>
        <w:tc>
          <w:tcPr>
            <w:tcW w:w="1415" w:type="pct"/>
            <w:noWrap w:val="0"/>
            <w:vAlign w:val="center"/>
          </w:tcPr>
          <w:p>
            <w:pPr>
              <w:pStyle w:val="30"/>
              <w:bidi w:val="0"/>
              <w:rPr>
                <w:rFonts w:hint="eastAsia"/>
                <w:lang w:val="en-US" w:eastAsia="zh-CN"/>
              </w:rPr>
            </w:pPr>
            <w:r>
              <w:rPr>
                <w:rFonts w:hint="eastAsia"/>
                <w:lang w:val="en-US" w:eastAsia="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jc w:val="center"/>
        </w:trPr>
        <w:tc>
          <w:tcPr>
            <w:tcW w:w="876" w:type="pct"/>
            <w:noWrap w:val="0"/>
            <w:vAlign w:val="center"/>
          </w:tcPr>
          <w:p>
            <w:pPr>
              <w:pStyle w:val="30"/>
              <w:bidi w:val="0"/>
              <w:rPr>
                <w:rFonts w:hint="eastAsia"/>
                <w:lang w:val="en-US" w:eastAsia="zh-CN"/>
              </w:rPr>
            </w:pPr>
            <w:r>
              <w:rPr>
                <w:rFonts w:hint="eastAsia"/>
                <w:lang w:val="en-US" w:eastAsia="zh-CN"/>
              </w:rPr>
              <w:t>/</w:t>
            </w:r>
          </w:p>
        </w:tc>
        <w:tc>
          <w:tcPr>
            <w:tcW w:w="1750" w:type="pct"/>
            <w:noWrap w:val="0"/>
            <w:vAlign w:val="center"/>
          </w:tcPr>
          <w:p>
            <w:pPr>
              <w:pStyle w:val="30"/>
              <w:bidi w:val="0"/>
              <w:rPr>
                <w:rFonts w:hint="eastAsia"/>
                <w:lang w:eastAsia="zh-CN"/>
              </w:rPr>
            </w:pPr>
            <w:r>
              <w:rPr>
                <w:rFonts w:hint="eastAsia"/>
                <w:lang w:eastAsia="zh-CN"/>
              </w:rPr>
              <w:t>洗车平台</w:t>
            </w:r>
          </w:p>
        </w:tc>
        <w:tc>
          <w:tcPr>
            <w:tcW w:w="957" w:type="pct"/>
            <w:noWrap w:val="0"/>
            <w:vAlign w:val="center"/>
          </w:tcPr>
          <w:p>
            <w:pPr>
              <w:pStyle w:val="30"/>
              <w:bidi w:val="0"/>
              <w:rPr>
                <w:rFonts w:hint="eastAsia"/>
                <w:lang w:val="en-US" w:eastAsia="zh-CN"/>
              </w:rPr>
            </w:pPr>
            <w:r>
              <w:rPr>
                <w:rFonts w:hint="eastAsia"/>
                <w:lang w:val="en-US" w:eastAsia="zh-CN"/>
              </w:rPr>
              <w:t>1台</w:t>
            </w:r>
          </w:p>
        </w:tc>
        <w:tc>
          <w:tcPr>
            <w:tcW w:w="1415" w:type="pct"/>
            <w:noWrap w:val="0"/>
            <w:vAlign w:val="center"/>
          </w:tcPr>
          <w:p>
            <w:pPr>
              <w:pStyle w:val="30"/>
              <w:bidi w:val="0"/>
              <w:rPr>
                <w:rFonts w:hint="eastAsia"/>
                <w:lang w:val="en-US" w:eastAsia="zh-CN"/>
              </w:rPr>
            </w:pPr>
            <w:r>
              <w:rPr>
                <w:rFonts w:hint="eastAsia"/>
                <w:lang w:val="en-US" w:eastAsia="zh-CN"/>
              </w:rPr>
              <w:t>新增</w:t>
            </w:r>
          </w:p>
        </w:tc>
      </w:tr>
    </w:tbl>
    <w:p>
      <w:pPr>
        <w:pStyle w:val="12"/>
        <w:rPr>
          <w:rFonts w:hint="eastAsia"/>
          <w:lang w:eastAsia="zh-CN"/>
        </w:rPr>
      </w:pPr>
    </w:p>
    <w:p>
      <w:pPr>
        <w:pStyle w:val="59"/>
        <w:bidi w:val="0"/>
        <w:ind w:left="0" w:leftChars="0" w:firstLine="0" w:firstLineChars="0"/>
        <w:jc w:val="center"/>
        <w:rPr>
          <w:rFonts w:hint="eastAsia"/>
          <w:lang w:val="en-US" w:eastAsia="zh-CN"/>
        </w:rPr>
      </w:pPr>
      <w:r>
        <w:rPr>
          <w:rFonts w:hint="eastAsia"/>
          <w:lang w:val="en-US" w:eastAsia="zh-CN"/>
        </w:rPr>
        <w:drawing>
          <wp:inline distT="0" distB="0" distL="114300" distR="114300">
            <wp:extent cx="2422525" cy="1955800"/>
            <wp:effectExtent l="0" t="0" r="15875" b="6350"/>
            <wp:docPr id="8" name="图片 8" descr="e24546dad9d2e090040209727fc5d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e24546dad9d2e090040209727fc5d41"/>
                    <pic:cNvPicPr>
                      <a:picLocks noChangeAspect="1"/>
                    </pic:cNvPicPr>
                  </pic:nvPicPr>
                  <pic:blipFill>
                    <a:blip r:embed="rId8"/>
                    <a:srcRect l="6788" t="465" r="7837" b="7635"/>
                    <a:stretch>
                      <a:fillRect/>
                    </a:stretch>
                  </pic:blipFill>
                  <pic:spPr>
                    <a:xfrm>
                      <a:off x="0" y="0"/>
                      <a:ext cx="2422525" cy="1955800"/>
                    </a:xfrm>
                    <a:prstGeom prst="rect">
                      <a:avLst/>
                    </a:prstGeom>
                  </pic:spPr>
                </pic:pic>
              </a:graphicData>
            </a:graphic>
          </wp:inline>
        </w:drawing>
      </w:r>
      <w:r>
        <w:rPr>
          <w:rFonts w:hint="eastAsia"/>
          <w:lang w:val="en-US" w:eastAsia="zh-CN"/>
        </w:rPr>
        <w:t xml:space="preserve">  </w:t>
      </w:r>
      <w:r>
        <w:rPr>
          <w:rFonts w:hint="eastAsia"/>
          <w:lang w:val="en-US" w:eastAsia="zh-CN"/>
        </w:rPr>
        <w:drawing>
          <wp:inline distT="0" distB="0" distL="114300" distR="114300">
            <wp:extent cx="2465705" cy="1959610"/>
            <wp:effectExtent l="0" t="0" r="10795" b="2540"/>
            <wp:docPr id="5" name="图片 5" descr="24e76b568358ec154179dce2d8785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24e76b568358ec154179dce2d8785ad"/>
                    <pic:cNvPicPr>
                      <a:picLocks noChangeAspect="1"/>
                    </pic:cNvPicPr>
                  </pic:nvPicPr>
                  <pic:blipFill>
                    <a:blip r:embed="rId9"/>
                    <a:srcRect t="14115" b="26286"/>
                    <a:stretch>
                      <a:fillRect/>
                    </a:stretch>
                  </pic:blipFill>
                  <pic:spPr>
                    <a:xfrm>
                      <a:off x="0" y="0"/>
                      <a:ext cx="2465705" cy="1959610"/>
                    </a:xfrm>
                    <a:prstGeom prst="rect">
                      <a:avLst/>
                    </a:prstGeom>
                  </pic:spPr>
                </pic:pic>
              </a:graphicData>
            </a:graphic>
          </wp:inline>
        </w:drawing>
      </w:r>
    </w:p>
    <w:p>
      <w:pPr>
        <w:pStyle w:val="59"/>
        <w:bidi w:val="0"/>
        <w:jc w:val="center"/>
        <w:rPr>
          <w:rFonts w:hint="eastAsia"/>
          <w:lang w:val="en-US" w:eastAsia="zh-CN"/>
        </w:rPr>
      </w:pPr>
      <w:r>
        <w:rPr>
          <w:rFonts w:hint="eastAsia"/>
          <w:lang w:val="en-US" w:eastAsia="zh-CN"/>
        </w:rPr>
        <w:t>图3.3-1  堆场概况</w:t>
      </w:r>
    </w:p>
    <w:p>
      <w:pPr>
        <w:bidi w:val="0"/>
        <w:rPr>
          <w:rFonts w:hint="eastAsia"/>
          <w:lang w:val="en-US" w:eastAsia="zh-CN"/>
        </w:rPr>
      </w:pPr>
      <w:r>
        <w:rPr>
          <w:rFonts w:hint="eastAsia"/>
          <w:lang w:val="en-US" w:eastAsia="zh-CN"/>
        </w:rPr>
        <w:t>周边500m范围内为企业、耕地及长江水域，无居民区等其他大气环境敏感点，车辆进出厂区道路十分便捷，且道路扬尘及车辆噪声对周边影响亦较小，具体产排污见4.1，影响分析见第6章。</w:t>
      </w:r>
    </w:p>
    <w:p>
      <w:pPr>
        <w:pStyle w:val="12"/>
        <w:rPr>
          <w:rFonts w:hint="default" w:eastAsia="宋体"/>
          <w:lang w:val="en-US" w:eastAsia="zh-CN"/>
        </w:rPr>
      </w:pPr>
      <w:r>
        <w:rPr>
          <w:rFonts w:hint="eastAsia"/>
          <w:lang w:val="en-US" w:eastAsia="zh-CN"/>
        </w:rPr>
        <w:t>同时由于防洪需要</w:t>
      </w:r>
      <w:r>
        <w:rPr>
          <w:rFonts w:hint="eastAsia"/>
          <w:sz w:val="24"/>
        </w:rPr>
        <w:t>岳阳市君山区水利安保工程（二洲子村-旅游路）项目</w:t>
      </w:r>
      <w:r>
        <w:rPr>
          <w:rFonts w:hint="eastAsia"/>
          <w:sz w:val="24"/>
          <w:lang w:eastAsia="zh-CN"/>
        </w:rPr>
        <w:t>的建设是必须的，根据施工方案项目建设过程中需设置临时堆场，堆场的占用期</w:t>
      </w:r>
      <w:r>
        <w:rPr>
          <w:rFonts w:hint="eastAsia"/>
          <w:sz w:val="24"/>
          <w:lang w:val="en-US" w:eastAsia="zh-CN"/>
        </w:rPr>
        <w:t>1.5年左右，预计2021年6月项目施工结束，随着项目建设完成，对临时堆场将进行复垦，对占地进行绿化，由于堆场原地块为荒地，水土保持能力差，复垦将对在地块上进行植被绿化，可以提高地块的水土保持能力，因此本项目有利于水土保持。因此从车辆的运输、对周边的环境影响及项目建设的经济性而言，将堆场变更至现地块后具有正面影响。</w:t>
      </w:r>
    </w:p>
    <w:p>
      <w:pPr>
        <w:pStyle w:val="3"/>
        <w:bidi w:val="0"/>
      </w:pPr>
      <w:bookmarkStart w:id="42" w:name="_Toc9542"/>
      <w:bookmarkStart w:id="43" w:name="_Toc517214627"/>
      <w:bookmarkStart w:id="44" w:name="_Toc1624"/>
      <w:r>
        <w:t>变更后工程分析</w:t>
      </w:r>
      <w:bookmarkEnd w:id="42"/>
      <w:bookmarkEnd w:id="43"/>
      <w:bookmarkEnd w:id="44"/>
    </w:p>
    <w:p>
      <w:pPr>
        <w:bidi w:val="0"/>
        <w:rPr>
          <w:rFonts w:hint="eastAsia"/>
        </w:rPr>
      </w:pPr>
      <w:r>
        <w:rPr>
          <w:rFonts w:hint="eastAsia"/>
        </w:rPr>
        <w:t>主要为</w:t>
      </w:r>
      <w:r>
        <w:rPr>
          <w:rFonts w:hint="eastAsia"/>
          <w:lang w:val="en-US" w:eastAsia="zh-CN"/>
        </w:rPr>
        <w:t>施工期临时占地</w:t>
      </w:r>
      <w:r>
        <w:rPr>
          <w:rFonts w:hint="eastAsia"/>
        </w:rPr>
        <w:t>变更，原</w:t>
      </w:r>
      <w:r>
        <w:rPr>
          <w:rFonts w:hint="eastAsia"/>
          <w:lang w:val="en-US" w:eastAsia="zh-CN"/>
        </w:rPr>
        <w:t>位于桑园居民区东侧</w:t>
      </w:r>
      <w:r>
        <w:rPr>
          <w:rFonts w:hint="eastAsia"/>
        </w:rPr>
        <w:t>，现由于原</w:t>
      </w:r>
      <w:r>
        <w:rPr>
          <w:rFonts w:hint="eastAsia"/>
          <w:lang w:eastAsia="zh-CN"/>
        </w:rPr>
        <w:t>临时堆场</w:t>
      </w:r>
      <w:r>
        <w:rPr>
          <w:rFonts w:hint="eastAsia"/>
        </w:rPr>
        <w:t>距离居民位置过近，运输过程不便。变更为湖南华南石化股份有限公司东北侧的荒地</w:t>
      </w:r>
      <w:r>
        <w:rPr>
          <w:rFonts w:hint="eastAsia"/>
          <w:lang w:eastAsia="zh-CN"/>
        </w:rPr>
        <w:t>，</w:t>
      </w:r>
      <w:r>
        <w:rPr>
          <w:rFonts w:hint="eastAsia"/>
          <w:highlight w:val="none"/>
          <w:lang w:val="en-US" w:eastAsia="zh-CN"/>
        </w:rPr>
        <w:t>属于湖南东洞庭湖国家级自然保护区实验区范围</w:t>
      </w:r>
      <w:r>
        <w:rPr>
          <w:rFonts w:hint="eastAsia"/>
        </w:rPr>
        <w:t>。</w:t>
      </w:r>
      <w:r>
        <w:rPr>
          <w:rFonts w:hint="eastAsia"/>
          <w:highlight w:val="none"/>
        </w:rPr>
        <w:t>此外项目</w:t>
      </w:r>
      <w:r>
        <w:rPr>
          <w:rFonts w:hint="eastAsia"/>
          <w:lang w:val="en-US" w:eastAsia="zh-CN"/>
        </w:rPr>
        <w:t>建设内容道路工程、涵洞结构工程、堤防工程、给排水工程、景观绿化及环境保护工程、交通配套设施工程、照明工程、S306省道临时保通道路及起点处连接道复建工程等均未发生变化，</w:t>
      </w:r>
      <w:r>
        <w:rPr>
          <w:rFonts w:hint="eastAsia"/>
          <w:highlight w:val="none"/>
        </w:rPr>
        <w:t>设备</w:t>
      </w:r>
      <w:r>
        <w:rPr>
          <w:rFonts w:hint="eastAsia"/>
          <w:highlight w:val="none"/>
          <w:lang w:eastAsia="zh-CN"/>
        </w:rPr>
        <w:t>、</w:t>
      </w:r>
      <w:r>
        <w:rPr>
          <w:rFonts w:hint="eastAsia"/>
          <w:highlight w:val="none"/>
        </w:rPr>
        <w:t>公用工程、</w:t>
      </w:r>
      <w:r>
        <w:rPr>
          <w:rFonts w:hint="eastAsia"/>
          <w:highlight w:val="none"/>
          <w:lang w:eastAsia="zh-CN"/>
        </w:rPr>
        <w:t>施工营地设置、</w:t>
      </w:r>
      <w:r>
        <w:rPr>
          <w:rFonts w:hint="eastAsia"/>
          <w:highlight w:val="none"/>
        </w:rPr>
        <w:t>劳动定员等不发生改变</w:t>
      </w:r>
      <w:r>
        <w:rPr>
          <w:rFonts w:hint="eastAsia"/>
        </w:rPr>
        <w:t>。</w:t>
      </w:r>
    </w:p>
    <w:p>
      <w:pPr>
        <w:pStyle w:val="4"/>
        <w:bidi w:val="0"/>
        <w:rPr>
          <w:rFonts w:hint="eastAsia"/>
          <w:lang w:eastAsia="zh-CN"/>
        </w:rPr>
      </w:pPr>
      <w:bookmarkStart w:id="45" w:name="_Toc28729"/>
      <w:r>
        <w:rPr>
          <w:rFonts w:hint="eastAsia"/>
          <w:lang w:val="en-US" w:eastAsia="zh-CN"/>
        </w:rPr>
        <w:t>工艺流程</w:t>
      </w:r>
      <w:bookmarkEnd w:id="45"/>
    </w:p>
    <w:p>
      <w:pPr>
        <w:bidi w:val="0"/>
        <w:rPr>
          <w:rFonts w:hint="eastAsia"/>
          <w:lang w:val="zh-CN" w:eastAsia="zh-CN"/>
        </w:rPr>
      </w:pPr>
      <w:r>
        <w:rPr>
          <w:rFonts w:hint="eastAsia"/>
          <w:lang w:eastAsia="zh-CN"/>
        </w:rPr>
        <w:t>项目堆场对</w:t>
      </w:r>
      <w:r>
        <w:rPr>
          <w:rFonts w:hint="eastAsia"/>
          <w:lang w:val="zh-CN" w:eastAsia="zh-CN"/>
        </w:rPr>
        <w:t>对K4+500～K5+020段已建路段挖出建筑材料破碎工艺流程见下图。</w:t>
      </w:r>
    </w:p>
    <w:p>
      <w:pPr>
        <w:pStyle w:val="30"/>
        <w:bidi w:val="0"/>
        <w:rPr>
          <w:snapToGrid w:val="0"/>
          <w:color w:val="auto"/>
          <w:kern w:val="0"/>
          <w:sz w:val="24"/>
        </w:rPr>
      </w:pPr>
      <w:r>
        <w:rPr>
          <w:snapToGrid w:val="0"/>
          <w:color w:val="auto"/>
          <w:kern w:val="0"/>
          <w:sz w:val="24"/>
        </w:rPr>
        <w:object>
          <v:shape id="_x0000_i1026" o:spt="75" type="#_x0000_t75" style="height:228.75pt;width:233.25pt;" o:ole="t" filled="f" o:preferrelative="t" stroked="f" coordsize="21600,21600">
            <v:path/>
            <v:fill on="f" focussize="0,0"/>
            <v:stroke on="f"/>
            <v:imagedata r:id="rId11" o:title=""/>
            <o:lock v:ext="edit" aspectratio="f"/>
            <w10:wrap type="none"/>
            <w10:anchorlock/>
          </v:shape>
          <o:OLEObject Type="Embed" ProgID="Visio.Drawing.15" ShapeID="_x0000_i1026" DrawAspect="Content" ObjectID="_1468075726" r:id="rId10">
            <o:LockedField>false</o:LockedField>
          </o:OLEObject>
        </w:object>
      </w:r>
    </w:p>
    <w:p>
      <w:pPr>
        <w:pStyle w:val="32"/>
        <w:bidi w:val="0"/>
        <w:rPr>
          <w:rFonts w:hint="eastAsia"/>
          <w:lang w:eastAsia="zh-CN"/>
        </w:rPr>
      </w:pPr>
      <w:r>
        <w:rPr>
          <w:rFonts w:hint="eastAsia"/>
          <w:lang w:eastAsia="zh-CN"/>
        </w:rPr>
        <w:t>图5-1  工艺流程及产污节点图</w:t>
      </w:r>
    </w:p>
    <w:p>
      <w:pPr>
        <w:pStyle w:val="4"/>
        <w:bidi w:val="0"/>
        <w:rPr>
          <w:rFonts w:hint="eastAsia"/>
          <w:lang w:eastAsia="zh-CN"/>
        </w:rPr>
      </w:pPr>
      <w:bookmarkStart w:id="46" w:name="_Toc13951"/>
      <w:r>
        <w:rPr>
          <w:rFonts w:hint="eastAsia"/>
          <w:lang w:val="en-US" w:eastAsia="zh-CN"/>
        </w:rPr>
        <w:t>施工期工程分析</w:t>
      </w:r>
      <w:bookmarkEnd w:id="46"/>
    </w:p>
    <w:p>
      <w:pPr>
        <w:rPr>
          <w:rFonts w:hint="default"/>
          <w:lang w:val="en-US" w:eastAsia="zh-CN"/>
        </w:rPr>
      </w:pPr>
      <w:r>
        <w:rPr>
          <w:rFonts w:hint="eastAsia"/>
        </w:rPr>
        <w:t>本项目</w:t>
      </w:r>
      <w:r>
        <w:rPr>
          <w:rFonts w:hint="eastAsia"/>
          <w:lang w:val="en-US" w:eastAsia="zh-CN"/>
        </w:rPr>
        <w:t>仅临时堆场位置及建设内容发生变化，因此本次变更仅对水利工程的施工期临时堆场污染源进行分析。</w:t>
      </w:r>
    </w:p>
    <w:p>
      <w:pPr>
        <w:pStyle w:val="2"/>
        <w:bidi w:val="0"/>
        <w:rPr>
          <w:rFonts w:hint="default"/>
          <w:lang w:val="en-US" w:eastAsia="zh-CN"/>
        </w:rPr>
      </w:pPr>
      <w:r>
        <w:rPr>
          <w:rFonts w:hint="eastAsia"/>
          <w:lang w:eastAsia="zh-CN"/>
        </w:rPr>
        <w:t>废气</w:t>
      </w:r>
    </w:p>
    <w:p>
      <w:pPr>
        <w:bidi w:val="0"/>
        <w:rPr>
          <w:rFonts w:hint="default"/>
          <w:b/>
          <w:bCs/>
          <w:lang w:val="en-US" w:eastAsia="zh-CN"/>
        </w:rPr>
      </w:pPr>
      <w:r>
        <w:rPr>
          <w:rFonts w:hint="default"/>
          <w:b/>
          <w:bCs/>
          <w:lang w:val="en-US" w:eastAsia="zh-CN"/>
        </w:rPr>
        <w:t>①装卸粉尘</w:t>
      </w:r>
    </w:p>
    <w:p>
      <w:pPr>
        <w:bidi w:val="0"/>
        <w:rPr>
          <w:rFonts w:hint="default"/>
          <w:lang w:val="en-US" w:eastAsia="zh-CN"/>
        </w:rPr>
      </w:pPr>
      <w:r>
        <w:rPr>
          <w:rFonts w:hint="default"/>
          <w:lang w:val="en-US" w:eastAsia="zh-CN"/>
        </w:rPr>
        <w:t>本项目</w:t>
      </w:r>
      <w:r>
        <w:rPr>
          <w:rFonts w:hint="eastAsia"/>
          <w:lang w:val="en-US" w:eastAsia="zh-CN"/>
        </w:rPr>
        <w:t>表土</w:t>
      </w:r>
      <w:r>
        <w:rPr>
          <w:rFonts w:hint="default"/>
          <w:lang w:val="en-US" w:eastAsia="zh-CN"/>
        </w:rPr>
        <w:t>进行</w:t>
      </w:r>
      <w:r>
        <w:rPr>
          <w:rFonts w:hint="eastAsia"/>
          <w:lang w:val="en-US" w:eastAsia="zh-CN"/>
        </w:rPr>
        <w:t>装卸</w:t>
      </w:r>
      <w:r>
        <w:rPr>
          <w:rFonts w:hint="default"/>
          <w:lang w:val="en-US" w:eastAsia="zh-CN"/>
        </w:rPr>
        <w:t>时有物料粉尘产生，主要为落差扬尘，从环境风洞实验及实际作业实践来看，取料作业时的起尘量远小于堆料作业时的起尘量，因此本环评装卸粉尘主要考虑堆料作业时的起尘量，主要与物料粒径、装卸时风速、落料落差、物料含水率及装卸物料量等因素有关，可采用交通部水运研究所和武汉水运工程学院提出的装卸起尘量经验公式估算：</w:t>
      </w:r>
    </w:p>
    <w:p>
      <w:pPr>
        <w:ind w:firstLine="0" w:firstLineChars="0"/>
        <w:jc w:val="center"/>
        <w:rPr>
          <w:rFonts w:ascii="Cambria Math" w:hAnsi="Cambria Math" w:eastAsia="仿宋_GB2312"/>
          <w:bCs/>
          <w:i/>
          <w:sz w:val="28"/>
          <w:szCs w:val="28"/>
          <w:vertAlign w:val="superscript"/>
        </w:rPr>
      </w:pPr>
      <w:r>
        <w:rPr>
          <w:rFonts w:ascii="Cambria Math" w:hAnsi="Cambria Math" w:eastAsia="仿宋_GB2312"/>
          <w:bCs/>
          <w:i/>
          <w:sz w:val="28"/>
          <w:szCs w:val="28"/>
        </w:rPr>
        <w:t>Q</w:t>
      </w:r>
      <w:r>
        <w:rPr>
          <w:rFonts w:ascii="Cambria Math" w:eastAsia="仿宋_GB2312"/>
          <w:bCs/>
          <w:i/>
          <w:sz w:val="28"/>
          <w:szCs w:val="28"/>
        </w:rPr>
        <w:t>＝</w:t>
      </w:r>
      <w:r>
        <w:rPr>
          <w:rFonts w:ascii="Cambria Math" w:hAnsi="Cambria Math" w:eastAsia="仿宋_GB2312"/>
          <w:bCs/>
          <w:i/>
          <w:sz w:val="28"/>
          <w:szCs w:val="28"/>
        </w:rPr>
        <w:t>0.03</w:t>
      </w:r>
      <w:r>
        <w:rPr>
          <w:rFonts w:hint="eastAsia" w:ascii="Cambria Math" w:hAnsi="Cambria Math" w:eastAsia="仿宋_GB2312"/>
          <w:bCs/>
          <w:i/>
          <w:sz w:val="28"/>
          <w:szCs w:val="28"/>
        </w:rPr>
        <w:t>×</w:t>
      </w:r>
      <w:r>
        <w:rPr>
          <w:rFonts w:ascii="Cambria Math" w:hAnsi="Cambria Math" w:eastAsia="仿宋_GB2312"/>
          <w:bCs/>
          <w:i/>
          <w:sz w:val="28"/>
          <w:szCs w:val="28"/>
        </w:rPr>
        <w:t>U</w:t>
      </w:r>
      <w:r>
        <w:rPr>
          <w:rFonts w:ascii="Cambria Math" w:hAnsi="Cambria Math" w:eastAsia="仿宋_GB2312"/>
          <w:bCs/>
          <w:i/>
          <w:sz w:val="28"/>
          <w:szCs w:val="28"/>
          <w:vertAlign w:val="superscript"/>
        </w:rPr>
        <w:t>1.6</w:t>
      </w:r>
      <w:r>
        <w:rPr>
          <w:rFonts w:hint="eastAsia" w:ascii="Cambria Math" w:hAnsi="Cambria Math" w:eastAsia="仿宋_GB2312"/>
          <w:bCs/>
          <w:i/>
          <w:sz w:val="28"/>
          <w:szCs w:val="28"/>
        </w:rPr>
        <w:t>×</w:t>
      </w:r>
      <w:r>
        <w:rPr>
          <w:rFonts w:ascii="Cambria Math" w:hAnsi="Cambria Math" w:eastAsia="仿宋_GB2312"/>
          <w:bCs/>
          <w:i/>
          <w:sz w:val="28"/>
          <w:szCs w:val="28"/>
        </w:rPr>
        <w:t>H</w:t>
      </w:r>
      <w:r>
        <w:rPr>
          <w:rFonts w:ascii="Cambria Math" w:hAnsi="Cambria Math" w:eastAsia="仿宋_GB2312"/>
          <w:bCs/>
          <w:i/>
          <w:sz w:val="28"/>
          <w:szCs w:val="28"/>
          <w:vertAlign w:val="superscript"/>
        </w:rPr>
        <w:t>1.23</w:t>
      </w:r>
      <w:r>
        <w:rPr>
          <w:rFonts w:hint="eastAsia" w:ascii="Cambria Math" w:hAnsi="Cambria Math" w:eastAsia="仿宋_GB2312"/>
          <w:bCs/>
          <w:i/>
          <w:sz w:val="28"/>
          <w:szCs w:val="28"/>
        </w:rPr>
        <w:t>×K×</w:t>
      </w:r>
      <w:r>
        <w:rPr>
          <w:rFonts w:ascii="Cambria Math" w:hAnsi="Cambria Math" w:eastAsia="仿宋_GB2312"/>
          <w:bCs/>
          <w:i/>
          <w:sz w:val="28"/>
          <w:szCs w:val="28"/>
        </w:rPr>
        <w:t>e</w:t>
      </w:r>
      <w:r>
        <w:rPr>
          <w:rFonts w:ascii="Cambria Math" w:hAnsi="Cambria Math" w:eastAsia="仿宋_GB2312"/>
          <w:bCs/>
          <w:i/>
          <w:sz w:val="28"/>
          <w:szCs w:val="28"/>
          <w:vertAlign w:val="superscript"/>
        </w:rPr>
        <w:t>-0.28ω</w:t>
      </w:r>
    </w:p>
    <w:p>
      <w:pPr>
        <w:ind w:firstLine="480"/>
      </w:pPr>
      <w:r>
        <w:rPr>
          <w:rFonts w:hint="eastAsia"/>
        </w:rPr>
        <w:t>式中：</w:t>
      </w:r>
    </w:p>
    <w:p>
      <w:pPr>
        <w:ind w:firstLine="480"/>
      </w:pPr>
      <w:r>
        <w:rPr>
          <w:rFonts w:hint="eastAsia"/>
        </w:rPr>
        <w:t>Q—物料装卸时机械落差起尘量，</w:t>
      </w:r>
      <w:r>
        <w:t>kg</w:t>
      </w:r>
      <w:r>
        <w:rPr>
          <w:rFonts w:hint="eastAsia"/>
        </w:rPr>
        <w:t>/h；</w:t>
      </w:r>
    </w:p>
    <w:p>
      <w:pPr>
        <w:ind w:firstLine="480"/>
      </w:pPr>
      <w:r>
        <w:t>U—</w:t>
      </w:r>
      <w:r>
        <w:rPr>
          <w:rFonts w:hint="eastAsia"/>
        </w:rPr>
        <w:t>平均风速，m/s，</w:t>
      </w:r>
      <w:r>
        <w:rPr>
          <w:rFonts w:hint="eastAsia"/>
          <w:szCs w:val="24"/>
        </w:rPr>
        <w:t>考虑到不利气象条件，本次评价中风速取值采用</w:t>
      </w:r>
      <w:r>
        <w:rPr>
          <w:rFonts w:hint="eastAsia"/>
          <w:szCs w:val="24"/>
          <w:lang w:val="en-US" w:eastAsia="zh-CN"/>
        </w:rPr>
        <w:t>岳阳市</w:t>
      </w:r>
      <w:r>
        <w:rPr>
          <w:rFonts w:hint="eastAsia"/>
          <w:szCs w:val="24"/>
        </w:rPr>
        <w:t>多年平均风速2</w:t>
      </w:r>
      <w:r>
        <w:rPr>
          <w:rFonts w:hint="eastAsia"/>
          <w:szCs w:val="24"/>
          <w:lang w:val="en-US" w:eastAsia="zh-CN"/>
        </w:rPr>
        <w:t>.9</w:t>
      </w:r>
      <w:r>
        <w:rPr>
          <w:rFonts w:hint="eastAsia"/>
          <w:szCs w:val="24"/>
        </w:rPr>
        <w:t>m/s</w:t>
      </w:r>
      <w:r>
        <w:rPr>
          <w:rFonts w:hint="eastAsia"/>
          <w:szCs w:val="24"/>
          <w:lang w:eastAsia="zh-CN"/>
        </w:rPr>
        <w:t>，</w:t>
      </w:r>
      <w:r>
        <w:rPr>
          <w:rFonts w:hint="eastAsia"/>
          <w:szCs w:val="24"/>
        </w:rPr>
        <w:t>和90%保证率下的最大风速</w:t>
      </w:r>
      <w:r>
        <w:rPr>
          <w:rFonts w:hint="eastAsia"/>
          <w:szCs w:val="24"/>
          <w:lang w:val="en-US" w:eastAsia="zh-CN"/>
        </w:rPr>
        <w:t>28</w:t>
      </w:r>
      <w:r>
        <w:rPr>
          <w:rFonts w:hint="eastAsia"/>
          <w:szCs w:val="24"/>
        </w:rPr>
        <w:t>m/s（代表不利气象条件）</w:t>
      </w:r>
      <w:r>
        <w:rPr>
          <w:rFonts w:hint="eastAsia"/>
        </w:rPr>
        <w:t>；</w:t>
      </w:r>
    </w:p>
    <w:p>
      <w:pPr>
        <w:ind w:firstLine="480"/>
      </w:pPr>
      <w:r>
        <w:rPr>
          <w:rFonts w:hint="eastAsia"/>
        </w:rPr>
        <w:t>H—物料落差，m，装车时均取</w:t>
      </w:r>
      <w:r>
        <w:rPr>
          <w:rFonts w:hint="eastAsia"/>
          <w:lang w:val="en-US" w:eastAsia="zh-CN"/>
        </w:rPr>
        <w:t>1.2</w:t>
      </w:r>
      <w:r>
        <w:rPr>
          <w:rFonts w:hint="eastAsia"/>
        </w:rPr>
        <w:t>m；</w:t>
      </w:r>
    </w:p>
    <w:p>
      <w:pPr>
        <w:ind w:firstLine="480"/>
      </w:pPr>
      <w:r>
        <w:t>w</w:t>
      </w:r>
      <w:r>
        <w:rPr>
          <w:rFonts w:hint="eastAsia"/>
        </w:rPr>
        <w:t>—物料含水率，%，正常情况下，来料砂石的含水率较高（可达</w:t>
      </w:r>
      <w:r>
        <w:rPr>
          <w:rFonts w:hint="eastAsia"/>
          <w:lang w:val="en-US" w:eastAsia="zh-CN"/>
        </w:rPr>
        <w:t>6</w:t>
      </w:r>
      <w:r>
        <w:rPr>
          <w:rFonts w:hint="eastAsia"/>
        </w:rPr>
        <w:t>~</w:t>
      </w:r>
      <w:r>
        <w:rPr>
          <w:rFonts w:hint="eastAsia"/>
          <w:lang w:val="en-US" w:eastAsia="zh-CN"/>
        </w:rPr>
        <w:t>10</w:t>
      </w:r>
      <w:r>
        <w:rPr>
          <w:rFonts w:hint="eastAsia"/>
        </w:rPr>
        <w:t>%），同时本项目在砂石装卸作业时视物料的干湿程度采取必要的洒水抑尘措施，可保证砂石装卸时含水率达到8%；</w:t>
      </w:r>
    </w:p>
    <w:p>
      <w:pPr>
        <w:ind w:firstLine="480"/>
      </w:pPr>
      <w:r>
        <w:rPr>
          <w:rFonts w:hint="eastAsia"/>
        </w:rPr>
        <w:t>K—卸料机抓斗的机械作业能力，t/h，本项目每台吊机抓斗和铲车铲斗的装载量均为3t，每次堆料作业时间均以60s计，则其机械作业能力均取180t/h。</w:t>
      </w:r>
    </w:p>
    <w:p>
      <w:pPr>
        <w:bidi w:val="0"/>
        <w:rPr>
          <w:rFonts w:hint="default"/>
          <w:lang w:val="en-US" w:eastAsia="zh-CN"/>
        </w:rPr>
      </w:pPr>
      <w:r>
        <w:rPr>
          <w:rFonts w:hint="default"/>
          <w:lang w:val="en-US" w:eastAsia="zh-CN"/>
        </w:rPr>
        <w:t>本项目砂石卸</w:t>
      </w:r>
      <w:r>
        <w:rPr>
          <w:rFonts w:hint="eastAsia"/>
          <w:lang w:val="en-US" w:eastAsia="zh-CN"/>
        </w:rPr>
        <w:t>车</w:t>
      </w:r>
      <w:r>
        <w:rPr>
          <w:rFonts w:hint="default"/>
          <w:lang w:val="en-US" w:eastAsia="zh-CN"/>
        </w:rPr>
        <w:t>和装车产生的物料粉尘等同考虑，通过计算可得，以保证砂石含水率达8%为前提，正常风速（取</w:t>
      </w:r>
      <w:r>
        <w:rPr>
          <w:rFonts w:hint="eastAsia"/>
          <w:lang w:val="en-US" w:eastAsia="zh-CN"/>
        </w:rPr>
        <w:t>岳阳市</w:t>
      </w:r>
      <w:r>
        <w:rPr>
          <w:rFonts w:hint="default"/>
          <w:lang w:val="en-US" w:eastAsia="zh-CN"/>
        </w:rPr>
        <w:t>多年平均风速</w:t>
      </w:r>
      <w:r>
        <w:rPr>
          <w:rFonts w:hint="eastAsia"/>
          <w:lang w:val="en-US" w:eastAsia="zh-CN"/>
        </w:rPr>
        <w:t>2.9</w:t>
      </w:r>
      <w:r>
        <w:rPr>
          <w:rFonts w:hint="default"/>
          <w:lang w:val="en-US" w:eastAsia="zh-CN"/>
        </w:rPr>
        <w:t>m/s）和不利气象（取90%保证率下的最大风速</w:t>
      </w:r>
      <w:r>
        <w:rPr>
          <w:rFonts w:hint="eastAsia"/>
          <w:lang w:val="en-US" w:eastAsia="zh-CN"/>
        </w:rPr>
        <w:t>28</w:t>
      </w:r>
      <w:r>
        <w:rPr>
          <w:rFonts w:hint="default"/>
          <w:lang w:val="en-US" w:eastAsia="zh-CN"/>
        </w:rPr>
        <w:t>m/s）条件下，故正常风速下</w:t>
      </w:r>
      <w:r>
        <w:rPr>
          <w:rFonts w:hint="eastAsia"/>
          <w:lang w:val="en-US" w:eastAsia="zh-CN"/>
        </w:rPr>
        <w:t>装卸</w:t>
      </w:r>
      <w:r>
        <w:rPr>
          <w:rFonts w:hint="default"/>
          <w:lang w:val="en-US" w:eastAsia="zh-CN"/>
        </w:rPr>
        <w:t>作业起尘量均为1.14kg/h；不利气象条件下卸船、装车作业起尘量为11.</w:t>
      </w:r>
      <w:r>
        <w:rPr>
          <w:rFonts w:hint="eastAsia"/>
          <w:lang w:val="en-US" w:eastAsia="zh-CN"/>
        </w:rPr>
        <w:t>6</w:t>
      </w:r>
      <w:r>
        <w:rPr>
          <w:rFonts w:hint="default"/>
          <w:lang w:val="en-US" w:eastAsia="zh-CN"/>
        </w:rPr>
        <w:t>4kg/h。</w:t>
      </w:r>
    </w:p>
    <w:p>
      <w:pPr>
        <w:bidi w:val="0"/>
        <w:rPr>
          <w:rFonts w:hint="default"/>
          <w:color w:val="auto"/>
          <w:lang w:val="en-US" w:eastAsia="zh-CN"/>
        </w:rPr>
      </w:pPr>
      <w:r>
        <w:rPr>
          <w:rFonts w:hint="default"/>
          <w:lang w:val="en-US" w:eastAsia="zh-CN"/>
        </w:rPr>
        <w:t>本项目经营转运货种为沙石，物料粒径较大，其中沙</w:t>
      </w:r>
      <w:r>
        <w:rPr>
          <w:rFonts w:hint="eastAsia"/>
          <w:lang w:val="en-US" w:eastAsia="zh-CN"/>
        </w:rPr>
        <w:t>子</w:t>
      </w:r>
      <w:r>
        <w:rPr>
          <w:rFonts w:hint="default"/>
          <w:lang w:val="en-US" w:eastAsia="zh-CN"/>
        </w:rPr>
        <w:t>的细度模数在2.0~3.2（平均粒径为0.3~0.5mm）之间，含泥量一般约1~1.5%，石子一般粒径为5~20mm，含泥量约0.03%，正常风速条件下装卸作业时粒径大于0.1mm的物料一般不会作为尘源，产生的粉尘主要源自砂石物料中混杂的泥沙，因此正常风速条件下本项目装卸黄沙和石子时的实际粉尘排放量分别按上述计算起尘量的1.5%和0.03%计，即正常风速下，黄沙装</w:t>
      </w:r>
      <w:r>
        <w:rPr>
          <w:rFonts w:hint="default"/>
          <w:color w:val="auto"/>
          <w:lang w:val="en-US" w:eastAsia="zh-CN"/>
        </w:rPr>
        <w:t>卸时起尘量为0.017kg/h，石子装卸时起尘量为0.00034kg/h</w:t>
      </w:r>
      <w:r>
        <w:rPr>
          <w:rFonts w:hint="eastAsia"/>
          <w:color w:val="auto"/>
          <w:lang w:val="en-US" w:eastAsia="zh-CN"/>
        </w:rPr>
        <w:t>，</w:t>
      </w:r>
      <w:r>
        <w:rPr>
          <w:rFonts w:hint="default"/>
          <w:color w:val="auto"/>
          <w:lang w:val="en-US" w:eastAsia="zh-CN"/>
        </w:rPr>
        <w:t>装卸粉尘均为无组织排放，排放情况见</w:t>
      </w:r>
      <w:r>
        <w:rPr>
          <w:rFonts w:hint="eastAsia"/>
          <w:color w:val="auto"/>
          <w:lang w:val="en-US" w:eastAsia="zh-CN"/>
        </w:rPr>
        <w:t>下表</w:t>
      </w:r>
      <w:r>
        <w:rPr>
          <w:rFonts w:hint="default"/>
          <w:color w:val="auto"/>
          <w:lang w:val="en-US" w:eastAsia="zh-CN"/>
        </w:rPr>
        <w:t>。</w:t>
      </w:r>
    </w:p>
    <w:p>
      <w:pPr>
        <w:pStyle w:val="29"/>
        <w:bidi w:val="0"/>
      </w:pPr>
      <w:r>
        <w:rPr>
          <w:rFonts w:hint="eastAsia"/>
        </w:rPr>
        <w:t>表</w:t>
      </w:r>
      <w:r>
        <w:rPr>
          <w:rFonts w:hint="eastAsia"/>
          <w:lang w:val="en-US" w:eastAsia="zh-CN"/>
        </w:rPr>
        <w:t>4.1</w:t>
      </w:r>
      <w:r>
        <w:rPr>
          <w:rFonts w:hint="eastAsia"/>
        </w:rPr>
        <w:t>-1 砂石装卸粉尘排放情况</w:t>
      </w:r>
    </w:p>
    <w:tbl>
      <w:tblPr>
        <w:tblStyle w:val="21"/>
        <w:tblW w:w="499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36"/>
        <w:gridCol w:w="736"/>
        <w:gridCol w:w="1142"/>
        <w:gridCol w:w="2942"/>
        <w:gridCol w:w="296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2" w:type="pct"/>
            <w:vMerge w:val="restart"/>
            <w:tcBorders>
              <w:tl2br w:val="nil"/>
              <w:tr2bl w:val="nil"/>
            </w:tcBorders>
            <w:vAlign w:val="center"/>
          </w:tcPr>
          <w:p>
            <w:pPr>
              <w:pStyle w:val="30"/>
              <w:bidi w:val="0"/>
            </w:pPr>
            <w:r>
              <w:rPr>
                <w:rFonts w:hint="eastAsia"/>
              </w:rPr>
              <w:t>污染源</w:t>
            </w:r>
          </w:p>
        </w:tc>
        <w:tc>
          <w:tcPr>
            <w:tcW w:w="432" w:type="pct"/>
            <w:vMerge w:val="restart"/>
            <w:tcBorders>
              <w:tl2br w:val="nil"/>
              <w:tr2bl w:val="nil"/>
            </w:tcBorders>
            <w:vAlign w:val="center"/>
          </w:tcPr>
          <w:p>
            <w:pPr>
              <w:pStyle w:val="30"/>
              <w:bidi w:val="0"/>
            </w:pPr>
            <w:r>
              <w:rPr>
                <w:rFonts w:hint="eastAsia"/>
              </w:rPr>
              <w:t>状态</w:t>
            </w:r>
          </w:p>
        </w:tc>
        <w:tc>
          <w:tcPr>
            <w:tcW w:w="669" w:type="pct"/>
            <w:vMerge w:val="restart"/>
            <w:tcBorders>
              <w:tl2br w:val="nil"/>
              <w:tr2bl w:val="nil"/>
            </w:tcBorders>
            <w:vAlign w:val="center"/>
          </w:tcPr>
          <w:p>
            <w:pPr>
              <w:pStyle w:val="30"/>
              <w:bidi w:val="0"/>
            </w:pPr>
            <w:r>
              <w:rPr>
                <w:rFonts w:hint="eastAsia"/>
              </w:rPr>
              <w:t>污染物</w:t>
            </w:r>
          </w:p>
        </w:tc>
        <w:tc>
          <w:tcPr>
            <w:tcW w:w="1726" w:type="pct"/>
            <w:tcBorders>
              <w:tl2br w:val="nil"/>
              <w:tr2bl w:val="nil"/>
            </w:tcBorders>
            <w:vAlign w:val="center"/>
          </w:tcPr>
          <w:p>
            <w:pPr>
              <w:pStyle w:val="30"/>
              <w:bidi w:val="0"/>
            </w:pPr>
            <w:r>
              <w:rPr>
                <w:rFonts w:hint="eastAsia"/>
              </w:rPr>
              <w:t>正常风速</w:t>
            </w:r>
          </w:p>
        </w:tc>
        <w:tc>
          <w:tcPr>
            <w:tcW w:w="1738" w:type="pct"/>
            <w:tcBorders>
              <w:tl2br w:val="nil"/>
              <w:tr2bl w:val="nil"/>
            </w:tcBorders>
            <w:vAlign w:val="center"/>
          </w:tcPr>
          <w:p>
            <w:pPr>
              <w:pStyle w:val="30"/>
              <w:bidi w:val="0"/>
            </w:pPr>
            <w:r>
              <w:rPr>
                <w:rFonts w:hint="eastAsia"/>
              </w:rPr>
              <w:t>不利气象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2" w:type="pct"/>
            <w:vMerge w:val="continue"/>
            <w:tcBorders>
              <w:tl2br w:val="nil"/>
              <w:tr2bl w:val="nil"/>
            </w:tcBorders>
            <w:vAlign w:val="center"/>
          </w:tcPr>
          <w:p>
            <w:pPr>
              <w:pStyle w:val="30"/>
              <w:bidi w:val="0"/>
            </w:pPr>
          </w:p>
        </w:tc>
        <w:tc>
          <w:tcPr>
            <w:tcW w:w="432" w:type="pct"/>
            <w:vMerge w:val="continue"/>
            <w:tcBorders>
              <w:tl2br w:val="nil"/>
              <w:tr2bl w:val="nil"/>
            </w:tcBorders>
            <w:vAlign w:val="center"/>
          </w:tcPr>
          <w:p>
            <w:pPr>
              <w:pStyle w:val="30"/>
              <w:bidi w:val="0"/>
            </w:pPr>
          </w:p>
        </w:tc>
        <w:tc>
          <w:tcPr>
            <w:tcW w:w="669" w:type="pct"/>
            <w:vMerge w:val="continue"/>
            <w:tcBorders>
              <w:tl2br w:val="nil"/>
              <w:tr2bl w:val="nil"/>
            </w:tcBorders>
            <w:vAlign w:val="center"/>
          </w:tcPr>
          <w:p>
            <w:pPr>
              <w:pStyle w:val="30"/>
              <w:bidi w:val="0"/>
            </w:pPr>
          </w:p>
        </w:tc>
        <w:tc>
          <w:tcPr>
            <w:tcW w:w="1726" w:type="pct"/>
            <w:tcBorders>
              <w:tl2br w:val="nil"/>
              <w:tr2bl w:val="nil"/>
            </w:tcBorders>
            <w:vAlign w:val="center"/>
          </w:tcPr>
          <w:p>
            <w:pPr>
              <w:pStyle w:val="30"/>
              <w:bidi w:val="0"/>
            </w:pPr>
            <w:r>
              <w:rPr>
                <w:rFonts w:hint="eastAsia"/>
              </w:rPr>
              <w:t>排放速率（kg/h）</w:t>
            </w:r>
          </w:p>
        </w:tc>
        <w:tc>
          <w:tcPr>
            <w:tcW w:w="1738" w:type="pct"/>
            <w:tcBorders>
              <w:tl2br w:val="nil"/>
              <w:tr2bl w:val="nil"/>
            </w:tcBorders>
            <w:vAlign w:val="center"/>
          </w:tcPr>
          <w:p>
            <w:pPr>
              <w:pStyle w:val="30"/>
              <w:bidi w:val="0"/>
            </w:pPr>
            <w:r>
              <w:rPr>
                <w:rFonts w:hint="eastAsia"/>
              </w:rPr>
              <w:t>排放速率（kg/h）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2" w:type="pct"/>
            <w:tcBorders>
              <w:tl2br w:val="nil"/>
              <w:tr2bl w:val="nil"/>
            </w:tcBorders>
            <w:vAlign w:val="center"/>
          </w:tcPr>
          <w:p>
            <w:pPr>
              <w:pStyle w:val="30"/>
              <w:bidi w:val="0"/>
            </w:pPr>
            <w:r>
              <w:rPr>
                <w:rFonts w:hint="eastAsia"/>
              </w:rPr>
              <w:t>沙</w:t>
            </w:r>
            <w:r>
              <w:rPr>
                <w:rFonts w:hint="eastAsia"/>
                <w:lang w:val="en-US" w:eastAsia="zh-CN"/>
              </w:rPr>
              <w:t>子</w:t>
            </w:r>
            <w:r>
              <w:rPr>
                <w:rFonts w:hint="eastAsia"/>
              </w:rPr>
              <w:t>装卸</w:t>
            </w:r>
          </w:p>
        </w:tc>
        <w:tc>
          <w:tcPr>
            <w:tcW w:w="432" w:type="pct"/>
            <w:tcBorders>
              <w:tl2br w:val="nil"/>
              <w:tr2bl w:val="nil"/>
            </w:tcBorders>
            <w:vAlign w:val="center"/>
          </w:tcPr>
          <w:p>
            <w:pPr>
              <w:pStyle w:val="30"/>
              <w:bidi w:val="0"/>
              <w:rPr>
                <w:rFonts w:hint="eastAsia" w:eastAsia="宋体"/>
                <w:lang w:eastAsia="zh-CN"/>
              </w:rPr>
            </w:pPr>
            <w:r>
              <w:rPr>
                <w:rFonts w:hint="eastAsia"/>
                <w:lang w:val="en-US" w:eastAsia="zh-CN"/>
              </w:rPr>
              <w:t>装卸</w:t>
            </w:r>
          </w:p>
        </w:tc>
        <w:tc>
          <w:tcPr>
            <w:tcW w:w="669" w:type="pct"/>
            <w:tcBorders>
              <w:tl2br w:val="nil"/>
              <w:tr2bl w:val="nil"/>
            </w:tcBorders>
            <w:vAlign w:val="center"/>
          </w:tcPr>
          <w:p>
            <w:pPr>
              <w:pStyle w:val="30"/>
              <w:bidi w:val="0"/>
            </w:pPr>
            <w:r>
              <w:rPr>
                <w:rFonts w:hint="eastAsia"/>
              </w:rPr>
              <w:t>粉尘</w:t>
            </w:r>
          </w:p>
        </w:tc>
        <w:tc>
          <w:tcPr>
            <w:tcW w:w="1726" w:type="pct"/>
            <w:tcBorders>
              <w:tl2br w:val="nil"/>
              <w:tr2bl w:val="nil"/>
            </w:tcBorders>
            <w:vAlign w:val="center"/>
          </w:tcPr>
          <w:p>
            <w:pPr>
              <w:pStyle w:val="30"/>
              <w:bidi w:val="0"/>
            </w:pPr>
            <w:r>
              <w:rPr>
                <w:rFonts w:hint="eastAsia"/>
              </w:rPr>
              <w:t>0.017</w:t>
            </w:r>
          </w:p>
        </w:tc>
        <w:tc>
          <w:tcPr>
            <w:tcW w:w="1738" w:type="pct"/>
            <w:tcBorders>
              <w:tl2br w:val="nil"/>
              <w:tr2bl w:val="nil"/>
            </w:tcBorders>
            <w:vAlign w:val="center"/>
          </w:tcPr>
          <w:p>
            <w:pPr>
              <w:pStyle w:val="30"/>
              <w:bidi w:val="0"/>
            </w:pPr>
            <w:r>
              <w:rPr>
                <w:rFonts w:hint="eastAsia"/>
              </w:rPr>
              <w:t>11.04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2" w:type="pct"/>
            <w:tcBorders>
              <w:tl2br w:val="nil"/>
              <w:tr2bl w:val="nil"/>
            </w:tcBorders>
            <w:vAlign w:val="center"/>
          </w:tcPr>
          <w:p>
            <w:pPr>
              <w:pStyle w:val="30"/>
              <w:bidi w:val="0"/>
            </w:pPr>
            <w:r>
              <w:rPr>
                <w:rFonts w:hint="eastAsia"/>
              </w:rPr>
              <w:t>石子装卸</w:t>
            </w:r>
          </w:p>
        </w:tc>
        <w:tc>
          <w:tcPr>
            <w:tcW w:w="432" w:type="pct"/>
            <w:tcBorders>
              <w:tl2br w:val="nil"/>
              <w:tr2bl w:val="nil"/>
            </w:tcBorders>
            <w:vAlign w:val="center"/>
          </w:tcPr>
          <w:p>
            <w:pPr>
              <w:pStyle w:val="30"/>
              <w:bidi w:val="0"/>
              <w:rPr>
                <w:rFonts w:hint="eastAsia" w:eastAsia="宋体"/>
                <w:lang w:eastAsia="zh-CN"/>
              </w:rPr>
            </w:pPr>
            <w:r>
              <w:rPr>
                <w:rFonts w:hint="eastAsia"/>
                <w:lang w:val="en-US" w:eastAsia="zh-CN"/>
              </w:rPr>
              <w:t>装卸</w:t>
            </w:r>
          </w:p>
        </w:tc>
        <w:tc>
          <w:tcPr>
            <w:tcW w:w="669" w:type="pct"/>
            <w:tcBorders>
              <w:tl2br w:val="nil"/>
              <w:tr2bl w:val="nil"/>
            </w:tcBorders>
            <w:vAlign w:val="center"/>
          </w:tcPr>
          <w:p>
            <w:pPr>
              <w:pStyle w:val="30"/>
              <w:bidi w:val="0"/>
            </w:pPr>
            <w:r>
              <w:rPr>
                <w:rFonts w:hint="eastAsia"/>
              </w:rPr>
              <w:t>粉尘</w:t>
            </w:r>
          </w:p>
        </w:tc>
        <w:tc>
          <w:tcPr>
            <w:tcW w:w="1726" w:type="pct"/>
            <w:tcBorders>
              <w:tl2br w:val="nil"/>
              <w:tr2bl w:val="nil"/>
            </w:tcBorders>
            <w:vAlign w:val="center"/>
          </w:tcPr>
          <w:p>
            <w:pPr>
              <w:pStyle w:val="30"/>
              <w:bidi w:val="0"/>
            </w:pPr>
            <w:r>
              <w:rPr>
                <w:rFonts w:hint="eastAsia"/>
              </w:rPr>
              <w:t>0.00034</w:t>
            </w:r>
          </w:p>
        </w:tc>
        <w:tc>
          <w:tcPr>
            <w:tcW w:w="1738" w:type="pct"/>
            <w:tcBorders>
              <w:tl2br w:val="nil"/>
              <w:tr2bl w:val="nil"/>
            </w:tcBorders>
            <w:vAlign w:val="center"/>
          </w:tcPr>
          <w:p>
            <w:pPr>
              <w:pStyle w:val="30"/>
              <w:bidi w:val="0"/>
            </w:pPr>
            <w:r>
              <w:rPr>
                <w:rFonts w:hint="eastAsia"/>
              </w:rPr>
              <w:t>11.04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534" w:type="pct"/>
            <w:gridSpan w:val="3"/>
            <w:tcBorders>
              <w:tl2br w:val="nil"/>
              <w:tr2bl w:val="nil"/>
            </w:tcBorders>
            <w:vAlign w:val="center"/>
          </w:tcPr>
          <w:p>
            <w:pPr>
              <w:pStyle w:val="30"/>
              <w:bidi w:val="0"/>
            </w:pPr>
            <w:r>
              <w:rPr>
                <w:rFonts w:hint="eastAsia"/>
              </w:rPr>
              <w:t>总装卸粉尘</w:t>
            </w:r>
          </w:p>
        </w:tc>
        <w:tc>
          <w:tcPr>
            <w:tcW w:w="1726" w:type="pct"/>
            <w:tcBorders>
              <w:tl2br w:val="nil"/>
              <w:tr2bl w:val="nil"/>
            </w:tcBorders>
            <w:vAlign w:val="center"/>
          </w:tcPr>
          <w:p>
            <w:pPr>
              <w:pStyle w:val="30"/>
              <w:bidi w:val="0"/>
            </w:pPr>
            <w:r>
              <w:rPr>
                <w:rFonts w:hint="eastAsia"/>
              </w:rPr>
              <w:t>0.017*</w:t>
            </w:r>
          </w:p>
        </w:tc>
        <w:tc>
          <w:tcPr>
            <w:tcW w:w="1738" w:type="pct"/>
            <w:tcBorders>
              <w:tl2br w:val="nil"/>
              <w:tr2bl w:val="nil"/>
            </w:tcBorders>
            <w:vAlign w:val="center"/>
          </w:tcPr>
          <w:p>
            <w:pPr>
              <w:pStyle w:val="30"/>
              <w:bidi w:val="0"/>
            </w:pPr>
            <w:r>
              <w:rPr>
                <w:rFonts w:hint="eastAsia"/>
              </w:rPr>
              <w:t>11.04*</w:t>
            </w:r>
          </w:p>
        </w:tc>
      </w:tr>
    </w:tbl>
    <w:p>
      <w:pPr>
        <w:ind w:firstLine="482"/>
        <w:rPr>
          <w:b/>
          <w:bCs/>
        </w:rPr>
      </w:pPr>
      <w:r>
        <w:rPr>
          <w:rFonts w:hint="eastAsia"/>
          <w:b/>
          <w:bCs/>
        </w:rPr>
        <w:t>②堆场风扬尘</w:t>
      </w:r>
    </w:p>
    <w:p>
      <w:pPr>
        <w:ind w:firstLine="480"/>
      </w:pPr>
      <w:r>
        <w:rPr>
          <w:rFonts w:hint="eastAsia"/>
        </w:rPr>
        <w:t>本项目沙石子堆放暂存时会有风扬尘产生，影响其起尘量的主要因素为风速、堆放量及含水率等，可参照秦皇岛码头煤场起尘量经验估算模式：</w:t>
      </w:r>
    </w:p>
    <w:p>
      <w:pPr>
        <w:ind w:firstLine="0" w:firstLineChars="0"/>
        <w:jc w:val="center"/>
        <w:rPr>
          <w:rFonts w:ascii="Cambria Math" w:hAnsi="Cambria Math"/>
          <w:i/>
          <w:sz w:val="28"/>
        </w:rPr>
      </w:pPr>
      <w:r>
        <w:rPr>
          <w:rFonts w:ascii="Cambria Math" w:hAnsi="Cambria Math"/>
          <w:i/>
          <w:sz w:val="28"/>
        </w:rPr>
        <w:t>Q=0.0666</w:t>
      </w:r>
      <w:r>
        <w:rPr>
          <w:rFonts w:hint="eastAsia" w:ascii="Cambria Math" w:hAnsi="Cambria Math"/>
          <w:i/>
          <w:sz w:val="28"/>
        </w:rPr>
        <w:t>×</w:t>
      </w:r>
      <w:r>
        <w:rPr>
          <w:rFonts w:ascii="Cambria Math" w:hAnsi="Cambria Math"/>
          <w:i/>
          <w:sz w:val="28"/>
        </w:rPr>
        <w:t>k</w:t>
      </w:r>
      <w:r>
        <w:rPr>
          <w:rFonts w:hint="eastAsia" w:ascii="Cambria Math" w:hAnsi="Cambria Math"/>
          <w:i/>
          <w:sz w:val="28"/>
        </w:rPr>
        <w:t>×</w:t>
      </w:r>
      <w:r>
        <w:rPr>
          <w:rFonts w:ascii="Cambria Math"/>
          <w:i/>
          <w:sz w:val="28"/>
        </w:rPr>
        <w:t>（</w:t>
      </w:r>
      <w:r>
        <w:rPr>
          <w:rFonts w:ascii="Cambria Math" w:hAnsi="Cambria Math"/>
          <w:i/>
          <w:sz w:val="28"/>
        </w:rPr>
        <w:t>U</w:t>
      </w:r>
      <w:r>
        <w:rPr>
          <w:rFonts w:ascii="Cambria Math"/>
          <w:i/>
          <w:sz w:val="28"/>
        </w:rPr>
        <w:t>－</w:t>
      </w:r>
      <w:r>
        <w:rPr>
          <w:rFonts w:ascii="Cambria Math" w:hAnsi="Cambria Math"/>
          <w:i/>
          <w:sz w:val="28"/>
        </w:rPr>
        <w:t>U</w:t>
      </w:r>
      <w:r>
        <w:rPr>
          <w:rFonts w:ascii="Cambria Math" w:hAnsi="Cambria Math"/>
          <w:i/>
          <w:sz w:val="28"/>
          <w:vertAlign w:val="subscript"/>
        </w:rPr>
        <w:t>0</w:t>
      </w:r>
      <w:r>
        <w:rPr>
          <w:rFonts w:ascii="Cambria Math"/>
          <w:i/>
          <w:sz w:val="28"/>
        </w:rPr>
        <w:t>）</w:t>
      </w:r>
      <w:r>
        <w:rPr>
          <w:rFonts w:ascii="Cambria Math" w:hAnsi="Cambria Math"/>
          <w:i/>
          <w:sz w:val="28"/>
          <w:vertAlign w:val="superscript"/>
        </w:rPr>
        <w:t>3</w:t>
      </w:r>
      <w:r>
        <w:rPr>
          <w:rFonts w:hint="eastAsia" w:ascii="Cambria Math" w:hAnsi="Cambria Math"/>
          <w:i/>
          <w:sz w:val="28"/>
        </w:rPr>
        <w:t>×</w:t>
      </w:r>
      <w:r>
        <w:rPr>
          <w:rFonts w:ascii="Cambria Math" w:hAnsi="Cambria Math" w:eastAsia="仿宋_GB2312"/>
          <w:bCs/>
          <w:i/>
          <w:sz w:val="28"/>
          <w:szCs w:val="28"/>
        </w:rPr>
        <w:t>e</w:t>
      </w:r>
      <w:r>
        <w:rPr>
          <w:rFonts w:ascii="Cambria Math" w:hAnsi="Cambria Math" w:eastAsia="仿宋_GB2312"/>
          <w:bCs/>
          <w:i/>
          <w:sz w:val="28"/>
          <w:szCs w:val="28"/>
          <w:vertAlign w:val="superscript"/>
        </w:rPr>
        <w:t>（-1.023ω）</w:t>
      </w:r>
      <w:r>
        <w:rPr>
          <w:rFonts w:hint="eastAsia" w:ascii="Cambria Math" w:hAnsi="Cambria Math"/>
          <w:i/>
          <w:sz w:val="28"/>
        </w:rPr>
        <w:t>×</w:t>
      </w:r>
      <w:r>
        <w:rPr>
          <w:rFonts w:ascii="Cambria Math" w:hAnsi="Cambria Math" w:eastAsia="仿宋_GB2312"/>
          <w:bCs/>
          <w:i/>
          <w:sz w:val="28"/>
          <w:szCs w:val="28"/>
        </w:rPr>
        <w:t>M</w:t>
      </w:r>
    </w:p>
    <w:p>
      <w:pPr>
        <w:ind w:firstLine="480"/>
      </w:pPr>
      <w:r>
        <w:rPr>
          <w:rFonts w:hint="eastAsia"/>
        </w:rPr>
        <w:t>式中：</w:t>
      </w:r>
    </w:p>
    <w:p>
      <w:pPr>
        <w:ind w:firstLine="480"/>
      </w:pPr>
      <w:r>
        <w:rPr>
          <w:rFonts w:hint="eastAsia"/>
        </w:rPr>
        <w:t>Q—堆放场地起尘量，mg/s；</w:t>
      </w:r>
    </w:p>
    <w:p>
      <w:pPr>
        <w:ind w:firstLine="480"/>
      </w:pPr>
      <w:r>
        <w:t>k—</w:t>
      </w:r>
      <w:r>
        <w:rPr>
          <w:rFonts w:hint="eastAsia"/>
        </w:rPr>
        <w:t>与堆放物料含水率有关的系数，本项目通过必要的洒水抑尘措施保证堆场砂石含水率达到8%，k取0.963；</w:t>
      </w:r>
    </w:p>
    <w:p>
      <w:pPr>
        <w:ind w:firstLine="480"/>
      </w:pPr>
      <w:r>
        <w:rPr>
          <w:rFonts w:hint="eastAsia"/>
        </w:rPr>
        <w:t>U—50米高度处的风速，m/s，</w:t>
      </w:r>
      <w:r>
        <w:t>50m高度的风速可采取指数规律由地面风速推算得出，</w:t>
      </w:r>
      <w:r>
        <w:rPr>
          <w:rFonts w:hint="eastAsia"/>
        </w:rPr>
        <w:t>公式</w:t>
      </w:r>
      <w:r>
        <w:rPr>
          <w:rFonts w:hAnsi="宋体"/>
        </w:rPr>
        <w:t>为</w:t>
      </w:r>
      <w:r>
        <w:rPr>
          <w:szCs w:val="24"/>
        </w:rPr>
        <w:t>U</w:t>
      </w:r>
      <w:r>
        <w:rPr>
          <w:szCs w:val="24"/>
          <w:vertAlign w:val="subscript"/>
        </w:rPr>
        <w:t>50</w:t>
      </w:r>
      <w:r>
        <w:rPr>
          <w:szCs w:val="24"/>
        </w:rPr>
        <w:t>=U</w:t>
      </w:r>
      <w:r>
        <w:rPr>
          <w:szCs w:val="24"/>
          <w:vertAlign w:val="subscript"/>
        </w:rPr>
        <w:t>10</w:t>
      </w:r>
      <w:r>
        <w:rPr>
          <w:szCs w:val="24"/>
        </w:rPr>
        <w:t>(50/10)</w:t>
      </w:r>
      <w:r>
        <w:rPr>
          <w:szCs w:val="24"/>
          <w:vertAlign w:val="superscript"/>
        </w:rPr>
        <w:t>P</w:t>
      </w:r>
      <w:r>
        <w:rPr>
          <w:rFonts w:hAnsi="宋体"/>
          <w:szCs w:val="24"/>
        </w:rPr>
        <w:t>，由于</w:t>
      </w:r>
      <w:r>
        <w:rPr>
          <w:szCs w:val="24"/>
        </w:rPr>
        <w:t>50</w:t>
      </w:r>
      <w:r>
        <w:rPr>
          <w:rFonts w:hint="eastAsia"/>
          <w:szCs w:val="24"/>
        </w:rPr>
        <w:t>米高度以下为近地层，风速廓线可按中性条件对待，P指数值为1/7。考虑到不利气象条件，本次评价中风速取值采用</w:t>
      </w:r>
      <w:r>
        <w:rPr>
          <w:rFonts w:hint="eastAsia"/>
          <w:szCs w:val="24"/>
          <w:lang w:val="en-US" w:eastAsia="zh-CN"/>
        </w:rPr>
        <w:t>岳阳市</w:t>
      </w:r>
      <w:r>
        <w:rPr>
          <w:rFonts w:hint="eastAsia"/>
          <w:szCs w:val="24"/>
        </w:rPr>
        <w:t>多年平均风速</w:t>
      </w:r>
      <w:r>
        <w:rPr>
          <w:rFonts w:hint="eastAsia"/>
          <w:szCs w:val="24"/>
          <w:lang w:val="en-US" w:eastAsia="zh-CN"/>
        </w:rPr>
        <w:t>2.9</w:t>
      </w:r>
      <w:r>
        <w:rPr>
          <w:rFonts w:hint="eastAsia"/>
          <w:szCs w:val="24"/>
        </w:rPr>
        <w:t>m/s和90%保证率下的最大风速</w:t>
      </w:r>
      <w:r>
        <w:rPr>
          <w:rFonts w:hint="eastAsia"/>
          <w:szCs w:val="24"/>
          <w:lang w:val="en-US" w:eastAsia="zh-CN"/>
        </w:rPr>
        <w:t>28</w:t>
      </w:r>
      <w:r>
        <w:rPr>
          <w:rFonts w:hint="eastAsia"/>
          <w:szCs w:val="24"/>
        </w:rPr>
        <w:t>m/s（代表不利气象条件），计算后50米高度处的平均风速分别为3.3m/s和13.6m/s</w:t>
      </w:r>
      <w:r>
        <w:rPr>
          <w:rFonts w:hint="eastAsia"/>
        </w:rPr>
        <w:t>；</w:t>
      </w:r>
    </w:p>
    <w:p>
      <w:pPr>
        <w:ind w:firstLine="480"/>
      </w:pPr>
      <w:r>
        <w:rPr>
          <w:rFonts w:hint="eastAsia"/>
        </w:rPr>
        <w:t>U</w:t>
      </w:r>
      <w:r>
        <w:rPr>
          <w:rFonts w:hint="eastAsia"/>
          <w:vertAlign w:val="subscript"/>
        </w:rPr>
        <w:t>0</w:t>
      </w:r>
      <w:r>
        <w:rPr>
          <w:rFonts w:hint="eastAsia"/>
        </w:rPr>
        <w:t>—50米高度处的扬尘启动风速，m/s，参照灰场扬尘启动风速U=1.93</w:t>
      </w:r>
      <w:r>
        <w:rPr>
          <w:rFonts w:eastAsia="仿宋_GB2312"/>
          <w:bCs/>
          <w:sz w:val="28"/>
          <w:szCs w:val="28"/>
        </w:rPr>
        <w:t>ω</w:t>
      </w:r>
      <w:r>
        <w:rPr>
          <w:rFonts w:hint="eastAsia"/>
        </w:rPr>
        <w:t>+3.02，含水率达8%情况下为3.17m/s，则50米高度处的启动风速取3.99m/s；</w:t>
      </w:r>
    </w:p>
    <w:p>
      <w:pPr>
        <w:ind w:firstLine="480"/>
      </w:pPr>
      <w:r>
        <w:rPr>
          <w:rFonts w:hint="eastAsia"/>
        </w:rPr>
        <w:t>w—物料含水率，%，本项目视物料干湿程度采取必要的洒水抑尘措施，可保证堆场砂石含水率达到8%；</w:t>
      </w:r>
    </w:p>
    <w:p>
      <w:pPr>
        <w:ind w:firstLine="480"/>
      </w:pPr>
      <w:r>
        <w:rPr>
          <w:rFonts w:hint="eastAsia"/>
        </w:rPr>
        <w:t>M—堆场堆放的物料量，t，本项目堆场占地</w:t>
      </w:r>
      <w:r>
        <w:rPr>
          <w:rFonts w:hint="eastAsia"/>
          <w:lang w:val="en-US" w:eastAsia="zh-CN"/>
        </w:rPr>
        <w:t>18295m</w:t>
      </w:r>
      <w:r>
        <w:rPr>
          <w:rFonts w:hint="eastAsia"/>
          <w:vertAlign w:val="superscript"/>
          <w:lang w:val="en-US" w:eastAsia="zh-CN"/>
        </w:rPr>
        <w:t>2</w:t>
      </w:r>
      <w:r>
        <w:rPr>
          <w:rFonts w:hint="eastAsia"/>
        </w:rPr>
        <w:t>，最大堆高</w:t>
      </w:r>
      <w:r>
        <w:rPr>
          <w:rFonts w:hint="eastAsia"/>
          <w:lang w:val="en-US" w:eastAsia="zh-CN"/>
        </w:rPr>
        <w:t>1.5</w:t>
      </w:r>
      <w:r>
        <w:rPr>
          <w:rFonts w:hint="eastAsia"/>
        </w:rPr>
        <w:t>m，砂石料密度约为1600kg/</w:t>
      </w:r>
      <w:r>
        <w:rPr>
          <w:rFonts w:hint="eastAsia"/>
          <w:lang w:eastAsia="zh-CN"/>
        </w:rPr>
        <w:t>m</w:t>
      </w:r>
      <w:r>
        <w:rPr>
          <w:rFonts w:hint="eastAsia"/>
          <w:vertAlign w:val="superscript"/>
          <w:lang w:eastAsia="zh-CN"/>
        </w:rPr>
        <w:t>3</w:t>
      </w:r>
      <w:r>
        <w:rPr>
          <w:rFonts w:hint="eastAsia"/>
        </w:rPr>
        <w:t>，则堆场堆放的最大物料量取</w:t>
      </w:r>
      <w:r>
        <w:rPr>
          <w:rFonts w:hint="eastAsia"/>
          <w:lang w:val="en-US" w:eastAsia="zh-CN"/>
        </w:rPr>
        <w:t>9335</w:t>
      </w:r>
      <w:r>
        <w:rPr>
          <w:rFonts w:hint="eastAsia"/>
        </w:rPr>
        <w:t>t。</w:t>
      </w:r>
    </w:p>
    <w:p>
      <w:pPr>
        <w:ind w:firstLine="480"/>
      </w:pPr>
      <w:r>
        <w:rPr>
          <w:rFonts w:hint="eastAsia"/>
        </w:rPr>
        <w:t>通过计算可得，以保证砂石含水率达8%为前提，正常风速（取</w:t>
      </w:r>
      <w:r>
        <w:rPr>
          <w:rFonts w:hint="eastAsia"/>
          <w:lang w:val="en-US" w:eastAsia="zh-CN"/>
        </w:rPr>
        <w:t>岳阳市</w:t>
      </w:r>
      <w:r>
        <w:rPr>
          <w:rFonts w:hint="eastAsia"/>
        </w:rPr>
        <w:t>多年平均风速2.</w:t>
      </w:r>
      <w:r>
        <w:rPr>
          <w:rFonts w:hint="eastAsia"/>
          <w:lang w:val="en-US" w:eastAsia="zh-CN"/>
        </w:rPr>
        <w:t>9</w:t>
      </w:r>
      <w:r>
        <w:rPr>
          <w:rFonts w:hint="eastAsia"/>
        </w:rPr>
        <w:t>m/s）条件下未达扬尘启动风速，堆场产生的风扬尘可忽略不计，不利气象条件下（取90%保证率下的最大风速</w:t>
      </w:r>
      <w:r>
        <w:rPr>
          <w:rFonts w:hint="eastAsia"/>
          <w:lang w:val="en-US" w:eastAsia="zh-CN"/>
        </w:rPr>
        <w:t>29</w:t>
      </w:r>
      <w:r>
        <w:rPr>
          <w:rFonts w:hint="eastAsia"/>
        </w:rPr>
        <w:t>m/s）堆放场地的起尘量可达</w:t>
      </w:r>
      <w:r>
        <w:rPr>
          <w:rFonts w:hint="eastAsia"/>
          <w:lang w:val="en-US" w:eastAsia="zh-CN"/>
        </w:rPr>
        <w:t>35.4</w:t>
      </w:r>
      <w:r>
        <w:rPr>
          <w:rFonts w:hint="eastAsia"/>
        </w:rPr>
        <w:t>mg/s，即0.</w:t>
      </w:r>
      <w:r>
        <w:rPr>
          <w:rFonts w:hint="eastAsia"/>
          <w:lang w:val="en-US" w:eastAsia="zh-CN"/>
        </w:rPr>
        <w:t>15</w:t>
      </w:r>
      <w:r>
        <w:rPr>
          <w:rFonts w:hint="eastAsia"/>
        </w:rPr>
        <w:t>kg/h，均为无组织排放。本项目堆场风扬尘的排放情况见</w:t>
      </w:r>
      <w:r>
        <w:rPr>
          <w:rFonts w:hint="eastAsia"/>
          <w:lang w:val="en-US" w:eastAsia="zh-CN"/>
        </w:rPr>
        <w:t>下</w:t>
      </w:r>
      <w:r>
        <w:rPr>
          <w:rFonts w:hint="eastAsia"/>
        </w:rPr>
        <w:t>表。</w:t>
      </w:r>
    </w:p>
    <w:p>
      <w:pPr>
        <w:pStyle w:val="29"/>
        <w:bidi w:val="0"/>
      </w:pPr>
      <w:r>
        <w:rPr>
          <w:rFonts w:hint="eastAsia"/>
        </w:rPr>
        <w:t>表</w:t>
      </w:r>
      <w:r>
        <w:rPr>
          <w:rFonts w:hint="eastAsia"/>
          <w:lang w:val="en-US" w:eastAsia="zh-CN"/>
        </w:rPr>
        <w:t>4.1</w:t>
      </w:r>
      <w:r>
        <w:rPr>
          <w:rFonts w:hint="eastAsia"/>
        </w:rPr>
        <w:t>-2  堆场风扬尘排放情况</w:t>
      </w:r>
    </w:p>
    <w:tbl>
      <w:tblPr>
        <w:tblStyle w:val="21"/>
        <w:tblW w:w="9127" w:type="dxa"/>
        <w:tblInd w:w="0" w:type="dxa"/>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Layout w:type="fixed"/>
        <w:tblCellMar>
          <w:top w:w="0" w:type="dxa"/>
          <w:left w:w="108" w:type="dxa"/>
          <w:bottom w:w="0" w:type="dxa"/>
          <w:right w:w="108" w:type="dxa"/>
        </w:tblCellMar>
      </w:tblPr>
      <w:tblGrid>
        <w:gridCol w:w="1134"/>
        <w:gridCol w:w="1134"/>
        <w:gridCol w:w="1981"/>
        <w:gridCol w:w="2313"/>
        <w:gridCol w:w="2565"/>
      </w:tblGrid>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tcBorders>
              <w:left w:val="single" w:color="auto" w:sz="12" w:space="0"/>
              <w:bottom w:val="single" w:color="auto" w:sz="4" w:space="0"/>
              <w:right w:val="single" w:color="auto" w:sz="4" w:space="0"/>
            </w:tcBorders>
            <w:vAlign w:val="center"/>
          </w:tcPr>
          <w:p>
            <w:pPr>
              <w:pStyle w:val="30"/>
              <w:bidi w:val="0"/>
            </w:pPr>
            <w:r>
              <w:rPr>
                <w:rFonts w:hint="eastAsia"/>
              </w:rPr>
              <w:t>污染源</w:t>
            </w:r>
          </w:p>
        </w:tc>
        <w:tc>
          <w:tcPr>
            <w:tcW w:w="1134" w:type="dxa"/>
            <w:tcBorders>
              <w:left w:val="single" w:color="auto" w:sz="4" w:space="0"/>
              <w:bottom w:val="single" w:color="auto" w:sz="4" w:space="0"/>
              <w:right w:val="single" w:color="auto" w:sz="4" w:space="0"/>
            </w:tcBorders>
            <w:vAlign w:val="center"/>
          </w:tcPr>
          <w:p>
            <w:pPr>
              <w:pStyle w:val="30"/>
              <w:bidi w:val="0"/>
            </w:pPr>
            <w:r>
              <w:rPr>
                <w:rFonts w:hint="eastAsia"/>
              </w:rPr>
              <w:t>状态</w:t>
            </w:r>
          </w:p>
        </w:tc>
        <w:tc>
          <w:tcPr>
            <w:tcW w:w="1981" w:type="dxa"/>
            <w:tcBorders>
              <w:left w:val="single" w:color="auto" w:sz="4" w:space="0"/>
              <w:bottom w:val="single" w:color="auto" w:sz="4" w:space="0"/>
              <w:right w:val="single" w:color="auto" w:sz="4" w:space="0"/>
            </w:tcBorders>
            <w:vAlign w:val="center"/>
          </w:tcPr>
          <w:p>
            <w:pPr>
              <w:pStyle w:val="30"/>
              <w:bidi w:val="0"/>
            </w:pPr>
            <w:r>
              <w:rPr>
                <w:rFonts w:hint="eastAsia"/>
              </w:rPr>
              <w:t>污染物</w:t>
            </w:r>
          </w:p>
        </w:tc>
        <w:tc>
          <w:tcPr>
            <w:tcW w:w="2313" w:type="dxa"/>
            <w:tcBorders>
              <w:left w:val="single" w:color="auto" w:sz="4" w:space="0"/>
              <w:bottom w:val="single" w:color="auto" w:sz="4" w:space="0"/>
              <w:right w:val="single" w:color="auto" w:sz="4" w:space="0"/>
            </w:tcBorders>
            <w:vAlign w:val="center"/>
          </w:tcPr>
          <w:p>
            <w:pPr>
              <w:pStyle w:val="30"/>
              <w:bidi w:val="0"/>
            </w:pPr>
            <w:r>
              <w:rPr>
                <w:rFonts w:hint="eastAsia"/>
              </w:rPr>
              <w:t>排放速率（kg/h）</w:t>
            </w:r>
          </w:p>
        </w:tc>
        <w:tc>
          <w:tcPr>
            <w:tcW w:w="2565" w:type="dxa"/>
            <w:tcBorders>
              <w:left w:val="single" w:color="auto" w:sz="4" w:space="0"/>
              <w:bottom w:val="single" w:color="auto" w:sz="4" w:space="0"/>
              <w:right w:val="single" w:color="auto" w:sz="12" w:space="0"/>
            </w:tcBorders>
            <w:vAlign w:val="center"/>
          </w:tcPr>
          <w:p>
            <w:pPr>
              <w:pStyle w:val="30"/>
              <w:bidi w:val="0"/>
            </w:pPr>
            <w:r>
              <w:rPr>
                <w:rFonts w:hint="eastAsia"/>
              </w:rPr>
              <w:t>排放量（t/a）</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vMerge w:val="restart"/>
            <w:tcBorders>
              <w:top w:val="single" w:color="auto" w:sz="4" w:space="0"/>
              <w:left w:val="single" w:color="auto" w:sz="12" w:space="0"/>
              <w:bottom w:val="single" w:color="auto" w:sz="4" w:space="0"/>
              <w:right w:val="single" w:color="auto" w:sz="4" w:space="0"/>
            </w:tcBorders>
            <w:vAlign w:val="center"/>
          </w:tcPr>
          <w:p>
            <w:pPr>
              <w:pStyle w:val="30"/>
              <w:bidi w:val="0"/>
            </w:pPr>
            <w:r>
              <w:rPr>
                <w:rFonts w:hint="eastAsia"/>
              </w:rPr>
              <w:t>堆场风扬尘</w:t>
            </w:r>
          </w:p>
        </w:tc>
        <w:tc>
          <w:tcPr>
            <w:tcW w:w="1134" w:type="dxa"/>
            <w:tcBorders>
              <w:top w:val="single" w:color="auto" w:sz="4" w:space="0"/>
              <w:left w:val="single" w:color="auto" w:sz="4" w:space="0"/>
              <w:bottom w:val="single" w:color="auto" w:sz="4" w:space="0"/>
              <w:right w:val="single" w:color="auto" w:sz="4" w:space="0"/>
            </w:tcBorders>
            <w:vAlign w:val="center"/>
          </w:tcPr>
          <w:p>
            <w:pPr>
              <w:pStyle w:val="30"/>
              <w:bidi w:val="0"/>
            </w:pPr>
            <w:r>
              <w:rPr>
                <w:rFonts w:hint="eastAsia"/>
              </w:rPr>
              <w:t>正常风速</w:t>
            </w:r>
          </w:p>
        </w:tc>
        <w:tc>
          <w:tcPr>
            <w:tcW w:w="1981" w:type="dxa"/>
            <w:tcBorders>
              <w:top w:val="single" w:color="auto" w:sz="4" w:space="0"/>
              <w:left w:val="single" w:color="auto" w:sz="4" w:space="0"/>
              <w:bottom w:val="single" w:color="auto" w:sz="4" w:space="0"/>
              <w:right w:val="single" w:color="auto" w:sz="4" w:space="0"/>
            </w:tcBorders>
            <w:vAlign w:val="center"/>
          </w:tcPr>
          <w:p>
            <w:pPr>
              <w:pStyle w:val="30"/>
              <w:bidi w:val="0"/>
            </w:pPr>
            <w:r>
              <w:rPr>
                <w:rFonts w:hint="eastAsia"/>
              </w:rPr>
              <w:t>扬尘</w:t>
            </w:r>
          </w:p>
        </w:tc>
        <w:tc>
          <w:tcPr>
            <w:tcW w:w="2313" w:type="dxa"/>
            <w:tcBorders>
              <w:top w:val="single" w:color="auto" w:sz="4" w:space="0"/>
              <w:left w:val="single" w:color="auto" w:sz="4" w:space="0"/>
              <w:bottom w:val="single" w:color="auto" w:sz="4" w:space="0"/>
              <w:right w:val="single" w:color="auto" w:sz="4" w:space="0"/>
            </w:tcBorders>
            <w:vAlign w:val="center"/>
          </w:tcPr>
          <w:p>
            <w:pPr>
              <w:pStyle w:val="30"/>
              <w:bidi w:val="0"/>
            </w:pPr>
            <w:r>
              <w:rPr>
                <w:rFonts w:hint="eastAsia"/>
              </w:rPr>
              <w:t>0</w:t>
            </w:r>
          </w:p>
        </w:tc>
        <w:tc>
          <w:tcPr>
            <w:tcW w:w="2565" w:type="dxa"/>
            <w:tcBorders>
              <w:top w:val="single" w:color="auto" w:sz="4" w:space="0"/>
              <w:left w:val="single" w:color="auto" w:sz="4" w:space="0"/>
              <w:bottom w:val="single" w:color="auto" w:sz="4" w:space="0"/>
              <w:right w:val="single" w:color="auto" w:sz="12" w:space="0"/>
            </w:tcBorders>
            <w:vAlign w:val="center"/>
          </w:tcPr>
          <w:p>
            <w:pPr>
              <w:pStyle w:val="30"/>
              <w:bidi w:val="0"/>
            </w:pPr>
            <w:r>
              <w:rPr>
                <w:rFonts w:hint="eastAsia"/>
              </w:rPr>
              <w:t>0</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1134" w:type="dxa"/>
            <w:vMerge w:val="continue"/>
            <w:tcBorders>
              <w:top w:val="single" w:color="auto" w:sz="4" w:space="0"/>
              <w:left w:val="single" w:color="auto" w:sz="12" w:space="0"/>
              <w:right w:val="single" w:color="auto" w:sz="4" w:space="0"/>
            </w:tcBorders>
            <w:vAlign w:val="center"/>
          </w:tcPr>
          <w:p>
            <w:pPr>
              <w:pStyle w:val="30"/>
              <w:bidi w:val="0"/>
            </w:pPr>
          </w:p>
        </w:tc>
        <w:tc>
          <w:tcPr>
            <w:tcW w:w="1134" w:type="dxa"/>
            <w:tcBorders>
              <w:top w:val="single" w:color="auto" w:sz="4" w:space="0"/>
              <w:left w:val="single" w:color="auto" w:sz="4" w:space="0"/>
              <w:right w:val="single" w:color="auto" w:sz="4" w:space="0"/>
            </w:tcBorders>
            <w:vAlign w:val="center"/>
          </w:tcPr>
          <w:p>
            <w:pPr>
              <w:pStyle w:val="30"/>
              <w:bidi w:val="0"/>
            </w:pPr>
            <w:r>
              <w:rPr>
                <w:rFonts w:hint="eastAsia"/>
              </w:rPr>
              <w:t>不利气象</w:t>
            </w:r>
          </w:p>
        </w:tc>
        <w:tc>
          <w:tcPr>
            <w:tcW w:w="1981" w:type="dxa"/>
            <w:tcBorders>
              <w:top w:val="single" w:color="auto" w:sz="4" w:space="0"/>
              <w:left w:val="single" w:color="auto" w:sz="4" w:space="0"/>
              <w:right w:val="single" w:color="auto" w:sz="4" w:space="0"/>
            </w:tcBorders>
            <w:vAlign w:val="center"/>
          </w:tcPr>
          <w:p>
            <w:pPr>
              <w:pStyle w:val="30"/>
              <w:bidi w:val="0"/>
            </w:pPr>
            <w:r>
              <w:rPr>
                <w:rFonts w:hint="eastAsia"/>
              </w:rPr>
              <w:t>扬尘</w:t>
            </w:r>
          </w:p>
        </w:tc>
        <w:tc>
          <w:tcPr>
            <w:tcW w:w="2313" w:type="dxa"/>
            <w:tcBorders>
              <w:top w:val="single" w:color="auto" w:sz="4" w:space="0"/>
              <w:left w:val="single" w:color="auto" w:sz="4" w:space="0"/>
              <w:right w:val="single" w:color="auto" w:sz="4" w:space="0"/>
            </w:tcBorders>
            <w:vAlign w:val="center"/>
          </w:tcPr>
          <w:p>
            <w:pPr>
              <w:pStyle w:val="30"/>
              <w:bidi w:val="0"/>
              <w:rPr>
                <w:rFonts w:hint="default"/>
                <w:lang w:val="en-US" w:eastAsia="zh-CN"/>
              </w:rPr>
            </w:pPr>
            <w:r>
              <w:rPr>
                <w:rFonts w:hint="eastAsia"/>
              </w:rPr>
              <w:t>0.</w:t>
            </w:r>
            <w:r>
              <w:rPr>
                <w:rFonts w:hint="eastAsia"/>
                <w:lang w:val="en-US" w:eastAsia="zh-CN"/>
              </w:rPr>
              <w:t>15</w:t>
            </w:r>
          </w:p>
        </w:tc>
        <w:tc>
          <w:tcPr>
            <w:tcW w:w="2565" w:type="dxa"/>
            <w:tcBorders>
              <w:top w:val="single" w:color="auto" w:sz="4" w:space="0"/>
              <w:left w:val="single" w:color="auto" w:sz="4" w:space="0"/>
              <w:right w:val="single" w:color="auto" w:sz="12" w:space="0"/>
            </w:tcBorders>
            <w:vAlign w:val="center"/>
          </w:tcPr>
          <w:p>
            <w:pPr>
              <w:pStyle w:val="30"/>
              <w:bidi w:val="0"/>
            </w:pPr>
            <w:r>
              <w:rPr>
                <w:rFonts w:hint="eastAsia"/>
              </w:rPr>
              <w:t>--</w:t>
            </w:r>
          </w:p>
        </w:tc>
      </w:tr>
    </w:tbl>
    <w:p>
      <w:pPr>
        <w:bidi w:val="0"/>
        <w:rPr>
          <w:rFonts w:hint="default"/>
          <w:b/>
          <w:bCs/>
          <w:lang w:val="en-US" w:eastAsia="zh-CN"/>
        </w:rPr>
      </w:pPr>
      <w:r>
        <w:rPr>
          <w:rFonts w:hint="eastAsia"/>
          <w:b/>
          <w:bCs/>
          <w:lang w:val="en-US" w:eastAsia="zh-CN"/>
        </w:rPr>
        <w:t>③</w:t>
      </w:r>
      <w:r>
        <w:rPr>
          <w:rFonts w:hint="default"/>
          <w:b/>
          <w:bCs/>
          <w:lang w:val="en-US" w:eastAsia="zh-CN"/>
        </w:rPr>
        <w:t>破碎粉尘</w:t>
      </w:r>
    </w:p>
    <w:p>
      <w:pPr>
        <w:bidi w:val="0"/>
        <w:rPr>
          <w:rFonts w:hint="default"/>
          <w:lang w:val="en-US" w:eastAsia="zh-CN"/>
        </w:rPr>
      </w:pPr>
      <w:r>
        <w:rPr>
          <w:rFonts w:hint="default"/>
          <w:lang w:val="en-US" w:eastAsia="zh-CN"/>
        </w:rPr>
        <w:t>在破碎过程中，会产生粉尘，</w:t>
      </w:r>
      <w:r>
        <w:rPr>
          <w:rFonts w:hint="eastAsia"/>
          <w:lang w:val="en-US" w:eastAsia="zh-CN"/>
        </w:rPr>
        <w:t>本环评要求</w:t>
      </w:r>
      <w:r>
        <w:rPr>
          <w:rFonts w:hint="default"/>
          <w:lang w:val="en-US" w:eastAsia="zh-CN"/>
        </w:rPr>
        <w:t>建设方在破碎</w:t>
      </w:r>
      <w:r>
        <w:rPr>
          <w:rFonts w:hint="eastAsia"/>
          <w:lang w:val="en-US" w:eastAsia="zh-CN"/>
        </w:rPr>
        <w:t>及上方</w:t>
      </w:r>
      <w:r>
        <w:rPr>
          <w:rFonts w:hint="default"/>
          <w:lang w:val="en-US" w:eastAsia="zh-CN"/>
        </w:rPr>
        <w:t>设置一集气罩对粉尘进行收集，通过排气管引至布袋除尘器进行净化处理，处理后经15m高排气筒排放。根据经验数据，破碎加工过程（含输送过程）产生量约占总破碎量的0.02‰左右，由于本项目采用破碎前喷淋的方式，所以因此矿石破碎、筛分产生逸散尘的排放因子为0.025kg/t（</w:t>
      </w:r>
      <w:r>
        <w:rPr>
          <w:rFonts w:hint="eastAsia"/>
          <w:lang w:val="en-US" w:eastAsia="zh-CN"/>
        </w:rPr>
        <w:t>根据建设方提供资料</w:t>
      </w:r>
      <w:r>
        <w:rPr>
          <w:rFonts w:hint="default"/>
          <w:lang w:val="en-US" w:eastAsia="zh-CN"/>
        </w:rPr>
        <w:t>破碎料</w:t>
      </w:r>
      <w:r>
        <w:rPr>
          <w:rFonts w:hint="eastAsia"/>
          <w:lang w:val="en-US" w:eastAsia="zh-CN"/>
        </w:rPr>
        <w:t>约1300t，需破碎的施工期约100天，一天破碎约2h</w:t>
      </w:r>
      <w:r>
        <w:rPr>
          <w:rFonts w:hint="default"/>
          <w:lang w:val="en-US" w:eastAsia="zh-CN"/>
        </w:rPr>
        <w:t>），本项目粉尘产生量为</w:t>
      </w:r>
      <w:r>
        <w:rPr>
          <w:rFonts w:hint="eastAsia"/>
          <w:lang w:val="en-US" w:eastAsia="zh-CN"/>
        </w:rPr>
        <w:t>0.0325</w:t>
      </w:r>
      <w:r>
        <w:rPr>
          <w:rFonts w:hint="default"/>
          <w:lang w:val="en-US" w:eastAsia="zh-CN"/>
        </w:rPr>
        <w:t>t，工作</w:t>
      </w:r>
      <w:r>
        <w:rPr>
          <w:rFonts w:hint="eastAsia"/>
          <w:lang w:val="en-US" w:eastAsia="zh-CN"/>
        </w:rPr>
        <w:t>时长200</w:t>
      </w:r>
      <w:r>
        <w:rPr>
          <w:rFonts w:hint="default"/>
          <w:lang w:val="en-US" w:eastAsia="zh-CN"/>
        </w:rPr>
        <w:t>h，则产生速率为</w:t>
      </w:r>
      <w:r>
        <w:rPr>
          <w:rFonts w:hint="eastAsia"/>
          <w:lang w:val="en-US" w:eastAsia="zh-CN"/>
        </w:rPr>
        <w:t>0.1625</w:t>
      </w:r>
      <w:r>
        <w:rPr>
          <w:rFonts w:hint="default"/>
          <w:lang w:val="en-US" w:eastAsia="zh-CN"/>
        </w:rPr>
        <w:t>kg/h，除尘器的风量为4000</w:t>
      </w:r>
      <w:r>
        <w:rPr>
          <w:rFonts w:hint="eastAsia"/>
          <w:lang w:val="en-US" w:eastAsia="zh-CN"/>
        </w:rPr>
        <w:t>m</w:t>
      </w:r>
      <w:r>
        <w:rPr>
          <w:rFonts w:hint="eastAsia"/>
          <w:vertAlign w:val="superscript"/>
          <w:lang w:val="en-US" w:eastAsia="zh-CN"/>
        </w:rPr>
        <w:t>3</w:t>
      </w:r>
      <w:r>
        <w:rPr>
          <w:rFonts w:hint="default"/>
          <w:lang w:val="en-US" w:eastAsia="zh-CN"/>
        </w:rPr>
        <w:t>/h，集气罩收集效率为</w:t>
      </w:r>
      <w:r>
        <w:rPr>
          <w:rFonts w:hint="eastAsia"/>
          <w:lang w:val="en-US" w:eastAsia="zh-CN"/>
        </w:rPr>
        <w:t>80</w:t>
      </w:r>
      <w:r>
        <w:rPr>
          <w:rFonts w:hint="default"/>
          <w:lang w:val="en-US" w:eastAsia="zh-CN"/>
        </w:rPr>
        <w:t>%，布袋除尘器的除尘效率可达到99%以上，因此，过程中产生的粉尘经布袋除尘器处理后排放量为</w:t>
      </w:r>
      <w:r>
        <w:rPr>
          <w:rFonts w:hint="eastAsia"/>
          <w:lang w:val="en-US" w:eastAsia="zh-CN"/>
        </w:rPr>
        <w:t>0.00026</w:t>
      </w:r>
      <w:r>
        <w:rPr>
          <w:rFonts w:hint="default"/>
          <w:lang w:val="en-US" w:eastAsia="zh-CN"/>
        </w:rPr>
        <w:t>t（</w:t>
      </w:r>
      <w:r>
        <w:rPr>
          <w:rFonts w:hint="eastAsia"/>
          <w:lang w:val="en-US" w:eastAsia="zh-CN"/>
        </w:rPr>
        <w:t>0.0013</w:t>
      </w:r>
      <w:r>
        <w:rPr>
          <w:rFonts w:hint="default"/>
          <w:lang w:val="en-US" w:eastAsia="zh-CN"/>
        </w:rPr>
        <w:t>kg/h），排放浓度为</w:t>
      </w:r>
      <w:r>
        <w:rPr>
          <w:rFonts w:hint="eastAsia"/>
          <w:lang w:val="en-US" w:eastAsia="zh-CN"/>
        </w:rPr>
        <w:t>0.325</w:t>
      </w:r>
      <w:r>
        <w:rPr>
          <w:rFonts w:hint="default"/>
          <w:lang w:val="en-US" w:eastAsia="zh-CN"/>
        </w:rPr>
        <w:t>mg/</w:t>
      </w:r>
      <w:r>
        <w:rPr>
          <w:rFonts w:hint="eastAsia"/>
          <w:lang w:val="en-US" w:eastAsia="zh-CN"/>
        </w:rPr>
        <w:t>m</w:t>
      </w:r>
      <w:r>
        <w:rPr>
          <w:rFonts w:hint="eastAsia"/>
          <w:vertAlign w:val="superscript"/>
          <w:lang w:val="en-US" w:eastAsia="zh-CN"/>
        </w:rPr>
        <w:t>3</w:t>
      </w:r>
      <w:r>
        <w:rPr>
          <w:rFonts w:hint="default"/>
          <w:lang w:val="en-US" w:eastAsia="zh-CN"/>
        </w:rPr>
        <w:t>；未收集到的粉尘量为</w:t>
      </w:r>
      <w:r>
        <w:rPr>
          <w:rFonts w:hint="eastAsia"/>
          <w:lang w:val="en-US" w:eastAsia="zh-CN"/>
        </w:rPr>
        <w:t>0.0065</w:t>
      </w:r>
      <w:r>
        <w:rPr>
          <w:rFonts w:hint="default"/>
          <w:lang w:val="en-US" w:eastAsia="zh-CN"/>
        </w:rPr>
        <w:t>t</w:t>
      </w:r>
      <w:r>
        <w:rPr>
          <w:rFonts w:hint="eastAsia"/>
          <w:lang w:val="en-US" w:eastAsia="zh-CN"/>
        </w:rPr>
        <w:t>（0.0325kg）</w:t>
      </w:r>
      <w:r>
        <w:rPr>
          <w:rFonts w:hint="default"/>
          <w:lang w:val="en-US" w:eastAsia="zh-CN"/>
        </w:rPr>
        <w:t>，此部分粉尘为无组织排放。</w:t>
      </w:r>
    </w:p>
    <w:p>
      <w:pPr>
        <w:pStyle w:val="2"/>
        <w:bidi w:val="0"/>
        <w:rPr>
          <w:rFonts w:hint="default"/>
          <w:lang w:val="en-US" w:eastAsia="zh-CN"/>
        </w:rPr>
      </w:pPr>
      <w:r>
        <w:rPr>
          <w:rFonts w:hint="eastAsia"/>
          <w:lang w:eastAsia="zh-CN"/>
        </w:rPr>
        <w:t>废</w:t>
      </w:r>
      <w:r>
        <w:rPr>
          <w:rFonts w:hint="eastAsia"/>
          <w:lang w:val="en-US" w:eastAsia="zh-CN"/>
        </w:rPr>
        <w:t>水</w:t>
      </w:r>
    </w:p>
    <w:p>
      <w:pPr>
        <w:ind w:firstLine="480"/>
        <w:rPr>
          <w:rFonts w:hint="eastAsia" w:eastAsia="宋体"/>
          <w:lang w:eastAsia="zh-CN"/>
        </w:rPr>
      </w:pPr>
      <w:r>
        <w:rPr>
          <w:rFonts w:hint="eastAsia"/>
        </w:rPr>
        <w:t>本项目堆场范围内不设置生活设施。本项目生产用水源自市政自来水管网和沉淀池回用水，其中自来水用量约17.07t/a，沉淀池回用水量约207.93t/a，主要用于装卸抑尘、堆场抑尘和</w:t>
      </w:r>
      <w:r>
        <w:rPr>
          <w:rFonts w:hint="eastAsia"/>
          <w:lang w:val="en-US" w:eastAsia="zh-CN"/>
        </w:rPr>
        <w:t>车辆</w:t>
      </w:r>
      <w:r>
        <w:rPr>
          <w:rFonts w:hint="eastAsia"/>
        </w:rPr>
        <w:t>冲洗</w:t>
      </w:r>
      <w:r>
        <w:rPr>
          <w:rFonts w:hint="eastAsia"/>
          <w:lang w:eastAsia="zh-CN"/>
        </w:rPr>
        <w:t>，初期雨水收集后用于施工作业。</w:t>
      </w:r>
    </w:p>
    <w:p>
      <w:pPr>
        <w:ind w:firstLine="482"/>
        <w:rPr>
          <w:b/>
          <w:bCs/>
        </w:rPr>
      </w:pPr>
      <w:r>
        <w:rPr>
          <w:rFonts w:hint="eastAsia"/>
          <w:b/>
          <w:bCs/>
        </w:rPr>
        <w:t>①</w:t>
      </w:r>
      <w:r>
        <w:rPr>
          <w:rFonts w:hint="eastAsia"/>
          <w:b/>
          <w:bCs/>
          <w:lang w:eastAsia="zh-CN"/>
        </w:rPr>
        <w:t>装卸、破碎</w:t>
      </w:r>
      <w:r>
        <w:rPr>
          <w:rFonts w:hint="eastAsia"/>
          <w:b/>
          <w:bCs/>
        </w:rPr>
        <w:t>及堆场抑尘用水</w:t>
      </w:r>
    </w:p>
    <w:p>
      <w:pPr>
        <w:ind w:firstLine="480"/>
        <w:rPr>
          <w:rFonts w:hint="eastAsia"/>
        </w:rPr>
      </w:pPr>
      <w:r>
        <w:rPr>
          <w:rFonts w:hint="eastAsia"/>
        </w:rPr>
        <w:t>黄沙、石子装卸及暂存堆放时会伴随一定的扬尘产生，通过喷淋洒水可以有效抑制砂石装卸时的扬尘，根据业主提供资料，装卸抑尘用水量约为20t/a。堆场每天洒水1次，洒水强度为1.3L/（</w:t>
      </w:r>
      <w:r>
        <w:rPr>
          <w:rFonts w:hint="eastAsia"/>
          <w:lang w:eastAsia="zh-CN"/>
        </w:rPr>
        <w:t>m</w:t>
      </w:r>
      <w:r>
        <w:rPr>
          <w:rFonts w:hint="eastAsia"/>
          <w:vertAlign w:val="superscript"/>
          <w:lang w:eastAsia="zh-CN"/>
        </w:rPr>
        <w:t>2</w:t>
      </w:r>
      <w:r>
        <w:t>·</w:t>
      </w:r>
      <w:r>
        <w:rPr>
          <w:rFonts w:hint="eastAsia"/>
        </w:rPr>
        <w:t>次），本项目堆场面积为</w:t>
      </w:r>
      <w:r>
        <w:rPr>
          <w:rFonts w:hint="eastAsia"/>
          <w:lang w:val="en-US" w:eastAsia="zh-CN"/>
        </w:rPr>
        <w:t>18295m</w:t>
      </w:r>
      <w:r>
        <w:rPr>
          <w:rFonts w:hint="eastAsia"/>
          <w:vertAlign w:val="superscript"/>
          <w:lang w:val="en-US" w:eastAsia="zh-CN"/>
        </w:rPr>
        <w:t>2</w:t>
      </w:r>
      <w:r>
        <w:rPr>
          <w:rFonts w:hint="eastAsia"/>
        </w:rPr>
        <w:t>，则堆场抑尘用水量约为</w:t>
      </w:r>
      <w:r>
        <w:rPr>
          <w:rFonts w:hint="eastAsia"/>
          <w:lang w:val="en-US" w:eastAsia="zh-CN"/>
        </w:rPr>
        <w:t>5200</w:t>
      </w:r>
      <w:r>
        <w:rPr>
          <w:rFonts w:hint="eastAsia"/>
        </w:rPr>
        <w:t>t/a。抑尘用水主要被黄沙、石子吸收，无废水产生及排放。</w:t>
      </w:r>
    </w:p>
    <w:p>
      <w:pPr>
        <w:bidi w:val="0"/>
        <w:rPr>
          <w:rFonts w:hint="eastAsia"/>
        </w:rPr>
      </w:pPr>
      <w:r>
        <w:rPr>
          <w:rFonts w:hint="eastAsia"/>
        </w:rPr>
        <w:t>在破碎加工区设备进料口、出料口均设置喷淋设施，每个进料口喷淋用水量1</w:t>
      </w:r>
      <w:r>
        <w:rPr>
          <w:rFonts w:hint="eastAsia"/>
          <w:lang w:eastAsia="zh-CN"/>
        </w:rPr>
        <w:t>m</w:t>
      </w:r>
      <w:r>
        <w:rPr>
          <w:rFonts w:hint="eastAsia"/>
          <w:vertAlign w:val="superscript"/>
          <w:lang w:eastAsia="zh-CN"/>
        </w:rPr>
        <w:t>3</w:t>
      </w:r>
      <w:r>
        <w:rPr>
          <w:rFonts w:hint="eastAsia"/>
        </w:rPr>
        <w:t>/h；每个出料口喷淋用水量0.5</w:t>
      </w:r>
      <w:r>
        <w:rPr>
          <w:rFonts w:hint="eastAsia"/>
          <w:lang w:eastAsia="zh-CN"/>
        </w:rPr>
        <w:t>m</w:t>
      </w:r>
      <w:r>
        <w:rPr>
          <w:rFonts w:hint="eastAsia"/>
          <w:vertAlign w:val="superscript"/>
          <w:lang w:eastAsia="zh-CN"/>
        </w:rPr>
        <w:t>3</w:t>
      </w:r>
      <w:r>
        <w:rPr>
          <w:rFonts w:hint="eastAsia"/>
        </w:rPr>
        <w:t>/h</w:t>
      </w:r>
      <w:r>
        <w:rPr>
          <w:rFonts w:hint="eastAsia"/>
          <w:lang w:eastAsia="zh-CN"/>
        </w:rPr>
        <w:t>，</w:t>
      </w:r>
      <w:r>
        <w:rPr>
          <w:rFonts w:hint="eastAsia"/>
        </w:rPr>
        <w:t>设备均有一个进料口和一个出料口，则破碎加工区喷淋用水量约</w:t>
      </w:r>
      <w:r>
        <w:rPr>
          <w:rFonts w:hint="eastAsia"/>
          <w:lang w:val="en-US" w:eastAsia="zh-CN"/>
        </w:rPr>
        <w:t>3</w:t>
      </w:r>
      <w:r>
        <w:rPr>
          <w:rFonts w:hint="eastAsia"/>
          <w:lang w:eastAsia="zh-CN"/>
        </w:rPr>
        <w:t>m</w:t>
      </w:r>
      <w:r>
        <w:rPr>
          <w:rFonts w:hint="eastAsia"/>
          <w:vertAlign w:val="superscript"/>
          <w:lang w:eastAsia="zh-CN"/>
        </w:rPr>
        <w:t>3</w:t>
      </w:r>
      <w:r>
        <w:rPr>
          <w:rFonts w:hint="eastAsia"/>
        </w:rPr>
        <w:t>/h。本项目工作日为</w:t>
      </w:r>
      <w:r>
        <w:rPr>
          <w:rFonts w:hint="eastAsia"/>
          <w:lang w:val="en-US" w:eastAsia="zh-CN"/>
        </w:rPr>
        <w:t>1</w:t>
      </w:r>
      <w:r>
        <w:rPr>
          <w:rFonts w:hint="eastAsia"/>
        </w:rPr>
        <w:t>00天，每天工作</w:t>
      </w:r>
      <w:r>
        <w:rPr>
          <w:rFonts w:hint="eastAsia"/>
          <w:lang w:val="en-US" w:eastAsia="zh-CN"/>
        </w:rPr>
        <w:t>2</w:t>
      </w:r>
      <w:r>
        <w:rPr>
          <w:rFonts w:hint="eastAsia"/>
        </w:rPr>
        <w:t>小时，则破碎加工区用水量约为</w:t>
      </w:r>
      <w:r>
        <w:rPr>
          <w:rFonts w:hint="eastAsia"/>
          <w:lang w:val="en-US" w:eastAsia="zh-CN"/>
        </w:rPr>
        <w:t>6</w:t>
      </w:r>
      <w:r>
        <w:rPr>
          <w:rFonts w:hint="eastAsia"/>
          <w:lang w:eastAsia="zh-CN"/>
        </w:rPr>
        <w:t>m</w:t>
      </w:r>
      <w:r>
        <w:rPr>
          <w:rFonts w:hint="eastAsia"/>
          <w:vertAlign w:val="superscript"/>
          <w:lang w:eastAsia="zh-CN"/>
        </w:rPr>
        <w:t>3</w:t>
      </w:r>
      <w:r>
        <w:rPr>
          <w:rFonts w:hint="eastAsia"/>
        </w:rPr>
        <w:t>/d、</w:t>
      </w:r>
      <w:r>
        <w:rPr>
          <w:rFonts w:hint="eastAsia"/>
          <w:lang w:val="en-US" w:eastAsia="zh-CN"/>
        </w:rPr>
        <w:t>600</w:t>
      </w:r>
      <w:r>
        <w:rPr>
          <w:rFonts w:hint="eastAsia"/>
          <w:lang w:eastAsia="zh-CN"/>
        </w:rPr>
        <w:t>m</w:t>
      </w:r>
      <w:r>
        <w:rPr>
          <w:rFonts w:hint="eastAsia"/>
          <w:vertAlign w:val="superscript"/>
          <w:lang w:eastAsia="zh-CN"/>
        </w:rPr>
        <w:t>3</w:t>
      </w:r>
      <w:r>
        <w:rPr>
          <w:rFonts w:hint="eastAsia"/>
        </w:rPr>
        <w:t>/</w:t>
      </w:r>
      <w:r>
        <w:rPr>
          <w:rFonts w:hint="eastAsia"/>
          <w:lang w:eastAsia="zh-CN"/>
        </w:rPr>
        <w:t>施工期</w:t>
      </w:r>
      <w:r>
        <w:rPr>
          <w:rFonts w:hint="eastAsia"/>
        </w:rPr>
        <w:t>。这部分水进入产品后随之蒸发损失，不外排。</w:t>
      </w:r>
    </w:p>
    <w:p>
      <w:pPr>
        <w:bidi w:val="0"/>
        <w:rPr>
          <w:rFonts w:hint="default" w:eastAsia="宋体"/>
          <w:b/>
          <w:bCs/>
          <w:lang w:val="en-US" w:eastAsia="zh-CN"/>
        </w:rPr>
      </w:pPr>
      <w:r>
        <w:rPr>
          <w:rFonts w:hint="eastAsia"/>
          <w:b/>
          <w:bCs/>
          <w:lang w:val="en-US" w:eastAsia="zh-CN"/>
        </w:rPr>
        <w:t>②车辆冲洗水</w:t>
      </w:r>
    </w:p>
    <w:p>
      <w:pPr>
        <w:bidi w:val="0"/>
        <w:rPr>
          <w:kern w:val="0"/>
          <w:sz w:val="24"/>
        </w:rPr>
      </w:pPr>
      <w:r>
        <w:rPr>
          <w:sz w:val="24"/>
        </w:rPr>
        <w:t>车辆冲洗废水按500L/辆计，每天按</w:t>
      </w:r>
      <w:r>
        <w:rPr>
          <w:rFonts w:hint="eastAsia"/>
          <w:sz w:val="24"/>
        </w:rPr>
        <w:t>20</w:t>
      </w:r>
      <w:r>
        <w:rPr>
          <w:sz w:val="24"/>
        </w:rPr>
        <w:t>辆计，冲洗废水约</w:t>
      </w:r>
      <w:r>
        <w:rPr>
          <w:rFonts w:hint="eastAsia"/>
          <w:sz w:val="24"/>
        </w:rPr>
        <w:t>10</w:t>
      </w:r>
      <w:r>
        <w:rPr>
          <w:rFonts w:hint="eastAsia"/>
          <w:sz w:val="24"/>
          <w:lang w:eastAsia="zh-CN"/>
        </w:rPr>
        <w:t>m</w:t>
      </w:r>
      <w:r>
        <w:rPr>
          <w:rFonts w:hint="eastAsia"/>
          <w:sz w:val="24"/>
          <w:vertAlign w:val="superscript"/>
          <w:lang w:eastAsia="zh-CN"/>
        </w:rPr>
        <w:t>3</w:t>
      </w:r>
      <w:r>
        <w:rPr>
          <w:sz w:val="24"/>
        </w:rPr>
        <w:t>/d，其中</w:t>
      </w:r>
      <w:r>
        <w:rPr>
          <w:rFonts w:hint="eastAsia"/>
          <w:sz w:val="24"/>
          <w:lang w:eastAsia="zh-CN"/>
        </w:rPr>
        <w:t>COD</w:t>
      </w:r>
      <w:r>
        <w:rPr>
          <w:rFonts w:hint="eastAsia"/>
          <w:sz w:val="24"/>
          <w:vertAlign w:val="subscript"/>
          <w:lang w:eastAsia="zh-CN"/>
        </w:rPr>
        <w:t>cr</w:t>
      </w:r>
      <w:r>
        <w:rPr>
          <w:sz w:val="24"/>
        </w:rPr>
        <w:t>为25~200mg/L，石油类为10~300mg/L，SS约为400~500mg/L。车辆冲洗废水经沉淀后</w:t>
      </w:r>
      <w:r>
        <w:rPr>
          <w:kern w:val="0"/>
          <w:sz w:val="24"/>
        </w:rPr>
        <w:t>回用于抑尘洒水</w:t>
      </w:r>
      <w:r>
        <w:rPr>
          <w:rFonts w:hint="eastAsia"/>
          <w:kern w:val="0"/>
          <w:sz w:val="24"/>
        </w:rPr>
        <w:t>，不外排</w:t>
      </w:r>
      <w:r>
        <w:rPr>
          <w:kern w:val="0"/>
          <w:sz w:val="24"/>
        </w:rPr>
        <w:t>。</w:t>
      </w:r>
    </w:p>
    <w:p>
      <w:pPr>
        <w:ind w:firstLine="482"/>
        <w:rPr>
          <w:b/>
          <w:bCs/>
        </w:rPr>
      </w:pPr>
      <w:r>
        <w:rPr>
          <w:rFonts w:hint="eastAsia"/>
          <w:b/>
          <w:bCs/>
          <w:lang w:val="en-US" w:eastAsia="zh-CN"/>
        </w:rPr>
        <w:t>③</w:t>
      </w:r>
      <w:r>
        <w:rPr>
          <w:rFonts w:hint="eastAsia"/>
          <w:b/>
          <w:bCs/>
        </w:rPr>
        <w:t>初期雨水</w:t>
      </w:r>
    </w:p>
    <w:p>
      <w:pPr>
        <w:wordWrap w:val="0"/>
        <w:ind w:firstLine="464"/>
        <w:rPr>
          <w:rFonts w:hint="default" w:ascii="Times New Roman" w:hAnsi="Times New Roman" w:cs="Times New Roman"/>
          <w:u w:val="none"/>
        </w:rPr>
      </w:pPr>
      <w:r>
        <w:rPr>
          <w:rFonts w:hint="default" w:ascii="Times New Roman" w:hAnsi="Times New Roman" w:cs="Times New Roman"/>
          <w:u w:val="none"/>
        </w:rPr>
        <w:t>初期雨水是在降雨形成地面径流后10～15min的污染较大的雨水量。初期雨水与气象条件密切相关，具有间歇性、时间间隔变化大等特点。根据项目特点，本项目初期雨水中主要污染因子为厂区集雨范围内的粉尘，本项目初期雨水收集全场范围内的雨水，其收集面积为</w:t>
      </w:r>
      <w:r>
        <w:rPr>
          <w:rFonts w:hint="eastAsia"/>
          <w:bCs/>
          <w:sz w:val="24"/>
          <w:highlight w:val="none"/>
          <w:u w:val="none"/>
          <w:lang w:val="en-US" w:eastAsia="zh-CN"/>
        </w:rPr>
        <w:t>18295m</w:t>
      </w:r>
      <w:r>
        <w:rPr>
          <w:rFonts w:hint="eastAsia"/>
          <w:bCs/>
          <w:sz w:val="24"/>
          <w:highlight w:val="none"/>
          <w:u w:val="none"/>
          <w:vertAlign w:val="superscript"/>
          <w:lang w:val="en-US" w:eastAsia="zh-CN"/>
        </w:rPr>
        <w:t>2</w:t>
      </w:r>
      <w:r>
        <w:rPr>
          <w:rFonts w:hint="default" w:ascii="Times New Roman" w:hAnsi="Times New Roman" w:cs="Times New Roman"/>
          <w:u w:val="none"/>
        </w:rPr>
        <w:t>，主要污染物为SS。</w:t>
      </w:r>
    </w:p>
    <w:p>
      <w:pPr>
        <w:wordWrap w:val="0"/>
        <w:ind w:firstLine="464"/>
        <w:rPr>
          <w:rFonts w:hint="default" w:ascii="Times New Roman" w:hAnsi="Times New Roman" w:cs="Times New Roman"/>
          <w:u w:val="none"/>
        </w:rPr>
      </w:pPr>
      <w:r>
        <w:rPr>
          <w:rFonts w:hint="default" w:ascii="Times New Roman" w:hAnsi="Times New Roman" w:cs="Times New Roman"/>
          <w:u w:val="none"/>
        </w:rPr>
        <w:t>初期雨水：雨水量采用下式计算：</w:t>
      </w:r>
    </w:p>
    <w:p>
      <w:pPr>
        <w:wordWrap w:val="0"/>
        <w:ind w:firstLine="464"/>
        <w:jc w:val="center"/>
        <w:rPr>
          <w:rFonts w:hint="default" w:ascii="Times New Roman" w:hAnsi="Times New Roman" w:cs="Times New Roman"/>
          <w:u w:val="none"/>
        </w:rPr>
      </w:pPr>
      <w:r>
        <w:rPr>
          <w:rFonts w:hint="default" w:ascii="Times New Roman" w:hAnsi="Times New Roman" w:cs="Times New Roman"/>
          <w:u w:val="none"/>
        </w:rPr>
        <w:object>
          <v:shape id="_x0000_i1027" o:spt="75" type="#_x0000_t75" style="height:15.75pt;width:60pt;" o:ole="t" filled="f" o:preferrelative="t" stroked="f" coordsize="21600,21600">
            <v:path/>
            <v:fill on="f" focussize="0,0"/>
            <v:stroke on="f"/>
            <v:imagedata r:id="rId13" o:title=""/>
            <o:lock v:ext="edit" grouping="f" rotation="f" text="f" aspectratio="t"/>
            <w10:wrap type="none"/>
            <w10:anchorlock/>
          </v:shape>
          <o:OLEObject Type="Embed" ProgID="Equation.3" ShapeID="_x0000_i1027" DrawAspect="Content" ObjectID="_1468075727" r:id="rId12">
            <o:LockedField>false</o:LockedField>
          </o:OLEObject>
        </w:object>
      </w:r>
    </w:p>
    <w:p>
      <w:pPr>
        <w:wordWrap w:val="0"/>
        <w:ind w:firstLine="464"/>
        <w:jc w:val="left"/>
        <w:rPr>
          <w:rFonts w:hint="default" w:ascii="Times New Roman" w:hAnsi="Times New Roman" w:cs="Times New Roman"/>
          <w:u w:val="none"/>
        </w:rPr>
      </w:pPr>
      <w:r>
        <w:rPr>
          <w:rFonts w:hint="default" w:ascii="Times New Roman" w:hAnsi="Times New Roman" w:cs="Times New Roman"/>
          <w:u w:val="none"/>
        </w:rPr>
        <w:t>式中，Q为雨水量，L/s；φ为径流系数，取0.70；q为暴雨强度，L/s·ha，F为占地面积，ha</w:t>
      </w:r>
    </w:p>
    <w:p>
      <w:pPr>
        <w:wordWrap w:val="0"/>
        <w:ind w:firstLine="464"/>
        <w:jc w:val="left"/>
        <w:rPr>
          <w:rFonts w:hint="default" w:ascii="Times New Roman" w:hAnsi="Times New Roman" w:cs="Times New Roman"/>
          <w:u w:val="none"/>
        </w:rPr>
      </w:pPr>
      <w:r>
        <w:rPr>
          <w:rFonts w:hint="default" w:ascii="Times New Roman" w:hAnsi="Times New Roman" w:cs="Times New Roman"/>
          <w:u w:val="none"/>
        </w:rPr>
        <w:t>雨水量按</w:t>
      </w:r>
      <w:r>
        <w:rPr>
          <w:rFonts w:hint="eastAsia" w:ascii="Times New Roman" w:hAnsi="Times New Roman" w:cs="Times New Roman"/>
          <w:u w:val="none"/>
          <w:lang w:eastAsia="zh-CN"/>
        </w:rPr>
        <w:t>岳阳</w:t>
      </w:r>
      <w:r>
        <w:rPr>
          <w:rFonts w:hint="default" w:ascii="Times New Roman" w:hAnsi="Times New Roman" w:cs="Times New Roman"/>
          <w:u w:val="none"/>
        </w:rPr>
        <w:t>地区暴雨强度公式计算：</w:t>
      </w:r>
    </w:p>
    <w:p>
      <w:pPr>
        <w:wordWrap w:val="0"/>
        <w:ind w:firstLine="464"/>
        <w:jc w:val="left"/>
        <w:rPr>
          <w:rFonts w:hint="default" w:ascii="Times New Roman" w:hAnsi="Times New Roman" w:cs="Times New Roman"/>
          <w:u w:val="none"/>
        </w:rPr>
      </w:pPr>
      <w:r>
        <w:rPr>
          <w:rFonts w:hint="default" w:ascii="Times New Roman" w:hAnsi="Times New Roman" w:cs="Times New Roman"/>
          <w:u w:val="none"/>
        </w:rPr>
        <w:t>q=914（1+0.8821lgP）/t0.584</w:t>
      </w:r>
    </w:p>
    <w:p>
      <w:pPr>
        <w:wordWrap w:val="0"/>
        <w:ind w:firstLine="464"/>
        <w:jc w:val="left"/>
        <w:rPr>
          <w:rFonts w:hint="default" w:ascii="Times New Roman" w:hAnsi="Times New Roman" w:cs="Times New Roman"/>
          <w:u w:val="none"/>
        </w:rPr>
      </w:pPr>
      <w:r>
        <w:rPr>
          <w:rFonts w:hint="default" w:ascii="Times New Roman" w:hAnsi="Times New Roman" w:cs="Times New Roman"/>
          <w:u w:val="none"/>
        </w:rPr>
        <w:t>式中：q——暴雨强度（L/s·ha）；</w:t>
      </w:r>
    </w:p>
    <w:p>
      <w:pPr>
        <w:wordWrap w:val="0"/>
        <w:ind w:firstLine="720" w:firstLineChars="300"/>
        <w:jc w:val="left"/>
        <w:rPr>
          <w:rFonts w:hint="default" w:ascii="Times New Roman" w:hAnsi="Times New Roman" w:cs="Times New Roman"/>
          <w:u w:val="none"/>
        </w:rPr>
      </w:pPr>
      <w:r>
        <w:rPr>
          <w:rFonts w:hint="default" w:ascii="Times New Roman" w:hAnsi="Times New Roman" w:cs="Times New Roman"/>
          <w:u w:val="none"/>
        </w:rPr>
        <w:t>P——设计降雨重现期（a）；</w:t>
      </w:r>
    </w:p>
    <w:p>
      <w:pPr>
        <w:wordWrap w:val="0"/>
        <w:ind w:firstLine="720" w:firstLineChars="300"/>
        <w:jc w:val="left"/>
        <w:rPr>
          <w:rFonts w:hint="default" w:ascii="Times New Roman" w:hAnsi="Times New Roman" w:cs="Times New Roman"/>
          <w:u w:val="none"/>
        </w:rPr>
      </w:pPr>
      <w:r>
        <w:rPr>
          <w:rFonts w:hint="default" w:ascii="Times New Roman" w:hAnsi="Times New Roman" w:cs="Times New Roman"/>
          <w:u w:val="none"/>
        </w:rPr>
        <w:t>t——降雨历时（min）；</w:t>
      </w:r>
    </w:p>
    <w:p>
      <w:pPr>
        <w:widowControl/>
        <w:wordWrap w:val="0"/>
        <w:ind w:firstLine="720" w:firstLineChars="300"/>
        <w:jc w:val="left"/>
        <w:rPr>
          <w:rFonts w:hint="default" w:ascii="Times New Roman" w:hAnsi="Times New Roman" w:cs="Times New Roman"/>
          <w:u w:val="none"/>
        </w:rPr>
      </w:pPr>
      <w:r>
        <w:rPr>
          <w:rFonts w:hint="default" w:ascii="Times New Roman" w:hAnsi="Times New Roman" w:cs="Times New Roman"/>
          <w:u w:val="none"/>
        </w:rPr>
        <w:t>T—重现期，取2年；</w:t>
      </w:r>
    </w:p>
    <w:p>
      <w:pPr>
        <w:widowControl/>
        <w:wordWrap w:val="0"/>
        <w:ind w:firstLine="720" w:firstLineChars="300"/>
        <w:jc w:val="left"/>
        <w:rPr>
          <w:rFonts w:hint="default" w:ascii="Times New Roman" w:hAnsi="Times New Roman" w:cs="Times New Roman"/>
          <w:u w:val="none"/>
        </w:rPr>
      </w:pPr>
      <w:r>
        <w:rPr>
          <w:rFonts w:hint="default" w:ascii="Times New Roman" w:hAnsi="Times New Roman" w:cs="Times New Roman"/>
          <w:u w:val="none"/>
        </w:rPr>
        <w:t>t—设计暴雨历时，分别取10分钟；</w:t>
      </w:r>
    </w:p>
    <w:p>
      <w:pPr>
        <w:widowControl/>
        <w:wordWrap w:val="0"/>
        <w:ind w:firstLine="720" w:firstLineChars="300"/>
        <w:jc w:val="left"/>
        <w:rPr>
          <w:rFonts w:hint="default" w:ascii="Times New Roman" w:hAnsi="Times New Roman" w:cs="Times New Roman"/>
          <w:u w:val="none"/>
        </w:rPr>
      </w:pPr>
      <w:r>
        <w:rPr>
          <w:rFonts w:hint="default" w:ascii="Times New Roman" w:hAnsi="Times New Roman" w:cs="Times New Roman"/>
          <w:u w:val="none"/>
        </w:rPr>
        <w:t>F—汇水面积。</w:t>
      </w:r>
    </w:p>
    <w:p>
      <w:pPr>
        <w:bidi w:val="0"/>
        <w:rPr>
          <w:rFonts w:hint="default" w:ascii="Times New Roman" w:hAnsi="Times New Roman" w:cs="Times New Roman"/>
          <w:sz w:val="24"/>
          <w:u w:val="none"/>
          <w:lang w:val="en-US" w:eastAsia="zh-CN"/>
        </w:rPr>
      </w:pPr>
      <w:r>
        <w:rPr>
          <w:rFonts w:hint="default" w:ascii="Times New Roman" w:hAnsi="Times New Roman" w:cs="Times New Roman"/>
          <w:sz w:val="24"/>
          <w:u w:val="none"/>
          <w:lang w:val="en-US" w:eastAsia="zh-CN"/>
        </w:rPr>
        <w:t>计算得，项目初期雨水产生量</w:t>
      </w:r>
      <w:r>
        <w:rPr>
          <w:rFonts w:hint="default" w:ascii="Times New Roman" w:hAnsi="Times New Roman" w:cs="Times New Roman"/>
          <w:sz w:val="24"/>
          <w:highlight w:val="none"/>
          <w:u w:val="none"/>
          <w:lang w:val="en-US" w:eastAsia="zh-CN"/>
        </w:rPr>
        <w:t>为</w:t>
      </w:r>
      <w:r>
        <w:rPr>
          <w:rFonts w:hint="eastAsia" w:ascii="Times New Roman" w:hAnsi="Times New Roman" w:cs="Times New Roman"/>
          <w:sz w:val="24"/>
          <w:highlight w:val="none"/>
          <w:u w:val="none"/>
          <w:lang w:val="en-US" w:eastAsia="zh-CN"/>
        </w:rPr>
        <w:t>2</w:t>
      </w:r>
      <w:r>
        <w:rPr>
          <w:rFonts w:hint="eastAsia" w:cs="Times New Roman"/>
          <w:sz w:val="24"/>
          <w:highlight w:val="none"/>
          <w:u w:val="none"/>
          <w:lang w:val="en-US" w:eastAsia="zh-CN"/>
        </w:rPr>
        <w:t>4</w:t>
      </w:r>
      <w:r>
        <w:rPr>
          <w:rFonts w:hint="eastAsia" w:ascii="Times New Roman" w:hAnsi="Times New Roman" w:cs="Times New Roman"/>
          <w:sz w:val="24"/>
          <w:highlight w:val="none"/>
          <w:u w:val="none"/>
          <w:lang w:val="en-US" w:eastAsia="zh-CN"/>
        </w:rPr>
        <w:t>7.</w:t>
      </w:r>
      <w:r>
        <w:rPr>
          <w:rFonts w:hint="eastAsia" w:cs="Times New Roman"/>
          <w:sz w:val="24"/>
          <w:highlight w:val="none"/>
          <w:u w:val="none"/>
          <w:lang w:val="en-US" w:eastAsia="zh-CN"/>
        </w:rPr>
        <w:t>83m</w:t>
      </w:r>
      <w:r>
        <w:rPr>
          <w:rFonts w:hint="eastAsia" w:cs="Times New Roman"/>
          <w:sz w:val="24"/>
          <w:highlight w:val="none"/>
          <w:u w:val="none"/>
          <w:vertAlign w:val="superscript"/>
          <w:lang w:val="en-US" w:eastAsia="zh-CN"/>
        </w:rPr>
        <w:t>3</w:t>
      </w:r>
      <w:r>
        <w:rPr>
          <w:rFonts w:hint="default" w:ascii="Times New Roman" w:hAnsi="Times New Roman" w:cs="Times New Roman"/>
          <w:sz w:val="24"/>
          <w:highlight w:val="none"/>
          <w:u w:val="none"/>
          <w:lang w:val="en-US" w:eastAsia="zh-CN"/>
        </w:rPr>
        <w:t>/次，主</w:t>
      </w:r>
      <w:r>
        <w:rPr>
          <w:rFonts w:hint="default" w:ascii="Times New Roman" w:hAnsi="Times New Roman" w:cs="Times New Roman"/>
          <w:sz w:val="24"/>
          <w:u w:val="none"/>
          <w:lang w:val="en-US" w:eastAsia="zh-CN"/>
        </w:rPr>
        <w:t>要污染物为SS，本项目初期雨水，经过雨水汇水沟汇集，导入沉淀池中，经沉淀后用于</w:t>
      </w:r>
      <w:r>
        <w:rPr>
          <w:rFonts w:hint="eastAsia" w:ascii="Times New Roman" w:hAnsi="Times New Roman" w:cs="Times New Roman"/>
          <w:sz w:val="24"/>
          <w:u w:val="none"/>
          <w:lang w:val="en-US" w:eastAsia="zh-CN"/>
        </w:rPr>
        <w:t>作业</w:t>
      </w:r>
      <w:r>
        <w:rPr>
          <w:rFonts w:hint="default" w:ascii="Times New Roman" w:hAnsi="Times New Roman" w:cs="Times New Roman"/>
          <w:sz w:val="24"/>
          <w:u w:val="none"/>
          <w:lang w:val="en-US" w:eastAsia="zh-CN"/>
        </w:rPr>
        <w:t>。同时在厂区周围建设撇洪沟，项目区外的雨水不得进入项目区。</w:t>
      </w:r>
    </w:p>
    <w:p>
      <w:pPr>
        <w:ind w:firstLine="480"/>
      </w:pPr>
      <w:r>
        <w:rPr>
          <w:rFonts w:hint="eastAsia"/>
        </w:rPr>
        <w:t>根据查阅资料，</w:t>
      </w:r>
      <w:r>
        <w:t>项目区地下水类型主要为潜水，潜水主要赋存于砾砂层中，</w:t>
      </w:r>
      <w:r>
        <w:rPr>
          <w:rFonts w:hint="eastAsia"/>
        </w:rPr>
        <w:t>根据项目区域地层岩性，潜水层位于第四层：中风化粉砂岩（</w:t>
      </w:r>
      <w:r>
        <w:t>K</w:t>
      </w:r>
      <w:r>
        <w:rPr>
          <w:rFonts w:hint="eastAsia"/>
        </w:rPr>
        <w:t>）红色、棕红色，以中生界白垩系中厚层至厚层红色粉砂岩为主，其底部含砂砾岩。按照标准地层中层厚统计，项目区域潜水距离地表约为4.4~9.8m，潜水</w:t>
      </w:r>
      <w:r>
        <w:t>由地表水及大气降水渗入补给，动态及幅度较小，具微承压性。</w:t>
      </w:r>
      <w:r>
        <w:rPr>
          <w:rFonts w:hint="eastAsia"/>
        </w:rPr>
        <w:t>项目管道铺设期间，下挖深度约为1.5m，未涉及潜水层，因此无涌水产生。</w:t>
      </w:r>
    </w:p>
    <w:p>
      <w:pPr>
        <w:pStyle w:val="2"/>
        <w:bidi w:val="0"/>
        <w:rPr>
          <w:rFonts w:hint="eastAsia"/>
          <w:lang w:val="en-US" w:eastAsia="zh-CN"/>
        </w:rPr>
      </w:pPr>
      <w:r>
        <w:rPr>
          <w:rFonts w:hint="eastAsia"/>
          <w:lang w:val="en-US" w:eastAsia="zh-CN"/>
        </w:rPr>
        <w:t>噪声</w:t>
      </w:r>
    </w:p>
    <w:p>
      <w:pPr>
        <w:ind w:firstLine="480"/>
        <w:rPr>
          <w:rFonts w:eastAsiaTheme="minorEastAsia"/>
          <w:b/>
        </w:rPr>
      </w:pPr>
      <w:r>
        <w:rPr>
          <w:rFonts w:hint="eastAsia" w:eastAsiaTheme="minorEastAsia"/>
          <w:lang w:val="en-US" w:eastAsia="zh-CN"/>
        </w:rPr>
        <w:t>堆场</w:t>
      </w:r>
      <w:r>
        <w:rPr>
          <w:rFonts w:hint="eastAsia" w:eastAsiaTheme="minorEastAsia"/>
        </w:rPr>
        <w:t>噪声主要来源于运输车辆的交通噪声、砂石装卸的落料噪声以及</w:t>
      </w:r>
      <w:r>
        <w:rPr>
          <w:rFonts w:hint="eastAsia" w:eastAsiaTheme="minorEastAsia"/>
          <w:lang w:eastAsia="zh-CN"/>
        </w:rPr>
        <w:t>破碎</w:t>
      </w:r>
      <w:r>
        <w:rPr>
          <w:rFonts w:hint="eastAsia" w:eastAsiaTheme="minorEastAsia"/>
        </w:rPr>
        <w:t>设备的运行噪声。对于进出车辆，要强化行车管理制度，厂区内禁鸣限速，最大限度减少流动噪声源的影响。本项目主要噪声源见</w:t>
      </w:r>
      <w:r>
        <w:rPr>
          <w:rFonts w:hint="eastAsia" w:eastAsiaTheme="minorEastAsia"/>
          <w:lang w:val="en-US" w:eastAsia="zh-CN"/>
        </w:rPr>
        <w:t>下</w:t>
      </w:r>
      <w:r>
        <w:rPr>
          <w:rFonts w:hint="eastAsia" w:eastAsiaTheme="minorEastAsia"/>
        </w:rPr>
        <w:t>表。</w:t>
      </w:r>
    </w:p>
    <w:p>
      <w:pPr>
        <w:pStyle w:val="29"/>
        <w:bidi w:val="0"/>
      </w:pPr>
      <w:r>
        <w:rPr>
          <w:rFonts w:hint="eastAsia"/>
        </w:rPr>
        <w:t>表</w:t>
      </w:r>
      <w:r>
        <w:rPr>
          <w:rFonts w:hint="eastAsia"/>
          <w:lang w:val="en-US" w:eastAsia="zh-CN"/>
        </w:rPr>
        <w:t>4.2</w:t>
      </w:r>
      <w:r>
        <w:rPr>
          <w:rFonts w:hint="eastAsia"/>
        </w:rPr>
        <w:t>-</w:t>
      </w:r>
      <w:r>
        <w:rPr>
          <w:rFonts w:hint="eastAsia"/>
          <w:lang w:val="en-US" w:eastAsia="zh-CN"/>
        </w:rPr>
        <w:t>3</w:t>
      </w:r>
      <w:r>
        <w:rPr>
          <w:rFonts w:hint="eastAsia"/>
        </w:rPr>
        <w:t xml:space="preserve">  主要噪声源及源强</w:t>
      </w:r>
    </w:p>
    <w:tbl>
      <w:tblPr>
        <w:tblStyle w:val="21"/>
        <w:tblW w:w="9040" w:type="dxa"/>
        <w:jc w:val="center"/>
        <w:tblLayout w:type="fixed"/>
        <w:tblCellMar>
          <w:top w:w="0" w:type="dxa"/>
          <w:left w:w="108" w:type="dxa"/>
          <w:bottom w:w="0" w:type="dxa"/>
          <w:right w:w="108" w:type="dxa"/>
        </w:tblCellMar>
      </w:tblPr>
      <w:tblGrid>
        <w:gridCol w:w="1056"/>
        <w:gridCol w:w="2701"/>
        <w:gridCol w:w="2701"/>
        <w:gridCol w:w="2582"/>
      </w:tblGrid>
      <w:tr>
        <w:tblPrEx>
          <w:tblCellMar>
            <w:top w:w="0" w:type="dxa"/>
            <w:left w:w="108" w:type="dxa"/>
            <w:bottom w:w="0" w:type="dxa"/>
            <w:right w:w="108" w:type="dxa"/>
          </w:tblCellMar>
        </w:tblPrEx>
        <w:trPr>
          <w:cantSplit/>
          <w:trHeight w:val="340" w:hRule="atLeast"/>
          <w:jc w:val="center"/>
        </w:trPr>
        <w:tc>
          <w:tcPr>
            <w:tcW w:w="1056" w:type="dxa"/>
            <w:tcBorders>
              <w:top w:val="single" w:color="auto" w:sz="12" w:space="0"/>
              <w:left w:val="single" w:color="auto" w:sz="12" w:space="0"/>
              <w:bottom w:val="single" w:color="auto" w:sz="4" w:space="0"/>
              <w:right w:val="single" w:color="auto" w:sz="4" w:space="0"/>
            </w:tcBorders>
            <w:noWrap w:val="0"/>
            <w:vAlign w:val="center"/>
          </w:tcPr>
          <w:p>
            <w:pPr>
              <w:pStyle w:val="30"/>
              <w:bidi w:val="0"/>
            </w:pPr>
            <w:r>
              <w:t>序号</w:t>
            </w:r>
          </w:p>
        </w:tc>
        <w:tc>
          <w:tcPr>
            <w:tcW w:w="2701" w:type="dxa"/>
            <w:tcBorders>
              <w:top w:val="single" w:color="auto" w:sz="12" w:space="0"/>
              <w:left w:val="single" w:color="auto" w:sz="4" w:space="0"/>
              <w:bottom w:val="single" w:color="auto" w:sz="4" w:space="0"/>
              <w:right w:val="single" w:color="auto" w:sz="4" w:space="0"/>
            </w:tcBorders>
            <w:noWrap w:val="0"/>
            <w:vAlign w:val="center"/>
          </w:tcPr>
          <w:p>
            <w:pPr>
              <w:pStyle w:val="30"/>
              <w:bidi w:val="0"/>
            </w:pPr>
            <w:r>
              <w:t>噪声源</w:t>
            </w:r>
          </w:p>
        </w:tc>
        <w:tc>
          <w:tcPr>
            <w:tcW w:w="2701" w:type="dxa"/>
            <w:tcBorders>
              <w:top w:val="single" w:color="auto" w:sz="12" w:space="0"/>
              <w:left w:val="single" w:color="auto" w:sz="4" w:space="0"/>
              <w:bottom w:val="single" w:color="auto" w:sz="4" w:space="0"/>
              <w:right w:val="single" w:color="auto" w:sz="4" w:space="0"/>
            </w:tcBorders>
            <w:noWrap w:val="0"/>
            <w:vAlign w:val="center"/>
          </w:tcPr>
          <w:p>
            <w:pPr>
              <w:pStyle w:val="30"/>
              <w:bidi w:val="0"/>
            </w:pPr>
            <w:r>
              <w:t>等效声级（dB(A)）</w:t>
            </w:r>
          </w:p>
        </w:tc>
        <w:tc>
          <w:tcPr>
            <w:tcW w:w="2582" w:type="dxa"/>
            <w:tcBorders>
              <w:top w:val="single" w:color="auto" w:sz="12" w:space="0"/>
              <w:left w:val="single" w:color="auto" w:sz="4" w:space="0"/>
              <w:bottom w:val="single" w:color="auto" w:sz="4" w:space="0"/>
              <w:right w:val="single" w:color="auto" w:sz="12" w:space="0"/>
            </w:tcBorders>
            <w:noWrap w:val="0"/>
            <w:vAlign w:val="center"/>
          </w:tcPr>
          <w:p>
            <w:pPr>
              <w:pStyle w:val="30"/>
              <w:bidi w:val="0"/>
            </w:pPr>
            <w:r>
              <w:t>备注</w:t>
            </w:r>
          </w:p>
        </w:tc>
      </w:tr>
      <w:tr>
        <w:tblPrEx>
          <w:tblCellMar>
            <w:top w:w="0" w:type="dxa"/>
            <w:left w:w="108" w:type="dxa"/>
            <w:bottom w:w="0" w:type="dxa"/>
            <w:right w:w="108" w:type="dxa"/>
          </w:tblCellMar>
        </w:tblPrEx>
        <w:trPr>
          <w:cantSplit/>
          <w:trHeight w:val="340" w:hRule="atLeast"/>
          <w:jc w:val="center"/>
        </w:trPr>
        <w:tc>
          <w:tcPr>
            <w:tcW w:w="1056" w:type="dxa"/>
            <w:tcBorders>
              <w:top w:val="single" w:color="auto" w:sz="4" w:space="0"/>
              <w:left w:val="single" w:color="auto" w:sz="12" w:space="0"/>
              <w:bottom w:val="single" w:color="auto" w:sz="4" w:space="0"/>
              <w:right w:val="single" w:color="auto" w:sz="4" w:space="0"/>
            </w:tcBorders>
            <w:noWrap w:val="0"/>
            <w:vAlign w:val="center"/>
          </w:tcPr>
          <w:p>
            <w:pPr>
              <w:pStyle w:val="30"/>
              <w:bidi w:val="0"/>
            </w:pPr>
            <w:r>
              <w:t>1</w:t>
            </w:r>
          </w:p>
        </w:tc>
        <w:tc>
          <w:tcPr>
            <w:tcW w:w="2701" w:type="dxa"/>
            <w:tcBorders>
              <w:top w:val="single" w:color="auto" w:sz="4" w:space="0"/>
              <w:left w:val="single" w:color="auto" w:sz="4" w:space="0"/>
              <w:bottom w:val="single" w:color="auto" w:sz="4" w:space="0"/>
              <w:right w:val="single" w:color="auto" w:sz="4" w:space="0"/>
            </w:tcBorders>
            <w:noWrap w:val="0"/>
            <w:vAlign w:val="center"/>
          </w:tcPr>
          <w:p>
            <w:pPr>
              <w:pStyle w:val="30"/>
              <w:bidi w:val="0"/>
            </w:pPr>
            <w:r>
              <w:t>给料机</w:t>
            </w:r>
          </w:p>
        </w:tc>
        <w:tc>
          <w:tcPr>
            <w:tcW w:w="2701" w:type="dxa"/>
            <w:tcBorders>
              <w:top w:val="single" w:color="auto" w:sz="4" w:space="0"/>
              <w:left w:val="single" w:color="auto" w:sz="4" w:space="0"/>
              <w:bottom w:val="single" w:color="auto" w:sz="4" w:space="0"/>
              <w:right w:val="single" w:color="auto" w:sz="4" w:space="0"/>
            </w:tcBorders>
            <w:noWrap w:val="0"/>
            <w:vAlign w:val="center"/>
          </w:tcPr>
          <w:p>
            <w:pPr>
              <w:pStyle w:val="30"/>
              <w:bidi w:val="0"/>
            </w:pPr>
            <w:r>
              <w:t>65~</w:t>
            </w:r>
            <w:r>
              <w:rPr>
                <w:rFonts w:hint="eastAsia"/>
              </w:rPr>
              <w:t>7</w:t>
            </w:r>
            <w:r>
              <w:t>5</w:t>
            </w:r>
          </w:p>
        </w:tc>
        <w:tc>
          <w:tcPr>
            <w:tcW w:w="2582" w:type="dxa"/>
            <w:tcBorders>
              <w:top w:val="single" w:color="auto" w:sz="4" w:space="0"/>
              <w:left w:val="single" w:color="auto" w:sz="4" w:space="0"/>
              <w:bottom w:val="single" w:color="auto" w:sz="4" w:space="0"/>
              <w:right w:val="single" w:color="auto" w:sz="12" w:space="0"/>
            </w:tcBorders>
            <w:noWrap w:val="0"/>
            <w:vAlign w:val="center"/>
          </w:tcPr>
          <w:p>
            <w:pPr>
              <w:pStyle w:val="30"/>
              <w:bidi w:val="0"/>
            </w:pPr>
            <w:r>
              <w:t>距设备1m处</w:t>
            </w:r>
          </w:p>
        </w:tc>
      </w:tr>
      <w:tr>
        <w:tblPrEx>
          <w:tblCellMar>
            <w:top w:w="0" w:type="dxa"/>
            <w:left w:w="108" w:type="dxa"/>
            <w:bottom w:w="0" w:type="dxa"/>
            <w:right w:w="108" w:type="dxa"/>
          </w:tblCellMar>
        </w:tblPrEx>
        <w:trPr>
          <w:cantSplit/>
          <w:trHeight w:val="340" w:hRule="atLeast"/>
          <w:jc w:val="center"/>
        </w:trPr>
        <w:tc>
          <w:tcPr>
            <w:tcW w:w="1056" w:type="dxa"/>
            <w:tcBorders>
              <w:top w:val="single" w:color="auto" w:sz="4" w:space="0"/>
              <w:left w:val="single" w:color="auto" w:sz="12" w:space="0"/>
              <w:bottom w:val="single" w:color="auto" w:sz="4" w:space="0"/>
              <w:right w:val="single" w:color="auto" w:sz="4" w:space="0"/>
            </w:tcBorders>
            <w:noWrap w:val="0"/>
            <w:vAlign w:val="center"/>
          </w:tcPr>
          <w:p>
            <w:pPr>
              <w:pStyle w:val="30"/>
              <w:bidi w:val="0"/>
            </w:pPr>
            <w:r>
              <w:t>2</w:t>
            </w:r>
          </w:p>
        </w:tc>
        <w:tc>
          <w:tcPr>
            <w:tcW w:w="2701" w:type="dxa"/>
            <w:tcBorders>
              <w:top w:val="single" w:color="auto" w:sz="4" w:space="0"/>
              <w:left w:val="single" w:color="auto" w:sz="4" w:space="0"/>
              <w:bottom w:val="single" w:color="auto" w:sz="4" w:space="0"/>
              <w:right w:val="single" w:color="auto" w:sz="4" w:space="0"/>
            </w:tcBorders>
            <w:noWrap w:val="0"/>
            <w:vAlign w:val="center"/>
          </w:tcPr>
          <w:p>
            <w:pPr>
              <w:pStyle w:val="30"/>
              <w:bidi w:val="0"/>
            </w:pPr>
            <w:r>
              <w:rPr>
                <w:rFonts w:hint="eastAsia"/>
                <w:lang w:eastAsia="zh-CN"/>
              </w:rPr>
              <w:t>破碎</w:t>
            </w:r>
            <w:r>
              <w:t>机</w:t>
            </w:r>
          </w:p>
        </w:tc>
        <w:tc>
          <w:tcPr>
            <w:tcW w:w="2701" w:type="dxa"/>
            <w:tcBorders>
              <w:top w:val="single" w:color="auto" w:sz="4" w:space="0"/>
              <w:left w:val="single" w:color="auto" w:sz="4" w:space="0"/>
              <w:bottom w:val="single" w:color="auto" w:sz="4" w:space="0"/>
              <w:right w:val="single" w:color="auto" w:sz="4" w:space="0"/>
            </w:tcBorders>
            <w:noWrap w:val="0"/>
            <w:vAlign w:val="center"/>
          </w:tcPr>
          <w:p>
            <w:pPr>
              <w:pStyle w:val="30"/>
              <w:bidi w:val="0"/>
              <w:rPr>
                <w:rFonts w:hint="eastAsia"/>
                <w:lang w:val="en-US" w:eastAsia="zh-CN"/>
              </w:rPr>
            </w:pPr>
            <w:r>
              <w:t>80~9</w:t>
            </w:r>
            <w:r>
              <w:rPr>
                <w:rFonts w:hint="eastAsia"/>
                <w:lang w:val="en-US" w:eastAsia="zh-CN"/>
              </w:rPr>
              <w:t>0</w:t>
            </w:r>
          </w:p>
        </w:tc>
        <w:tc>
          <w:tcPr>
            <w:tcW w:w="2582" w:type="dxa"/>
            <w:tcBorders>
              <w:top w:val="single" w:color="auto" w:sz="4" w:space="0"/>
              <w:left w:val="single" w:color="auto" w:sz="4" w:space="0"/>
              <w:bottom w:val="single" w:color="auto" w:sz="4" w:space="0"/>
              <w:right w:val="single" w:color="auto" w:sz="12" w:space="0"/>
            </w:tcBorders>
            <w:noWrap w:val="0"/>
            <w:vAlign w:val="center"/>
          </w:tcPr>
          <w:p>
            <w:pPr>
              <w:pStyle w:val="30"/>
              <w:bidi w:val="0"/>
            </w:pPr>
            <w:r>
              <w:t>距设备1m处</w:t>
            </w:r>
          </w:p>
        </w:tc>
      </w:tr>
      <w:tr>
        <w:tblPrEx>
          <w:tblCellMar>
            <w:top w:w="0" w:type="dxa"/>
            <w:left w:w="108" w:type="dxa"/>
            <w:bottom w:w="0" w:type="dxa"/>
            <w:right w:w="108" w:type="dxa"/>
          </w:tblCellMar>
        </w:tblPrEx>
        <w:trPr>
          <w:cantSplit/>
          <w:trHeight w:val="340" w:hRule="atLeast"/>
          <w:jc w:val="center"/>
        </w:trPr>
        <w:tc>
          <w:tcPr>
            <w:tcW w:w="1056" w:type="dxa"/>
            <w:tcBorders>
              <w:top w:val="single" w:color="auto" w:sz="4" w:space="0"/>
              <w:left w:val="single" w:color="auto" w:sz="12" w:space="0"/>
              <w:bottom w:val="single" w:color="auto" w:sz="4" w:space="0"/>
              <w:right w:val="single" w:color="auto" w:sz="4" w:space="0"/>
            </w:tcBorders>
            <w:noWrap w:val="0"/>
            <w:vAlign w:val="center"/>
          </w:tcPr>
          <w:p>
            <w:pPr>
              <w:pStyle w:val="30"/>
              <w:bidi w:val="0"/>
            </w:pPr>
            <w:r>
              <w:t>3</w:t>
            </w:r>
          </w:p>
        </w:tc>
        <w:tc>
          <w:tcPr>
            <w:tcW w:w="2701" w:type="dxa"/>
            <w:tcBorders>
              <w:top w:val="single" w:color="auto" w:sz="4" w:space="0"/>
              <w:left w:val="single" w:color="auto" w:sz="4" w:space="0"/>
              <w:bottom w:val="single" w:color="auto" w:sz="4" w:space="0"/>
              <w:right w:val="single" w:color="auto" w:sz="4" w:space="0"/>
            </w:tcBorders>
            <w:noWrap w:val="0"/>
            <w:vAlign w:val="center"/>
          </w:tcPr>
          <w:p>
            <w:pPr>
              <w:pStyle w:val="30"/>
              <w:bidi w:val="0"/>
              <w:rPr>
                <w:rFonts w:hint="eastAsia" w:eastAsia="宋体"/>
                <w:lang w:eastAsia="zh-CN"/>
              </w:rPr>
            </w:pPr>
            <w:r>
              <w:rPr>
                <w:rFonts w:hint="eastAsia"/>
                <w:lang w:eastAsia="zh-CN"/>
              </w:rPr>
              <w:t>履带</w:t>
            </w:r>
          </w:p>
        </w:tc>
        <w:tc>
          <w:tcPr>
            <w:tcW w:w="2701" w:type="dxa"/>
            <w:tcBorders>
              <w:top w:val="single" w:color="auto" w:sz="4" w:space="0"/>
              <w:left w:val="single" w:color="auto" w:sz="4" w:space="0"/>
              <w:bottom w:val="single" w:color="auto" w:sz="4" w:space="0"/>
              <w:right w:val="single" w:color="auto" w:sz="4" w:space="0"/>
            </w:tcBorders>
            <w:noWrap w:val="0"/>
            <w:vAlign w:val="center"/>
          </w:tcPr>
          <w:p>
            <w:pPr>
              <w:pStyle w:val="30"/>
              <w:bidi w:val="0"/>
            </w:pPr>
            <w:r>
              <w:t>75~80</w:t>
            </w:r>
          </w:p>
        </w:tc>
        <w:tc>
          <w:tcPr>
            <w:tcW w:w="2582" w:type="dxa"/>
            <w:tcBorders>
              <w:top w:val="single" w:color="auto" w:sz="4" w:space="0"/>
              <w:left w:val="single" w:color="auto" w:sz="4" w:space="0"/>
              <w:bottom w:val="single" w:color="auto" w:sz="4" w:space="0"/>
              <w:right w:val="single" w:color="auto" w:sz="12" w:space="0"/>
            </w:tcBorders>
            <w:noWrap w:val="0"/>
            <w:vAlign w:val="center"/>
          </w:tcPr>
          <w:p>
            <w:pPr>
              <w:pStyle w:val="30"/>
              <w:bidi w:val="0"/>
            </w:pPr>
            <w:r>
              <w:t>距声源1m处</w:t>
            </w:r>
          </w:p>
        </w:tc>
      </w:tr>
      <w:tr>
        <w:tblPrEx>
          <w:tblCellMar>
            <w:top w:w="0" w:type="dxa"/>
            <w:left w:w="108" w:type="dxa"/>
            <w:bottom w:w="0" w:type="dxa"/>
            <w:right w:w="108" w:type="dxa"/>
          </w:tblCellMar>
        </w:tblPrEx>
        <w:trPr>
          <w:cantSplit/>
          <w:trHeight w:val="340" w:hRule="atLeast"/>
          <w:jc w:val="center"/>
        </w:trPr>
        <w:tc>
          <w:tcPr>
            <w:tcW w:w="1056" w:type="dxa"/>
            <w:tcBorders>
              <w:top w:val="single" w:color="auto" w:sz="4" w:space="0"/>
              <w:left w:val="single" w:color="auto" w:sz="12" w:space="0"/>
              <w:bottom w:val="single" w:color="auto" w:sz="12" w:space="0"/>
              <w:right w:val="single" w:color="auto" w:sz="4" w:space="0"/>
            </w:tcBorders>
            <w:noWrap w:val="0"/>
            <w:vAlign w:val="center"/>
          </w:tcPr>
          <w:p>
            <w:pPr>
              <w:pStyle w:val="30"/>
              <w:bidi w:val="0"/>
            </w:pPr>
            <w:r>
              <w:rPr>
                <w:rFonts w:hint="eastAsia"/>
              </w:rPr>
              <w:t>4</w:t>
            </w:r>
          </w:p>
        </w:tc>
        <w:tc>
          <w:tcPr>
            <w:tcW w:w="2701" w:type="dxa"/>
            <w:tcBorders>
              <w:top w:val="single" w:color="auto" w:sz="4" w:space="0"/>
              <w:left w:val="single" w:color="auto" w:sz="4" w:space="0"/>
              <w:bottom w:val="single" w:color="auto" w:sz="12" w:space="0"/>
              <w:right w:val="single" w:color="auto" w:sz="4" w:space="0"/>
            </w:tcBorders>
            <w:noWrap w:val="0"/>
            <w:vAlign w:val="center"/>
          </w:tcPr>
          <w:p>
            <w:pPr>
              <w:pStyle w:val="30"/>
              <w:bidi w:val="0"/>
            </w:pPr>
            <w:r>
              <w:t>运输车辆</w:t>
            </w:r>
          </w:p>
        </w:tc>
        <w:tc>
          <w:tcPr>
            <w:tcW w:w="2701" w:type="dxa"/>
            <w:tcBorders>
              <w:top w:val="single" w:color="auto" w:sz="4" w:space="0"/>
              <w:left w:val="single" w:color="auto" w:sz="4" w:space="0"/>
              <w:bottom w:val="single" w:color="auto" w:sz="12" w:space="0"/>
              <w:right w:val="single" w:color="auto" w:sz="4" w:space="0"/>
            </w:tcBorders>
            <w:noWrap w:val="0"/>
            <w:vAlign w:val="center"/>
          </w:tcPr>
          <w:p>
            <w:pPr>
              <w:pStyle w:val="30"/>
              <w:bidi w:val="0"/>
            </w:pPr>
            <w:r>
              <w:t>70~85</w:t>
            </w:r>
          </w:p>
        </w:tc>
        <w:tc>
          <w:tcPr>
            <w:tcW w:w="2582" w:type="dxa"/>
            <w:tcBorders>
              <w:top w:val="single" w:color="auto" w:sz="4" w:space="0"/>
              <w:left w:val="single" w:color="auto" w:sz="4" w:space="0"/>
              <w:bottom w:val="single" w:color="auto" w:sz="12" w:space="0"/>
              <w:right w:val="single" w:color="auto" w:sz="12" w:space="0"/>
            </w:tcBorders>
            <w:noWrap w:val="0"/>
            <w:vAlign w:val="center"/>
          </w:tcPr>
          <w:p>
            <w:pPr>
              <w:pStyle w:val="30"/>
              <w:bidi w:val="0"/>
            </w:pPr>
            <w:r>
              <w:t>/</w:t>
            </w:r>
          </w:p>
        </w:tc>
      </w:tr>
    </w:tbl>
    <w:p>
      <w:pPr>
        <w:pStyle w:val="2"/>
        <w:bidi w:val="0"/>
        <w:rPr>
          <w:b/>
          <w:sz w:val="24"/>
        </w:rPr>
      </w:pPr>
      <w:r>
        <w:rPr>
          <w:b/>
          <w:sz w:val="24"/>
        </w:rPr>
        <w:t>固体废物</w:t>
      </w:r>
    </w:p>
    <w:p>
      <w:pPr>
        <w:spacing w:line="360" w:lineRule="auto"/>
        <w:ind w:firstLine="480" w:firstLineChars="200"/>
        <w:rPr>
          <w:rFonts w:hint="eastAsia"/>
          <w:color w:val="auto"/>
          <w:sz w:val="24"/>
        </w:rPr>
      </w:pPr>
      <w:r>
        <w:rPr>
          <w:rFonts w:hint="eastAsia"/>
          <w:sz w:val="24"/>
        </w:rPr>
        <w:t>本项目堆场范围内不设置生活设施，产生的固废主要为沉淀池沉淀的细小砂石。</w:t>
      </w:r>
    </w:p>
    <w:p>
      <w:pPr>
        <w:spacing w:line="360" w:lineRule="auto"/>
        <w:ind w:firstLine="480" w:firstLineChars="200"/>
        <w:rPr>
          <w:rFonts w:hint="eastAsia"/>
          <w:color w:val="auto"/>
          <w:sz w:val="24"/>
        </w:rPr>
      </w:pPr>
      <w:r>
        <w:rPr>
          <w:rFonts w:hint="eastAsia"/>
          <w:color w:val="auto"/>
          <w:sz w:val="24"/>
        </w:rPr>
        <w:t>本项目对粉尘的处理主要是采用袋式除尘器，被袋式除尘器截留下来的粉尘即为袋式除尘器粉尘，由前面大气污染物源强计算可知，在破碎筛分环节产生的粉尘量为</w:t>
      </w:r>
      <w:r>
        <w:rPr>
          <w:rFonts w:hint="eastAsia"/>
          <w:color w:val="auto"/>
          <w:sz w:val="24"/>
          <w:lang w:val="en-US" w:eastAsia="zh-CN"/>
        </w:rPr>
        <w:t>0.0325</w:t>
      </w:r>
      <w:r>
        <w:rPr>
          <w:rFonts w:hint="eastAsia"/>
          <w:color w:val="auto"/>
          <w:sz w:val="24"/>
        </w:rPr>
        <w:t>t/a，集气罩的效率为</w:t>
      </w:r>
      <w:r>
        <w:rPr>
          <w:rFonts w:hint="eastAsia"/>
          <w:color w:val="auto"/>
          <w:sz w:val="24"/>
          <w:lang w:val="en-US" w:eastAsia="zh-CN"/>
        </w:rPr>
        <w:t>8</w:t>
      </w:r>
      <w:r>
        <w:rPr>
          <w:rFonts w:hint="eastAsia"/>
          <w:color w:val="auto"/>
          <w:sz w:val="24"/>
        </w:rPr>
        <w:t>0%，袋式除尘器的除尘效率为99%，所以可得被袋式除尘器截留下来的粉尘量为</w:t>
      </w:r>
      <w:r>
        <w:rPr>
          <w:rFonts w:hint="eastAsia"/>
          <w:color w:val="auto"/>
          <w:sz w:val="24"/>
          <w:lang w:val="en-US" w:eastAsia="zh-CN"/>
        </w:rPr>
        <w:t>0.02574</w:t>
      </w:r>
      <w:r>
        <w:rPr>
          <w:rFonts w:hint="eastAsia"/>
          <w:color w:val="auto"/>
          <w:sz w:val="24"/>
        </w:rPr>
        <w:t>t。对袋式除尘器反向冲入洁净气体可使袋式除尘器截留的粉尘脱落。该部分粉尘可</w:t>
      </w:r>
      <w:r>
        <w:rPr>
          <w:rFonts w:hint="eastAsia"/>
          <w:color w:val="auto"/>
          <w:sz w:val="24"/>
          <w:lang w:eastAsia="zh-CN"/>
        </w:rPr>
        <w:t>直接用于施工作业</w:t>
      </w:r>
      <w:r>
        <w:rPr>
          <w:rFonts w:hint="eastAsia"/>
          <w:color w:val="auto"/>
          <w:sz w:val="24"/>
        </w:rPr>
        <w:t>。</w:t>
      </w:r>
    </w:p>
    <w:p>
      <w:pPr>
        <w:spacing w:line="360" w:lineRule="auto"/>
        <w:ind w:firstLine="480" w:firstLineChars="200"/>
        <w:rPr>
          <w:rFonts w:hAnsi="宋体"/>
          <w:color w:val="auto"/>
          <w:sz w:val="24"/>
        </w:rPr>
      </w:pPr>
      <w:r>
        <w:rPr>
          <w:rFonts w:hint="eastAsia"/>
          <w:color w:val="auto"/>
          <w:sz w:val="24"/>
        </w:rPr>
        <w:t>本项目沉淀池收集处理雨水径流和冲洗废水，主要对废水中的SS进行处理，去除效率以80%计，则本项目沉淀池中产生的沉淀物量约为0.177t/a，沉淀物主要组分为砂石，定期收集后</w:t>
      </w:r>
      <w:r>
        <w:rPr>
          <w:rFonts w:hint="eastAsia"/>
          <w:color w:val="auto"/>
          <w:sz w:val="24"/>
          <w:lang w:val="en-US" w:eastAsia="zh-CN"/>
        </w:rPr>
        <w:t>用于作业</w:t>
      </w:r>
      <w:r>
        <w:rPr>
          <w:rFonts w:hint="eastAsia"/>
          <w:color w:val="auto"/>
          <w:sz w:val="24"/>
        </w:rPr>
        <w:t>。</w:t>
      </w:r>
    </w:p>
    <w:p>
      <w:pPr>
        <w:pStyle w:val="4"/>
        <w:bidi w:val="0"/>
        <w:rPr>
          <w:rFonts w:hint="eastAsia"/>
          <w:lang w:eastAsia="zh-CN"/>
        </w:rPr>
      </w:pPr>
      <w:bookmarkStart w:id="47" w:name="_Toc11213"/>
      <w:bookmarkStart w:id="48" w:name="_Toc14202"/>
      <w:r>
        <w:rPr>
          <w:rFonts w:hint="eastAsia"/>
          <w:lang w:eastAsia="zh-CN"/>
        </w:rPr>
        <w:t>环保设施变更</w:t>
      </w:r>
      <w:bookmarkEnd w:id="47"/>
      <w:bookmarkEnd w:id="48"/>
    </w:p>
    <w:p>
      <w:pPr>
        <w:bidi w:val="0"/>
        <w:rPr>
          <w:rFonts w:hint="eastAsia" w:ascii="Times New Roman" w:hAnsi="Times New Roman" w:eastAsia="宋体" w:cs="Times New Roman"/>
          <w:color w:val="auto"/>
          <w:sz w:val="24"/>
          <w:szCs w:val="22"/>
          <w:u w:val="single"/>
          <w:lang w:val="en-US" w:eastAsia="zh-CN"/>
        </w:rPr>
      </w:pPr>
      <w:r>
        <w:rPr>
          <w:rFonts w:hint="default"/>
          <w:u w:val="single"/>
          <w:lang w:val="en-US" w:eastAsia="zh-CN"/>
        </w:rPr>
        <w:t>项目变更后</w:t>
      </w:r>
      <w:r>
        <w:rPr>
          <w:rFonts w:hint="eastAsia"/>
          <w:u w:val="single"/>
          <w:lang w:val="en-US" w:eastAsia="zh-CN"/>
        </w:rPr>
        <w:t>堆场位于</w:t>
      </w:r>
      <w:r>
        <w:rPr>
          <w:rFonts w:hint="eastAsia"/>
          <w:highlight w:val="none"/>
          <w:u w:val="single"/>
          <w:lang w:val="en-US" w:eastAsia="zh-CN"/>
        </w:rPr>
        <w:t>湖南东洞庭湖国家级自然保护区实验区范围</w:t>
      </w:r>
      <w:r>
        <w:rPr>
          <w:rFonts w:hint="default"/>
          <w:u w:val="single"/>
          <w:lang w:val="en-US" w:eastAsia="zh-CN"/>
        </w:rPr>
        <w:t>，为防止</w:t>
      </w:r>
      <w:r>
        <w:rPr>
          <w:rFonts w:hint="eastAsia"/>
          <w:u w:val="single"/>
          <w:lang w:val="en-US" w:eastAsia="zh-CN"/>
        </w:rPr>
        <w:t>堆场</w:t>
      </w:r>
      <w:r>
        <w:rPr>
          <w:rFonts w:hint="default"/>
          <w:u w:val="single"/>
          <w:lang w:val="en-US" w:eastAsia="zh-CN"/>
        </w:rPr>
        <w:t>对土壤、地下水造成污染，本次变更要求</w:t>
      </w:r>
      <w:r>
        <w:rPr>
          <w:rFonts w:hint="eastAsia"/>
          <w:u w:val="single"/>
          <w:lang w:val="en-US" w:eastAsia="zh-CN"/>
        </w:rPr>
        <w:t>场</w:t>
      </w:r>
      <w:r>
        <w:rPr>
          <w:rFonts w:hint="default"/>
          <w:u w:val="single"/>
          <w:lang w:val="en-US" w:eastAsia="zh-CN"/>
        </w:rPr>
        <w:t>界增设截流沟，沉淀池、初期雨水收集池须采取严格的防渗措施。</w:t>
      </w:r>
      <w:r>
        <w:rPr>
          <w:rFonts w:hint="eastAsia" w:ascii="Times New Roman" w:hAnsi="Times New Roman" w:eastAsia="宋体" w:cs="Times New Roman"/>
          <w:color w:val="auto"/>
          <w:sz w:val="24"/>
          <w:szCs w:val="22"/>
          <w:u w:val="single"/>
          <w:lang w:val="en-US" w:eastAsia="zh-CN"/>
        </w:rPr>
        <w:t>本次评价在收集和分析项目相关资料、厂址区域环境背景资料的基础上，对项目现场进行了实地踏勘。根据现场勘查，该项目存在的问题及拟进行的整改措施见下表。</w:t>
      </w:r>
    </w:p>
    <w:p>
      <w:pPr>
        <w:pStyle w:val="29"/>
        <w:bidi w:val="0"/>
        <w:rPr>
          <w:rFonts w:hint="eastAsia"/>
          <w:u w:val="single"/>
          <w:lang w:val="en-US" w:eastAsia="zh-CN"/>
        </w:rPr>
      </w:pPr>
      <w:r>
        <w:rPr>
          <w:rFonts w:hint="eastAsia"/>
          <w:u w:val="single"/>
          <w:lang w:val="en-US" w:eastAsia="zh-CN"/>
        </w:rPr>
        <w:t>表4.3-4  项目存在问题及整改措施一览表</w:t>
      </w:r>
    </w:p>
    <w:tbl>
      <w:tblPr>
        <w:tblStyle w:val="21"/>
        <w:tblW w:w="9118"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704"/>
        <w:gridCol w:w="3204"/>
        <w:gridCol w:w="5210"/>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704" w:type="dxa"/>
            <w:tcBorders>
              <w:tl2br w:val="nil"/>
              <w:tr2bl w:val="nil"/>
            </w:tcBorders>
            <w:noWrap w:val="0"/>
            <w:vAlign w:val="center"/>
          </w:tcPr>
          <w:p>
            <w:pPr>
              <w:pStyle w:val="30"/>
              <w:bidi w:val="0"/>
              <w:rPr>
                <w:rFonts w:hint="eastAsia"/>
                <w:u w:val="single"/>
              </w:rPr>
            </w:pPr>
            <w:r>
              <w:rPr>
                <w:rFonts w:hint="eastAsia"/>
                <w:u w:val="single"/>
              </w:rPr>
              <w:t>项目</w:t>
            </w:r>
          </w:p>
        </w:tc>
        <w:tc>
          <w:tcPr>
            <w:tcW w:w="3204" w:type="dxa"/>
            <w:tcBorders>
              <w:tl2br w:val="nil"/>
              <w:tr2bl w:val="nil"/>
            </w:tcBorders>
            <w:noWrap w:val="0"/>
            <w:vAlign w:val="center"/>
          </w:tcPr>
          <w:p>
            <w:pPr>
              <w:pStyle w:val="30"/>
              <w:bidi w:val="0"/>
              <w:rPr>
                <w:rFonts w:hint="eastAsia"/>
                <w:u w:val="single"/>
              </w:rPr>
            </w:pPr>
            <w:r>
              <w:rPr>
                <w:rFonts w:hint="eastAsia"/>
                <w:u w:val="single"/>
              </w:rPr>
              <w:t>存在的问题</w:t>
            </w:r>
          </w:p>
        </w:tc>
        <w:tc>
          <w:tcPr>
            <w:tcW w:w="5210" w:type="dxa"/>
            <w:tcBorders>
              <w:tl2br w:val="nil"/>
              <w:tr2bl w:val="nil"/>
            </w:tcBorders>
            <w:noWrap w:val="0"/>
            <w:vAlign w:val="center"/>
          </w:tcPr>
          <w:p>
            <w:pPr>
              <w:pStyle w:val="30"/>
              <w:bidi w:val="0"/>
              <w:rPr>
                <w:rFonts w:hint="eastAsia"/>
                <w:u w:val="single"/>
              </w:rPr>
            </w:pPr>
            <w:r>
              <w:rPr>
                <w:rFonts w:hint="eastAsia"/>
                <w:u w:val="single"/>
              </w:rPr>
              <w:t>整改措施</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704" w:type="dxa"/>
            <w:tcBorders>
              <w:tl2br w:val="nil"/>
              <w:tr2bl w:val="nil"/>
            </w:tcBorders>
            <w:noWrap w:val="0"/>
            <w:vAlign w:val="center"/>
          </w:tcPr>
          <w:p>
            <w:pPr>
              <w:pStyle w:val="30"/>
              <w:bidi w:val="0"/>
              <w:rPr>
                <w:rFonts w:hint="eastAsia"/>
                <w:u w:val="single"/>
              </w:rPr>
            </w:pPr>
            <w:r>
              <w:rPr>
                <w:rFonts w:hint="eastAsia"/>
                <w:u w:val="single"/>
              </w:rPr>
              <w:t>1</w:t>
            </w:r>
          </w:p>
        </w:tc>
        <w:tc>
          <w:tcPr>
            <w:tcW w:w="3204" w:type="dxa"/>
            <w:tcBorders>
              <w:tl2br w:val="nil"/>
              <w:tr2bl w:val="nil"/>
            </w:tcBorders>
            <w:noWrap w:val="0"/>
            <w:vAlign w:val="center"/>
          </w:tcPr>
          <w:p>
            <w:pPr>
              <w:pStyle w:val="30"/>
              <w:bidi w:val="0"/>
              <w:rPr>
                <w:rFonts w:hint="eastAsia"/>
                <w:u w:val="single"/>
                <w:lang w:eastAsia="zh-CN"/>
              </w:rPr>
            </w:pPr>
            <w:r>
              <w:rPr>
                <w:rFonts w:hint="eastAsia"/>
                <w:u w:val="single"/>
                <w:lang w:eastAsia="zh-CN"/>
              </w:rPr>
              <w:t>传送带未密闭且未洒水</w:t>
            </w:r>
          </w:p>
        </w:tc>
        <w:tc>
          <w:tcPr>
            <w:tcW w:w="5210" w:type="dxa"/>
            <w:tcBorders>
              <w:tl2br w:val="nil"/>
              <w:tr2bl w:val="nil"/>
            </w:tcBorders>
            <w:noWrap w:val="0"/>
            <w:vAlign w:val="center"/>
          </w:tcPr>
          <w:p>
            <w:pPr>
              <w:pStyle w:val="30"/>
              <w:bidi w:val="0"/>
              <w:rPr>
                <w:rFonts w:hint="eastAsia"/>
                <w:u w:val="single"/>
                <w:lang w:eastAsia="zh-CN"/>
              </w:rPr>
            </w:pPr>
            <w:r>
              <w:rPr>
                <w:rFonts w:hint="eastAsia"/>
                <w:u w:val="single"/>
                <w:lang w:eastAsia="zh-CN"/>
              </w:rPr>
              <w:t>传送带落料处设置雾化喷头装置，传送带全密闭</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704" w:type="dxa"/>
            <w:tcBorders>
              <w:tl2br w:val="nil"/>
              <w:tr2bl w:val="nil"/>
            </w:tcBorders>
            <w:noWrap w:val="0"/>
            <w:vAlign w:val="center"/>
          </w:tcPr>
          <w:p>
            <w:pPr>
              <w:pStyle w:val="30"/>
              <w:bidi w:val="0"/>
              <w:rPr>
                <w:rFonts w:hint="eastAsia"/>
                <w:u w:val="single"/>
              </w:rPr>
            </w:pPr>
            <w:r>
              <w:rPr>
                <w:rFonts w:hint="eastAsia"/>
                <w:u w:val="single"/>
              </w:rPr>
              <w:t>2</w:t>
            </w:r>
          </w:p>
        </w:tc>
        <w:tc>
          <w:tcPr>
            <w:tcW w:w="3204" w:type="dxa"/>
            <w:tcBorders>
              <w:tl2br w:val="nil"/>
              <w:tr2bl w:val="nil"/>
            </w:tcBorders>
            <w:noWrap w:val="0"/>
            <w:vAlign w:val="center"/>
          </w:tcPr>
          <w:p>
            <w:pPr>
              <w:pStyle w:val="30"/>
              <w:bidi w:val="0"/>
              <w:rPr>
                <w:rFonts w:hint="eastAsia"/>
                <w:u w:val="single"/>
                <w:lang w:eastAsia="zh-CN"/>
              </w:rPr>
            </w:pPr>
            <w:r>
              <w:rPr>
                <w:rFonts w:hint="eastAsia"/>
                <w:u w:val="single"/>
                <w:lang w:eastAsia="zh-CN"/>
              </w:rPr>
              <w:t>破碎工序未对扬尘进行治理</w:t>
            </w:r>
          </w:p>
        </w:tc>
        <w:tc>
          <w:tcPr>
            <w:tcW w:w="5210" w:type="dxa"/>
            <w:tcBorders>
              <w:tl2br w:val="nil"/>
              <w:tr2bl w:val="nil"/>
            </w:tcBorders>
            <w:noWrap w:val="0"/>
            <w:vAlign w:val="center"/>
          </w:tcPr>
          <w:p>
            <w:pPr>
              <w:pStyle w:val="30"/>
              <w:bidi w:val="0"/>
              <w:rPr>
                <w:rFonts w:hint="eastAsia"/>
                <w:u w:val="single"/>
              </w:rPr>
            </w:pPr>
            <w:r>
              <w:rPr>
                <w:rFonts w:hint="eastAsia"/>
                <w:u w:val="single"/>
                <w:lang w:eastAsia="zh-CN"/>
              </w:rPr>
              <w:t>采用湿式破碎</w:t>
            </w:r>
            <w:r>
              <w:rPr>
                <w:rFonts w:hint="eastAsia"/>
                <w:u w:val="single"/>
                <w:lang w:val="en-US" w:eastAsia="zh-CN"/>
              </w:rPr>
              <w:t>+布袋除尘+15m排气筒</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704" w:type="dxa"/>
            <w:tcBorders>
              <w:tl2br w:val="nil"/>
              <w:tr2bl w:val="nil"/>
            </w:tcBorders>
            <w:noWrap w:val="0"/>
            <w:vAlign w:val="center"/>
          </w:tcPr>
          <w:p>
            <w:pPr>
              <w:pStyle w:val="30"/>
              <w:bidi w:val="0"/>
              <w:rPr>
                <w:rFonts w:hint="eastAsia" w:ascii="Times New Roman" w:hAnsi="Times New Roman" w:eastAsia="宋体" w:cstheme="minorBidi"/>
                <w:snapToGrid w:val="0"/>
                <w:sz w:val="21"/>
                <w:szCs w:val="24"/>
                <w:u w:val="single"/>
                <w:lang w:val="en-US" w:eastAsia="zh-CN" w:bidi="ar-SA"/>
              </w:rPr>
            </w:pPr>
            <w:r>
              <w:rPr>
                <w:rFonts w:hint="eastAsia"/>
                <w:u w:val="single"/>
                <w:lang w:val="en-US" w:eastAsia="zh-CN"/>
              </w:rPr>
              <w:t>3</w:t>
            </w:r>
          </w:p>
        </w:tc>
        <w:tc>
          <w:tcPr>
            <w:tcW w:w="3204" w:type="dxa"/>
            <w:tcBorders>
              <w:tl2br w:val="nil"/>
              <w:tr2bl w:val="nil"/>
            </w:tcBorders>
            <w:noWrap w:val="0"/>
            <w:vAlign w:val="center"/>
          </w:tcPr>
          <w:p>
            <w:pPr>
              <w:pStyle w:val="30"/>
              <w:bidi w:val="0"/>
              <w:rPr>
                <w:rFonts w:hint="eastAsia"/>
                <w:u w:val="single"/>
                <w:lang w:eastAsia="zh-CN"/>
              </w:rPr>
            </w:pPr>
            <w:r>
              <w:rPr>
                <w:rFonts w:hint="eastAsia"/>
                <w:u w:val="single"/>
                <w:lang w:eastAsia="zh-CN"/>
              </w:rPr>
              <w:t>破碎区地面未硬化</w:t>
            </w:r>
          </w:p>
        </w:tc>
        <w:tc>
          <w:tcPr>
            <w:tcW w:w="5210" w:type="dxa"/>
            <w:tcBorders>
              <w:tl2br w:val="nil"/>
              <w:tr2bl w:val="nil"/>
            </w:tcBorders>
            <w:noWrap w:val="0"/>
            <w:vAlign w:val="center"/>
          </w:tcPr>
          <w:p>
            <w:pPr>
              <w:pStyle w:val="30"/>
              <w:bidi w:val="0"/>
              <w:rPr>
                <w:rFonts w:hint="eastAsia"/>
                <w:u w:val="single"/>
                <w:lang w:eastAsia="zh-CN"/>
              </w:rPr>
            </w:pPr>
            <w:r>
              <w:rPr>
                <w:rFonts w:hint="eastAsia"/>
                <w:u w:val="single"/>
                <w:lang w:eastAsia="zh-CN"/>
              </w:rPr>
              <w:t>对破碎区地面进行硬化</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704" w:type="dxa"/>
            <w:tcBorders>
              <w:tl2br w:val="nil"/>
              <w:tr2bl w:val="nil"/>
            </w:tcBorders>
            <w:noWrap w:val="0"/>
            <w:vAlign w:val="center"/>
          </w:tcPr>
          <w:p>
            <w:pPr>
              <w:pStyle w:val="30"/>
              <w:bidi w:val="0"/>
              <w:rPr>
                <w:rFonts w:hint="eastAsia" w:ascii="Times New Roman" w:hAnsi="Times New Roman" w:eastAsia="宋体" w:cstheme="minorBidi"/>
                <w:snapToGrid w:val="0"/>
                <w:sz w:val="21"/>
                <w:szCs w:val="24"/>
                <w:u w:val="single"/>
                <w:lang w:val="en-US" w:eastAsia="zh-CN" w:bidi="ar-SA"/>
              </w:rPr>
            </w:pPr>
            <w:r>
              <w:rPr>
                <w:rFonts w:hint="eastAsia"/>
                <w:u w:val="single"/>
                <w:lang w:val="en-US" w:eastAsia="zh-CN"/>
              </w:rPr>
              <w:t>4</w:t>
            </w:r>
          </w:p>
        </w:tc>
        <w:tc>
          <w:tcPr>
            <w:tcW w:w="3204" w:type="dxa"/>
            <w:tcBorders>
              <w:tl2br w:val="nil"/>
              <w:tr2bl w:val="nil"/>
            </w:tcBorders>
            <w:noWrap w:val="0"/>
            <w:vAlign w:val="center"/>
          </w:tcPr>
          <w:p>
            <w:pPr>
              <w:pStyle w:val="30"/>
              <w:bidi w:val="0"/>
              <w:rPr>
                <w:rFonts w:hint="eastAsia"/>
                <w:u w:val="single"/>
                <w:lang w:eastAsia="zh-CN"/>
              </w:rPr>
            </w:pPr>
            <w:r>
              <w:rPr>
                <w:rFonts w:hint="eastAsia"/>
                <w:u w:val="single"/>
                <w:lang w:val="en-US" w:eastAsia="zh-CN"/>
              </w:rPr>
              <w:t>洗车废水未处理</w:t>
            </w:r>
          </w:p>
        </w:tc>
        <w:tc>
          <w:tcPr>
            <w:tcW w:w="5210" w:type="dxa"/>
            <w:tcBorders>
              <w:tl2br w:val="nil"/>
              <w:tr2bl w:val="nil"/>
            </w:tcBorders>
            <w:noWrap w:val="0"/>
            <w:vAlign w:val="center"/>
          </w:tcPr>
          <w:p>
            <w:pPr>
              <w:pStyle w:val="30"/>
              <w:bidi w:val="0"/>
              <w:rPr>
                <w:rFonts w:hint="eastAsia"/>
                <w:u w:val="single"/>
                <w:lang w:eastAsia="zh-CN"/>
              </w:rPr>
            </w:pPr>
            <w:r>
              <w:rPr>
                <w:rFonts w:hint="eastAsia"/>
                <w:u w:val="single"/>
                <w:lang w:eastAsia="zh-CN"/>
              </w:rPr>
              <w:t>设置洗车平台及废水沉淀池，洗车废水循环使用不外排</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704" w:type="dxa"/>
            <w:tcBorders>
              <w:tl2br w:val="nil"/>
              <w:tr2bl w:val="nil"/>
            </w:tcBorders>
            <w:noWrap w:val="0"/>
            <w:vAlign w:val="center"/>
          </w:tcPr>
          <w:p>
            <w:pPr>
              <w:pStyle w:val="30"/>
              <w:bidi w:val="0"/>
              <w:rPr>
                <w:rFonts w:hint="default" w:ascii="Times New Roman" w:hAnsi="Times New Roman" w:eastAsia="宋体" w:cstheme="minorBidi"/>
                <w:snapToGrid w:val="0"/>
                <w:sz w:val="21"/>
                <w:szCs w:val="24"/>
                <w:u w:val="single"/>
                <w:lang w:val="en-US" w:eastAsia="zh-CN" w:bidi="ar-SA"/>
              </w:rPr>
            </w:pPr>
            <w:r>
              <w:rPr>
                <w:rFonts w:hint="eastAsia"/>
                <w:u w:val="single"/>
                <w:lang w:val="en-US" w:eastAsia="zh-CN"/>
              </w:rPr>
              <w:t>5</w:t>
            </w:r>
          </w:p>
        </w:tc>
        <w:tc>
          <w:tcPr>
            <w:tcW w:w="3204" w:type="dxa"/>
            <w:tcBorders>
              <w:tl2br w:val="nil"/>
              <w:tr2bl w:val="nil"/>
            </w:tcBorders>
            <w:noWrap w:val="0"/>
            <w:vAlign w:val="center"/>
          </w:tcPr>
          <w:p>
            <w:pPr>
              <w:pStyle w:val="30"/>
              <w:bidi w:val="0"/>
              <w:rPr>
                <w:rFonts w:hint="eastAsia"/>
                <w:u w:val="single"/>
                <w:lang w:eastAsia="zh-CN"/>
              </w:rPr>
            </w:pPr>
            <w:r>
              <w:rPr>
                <w:rFonts w:hint="eastAsia"/>
                <w:u w:val="single"/>
                <w:lang w:eastAsia="zh-CN"/>
              </w:rPr>
              <w:t>进出车辆未进行覆盖</w:t>
            </w:r>
          </w:p>
        </w:tc>
        <w:tc>
          <w:tcPr>
            <w:tcW w:w="5210" w:type="dxa"/>
            <w:tcBorders>
              <w:tl2br w:val="nil"/>
              <w:tr2bl w:val="nil"/>
            </w:tcBorders>
            <w:noWrap w:val="0"/>
            <w:vAlign w:val="center"/>
          </w:tcPr>
          <w:p>
            <w:pPr>
              <w:pStyle w:val="30"/>
              <w:bidi w:val="0"/>
              <w:rPr>
                <w:rFonts w:hint="eastAsia"/>
                <w:u w:val="single"/>
                <w:lang w:eastAsia="zh-CN"/>
              </w:rPr>
            </w:pPr>
            <w:r>
              <w:rPr>
                <w:rFonts w:hint="eastAsia"/>
                <w:u w:val="single"/>
                <w:lang w:eastAsia="zh-CN"/>
              </w:rPr>
              <w:t>对</w:t>
            </w:r>
            <w:r>
              <w:rPr>
                <w:rFonts w:hint="eastAsia"/>
                <w:u w:val="single"/>
                <w:lang w:val="en-US" w:eastAsia="zh-CN"/>
              </w:rPr>
              <w:t>运输进出车辆进行覆盖限速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704" w:type="dxa"/>
            <w:tcBorders>
              <w:tl2br w:val="nil"/>
              <w:tr2bl w:val="nil"/>
            </w:tcBorders>
            <w:noWrap w:val="0"/>
            <w:vAlign w:val="center"/>
          </w:tcPr>
          <w:p>
            <w:pPr>
              <w:pStyle w:val="30"/>
              <w:bidi w:val="0"/>
              <w:rPr>
                <w:rFonts w:hint="default"/>
                <w:u w:val="single"/>
                <w:lang w:val="en-US" w:eastAsia="zh-CN"/>
              </w:rPr>
            </w:pPr>
            <w:r>
              <w:rPr>
                <w:rFonts w:hint="eastAsia"/>
                <w:u w:val="single"/>
                <w:lang w:val="en-US" w:eastAsia="zh-CN"/>
              </w:rPr>
              <w:t>6</w:t>
            </w:r>
          </w:p>
        </w:tc>
        <w:tc>
          <w:tcPr>
            <w:tcW w:w="3204" w:type="dxa"/>
            <w:tcBorders>
              <w:tl2br w:val="nil"/>
              <w:tr2bl w:val="nil"/>
            </w:tcBorders>
            <w:noWrap w:val="0"/>
            <w:vAlign w:val="center"/>
          </w:tcPr>
          <w:p>
            <w:pPr>
              <w:pStyle w:val="30"/>
              <w:bidi w:val="0"/>
              <w:rPr>
                <w:rFonts w:hint="eastAsia"/>
                <w:u w:val="single"/>
                <w:lang w:eastAsia="zh-CN"/>
              </w:rPr>
            </w:pPr>
            <w:r>
              <w:rPr>
                <w:rFonts w:hint="eastAsia"/>
                <w:u w:val="single"/>
                <w:lang w:eastAsia="zh-CN"/>
              </w:rPr>
              <w:t>初期雨水未收集</w:t>
            </w:r>
          </w:p>
        </w:tc>
        <w:tc>
          <w:tcPr>
            <w:tcW w:w="5210" w:type="dxa"/>
            <w:tcBorders>
              <w:tl2br w:val="nil"/>
              <w:tr2bl w:val="nil"/>
            </w:tcBorders>
            <w:noWrap w:val="0"/>
            <w:vAlign w:val="center"/>
          </w:tcPr>
          <w:p>
            <w:pPr>
              <w:pStyle w:val="30"/>
              <w:bidi w:val="0"/>
              <w:rPr>
                <w:rFonts w:hint="eastAsia"/>
                <w:u w:val="single"/>
                <w:lang w:val="en-US" w:eastAsia="zh-CN"/>
              </w:rPr>
            </w:pPr>
            <w:r>
              <w:rPr>
                <w:rFonts w:hint="eastAsia"/>
                <w:u w:val="single"/>
                <w:lang w:val="en-US" w:eastAsia="zh-CN"/>
              </w:rPr>
              <w:t>设置初期雨水池对初期雨水进行收集后用于洒水抑尘</w:t>
            </w:r>
          </w:p>
        </w:tc>
      </w:tr>
    </w:tbl>
    <w:p>
      <w:pPr>
        <w:pStyle w:val="4"/>
        <w:bidi w:val="0"/>
        <w:rPr>
          <w:rFonts w:hint="eastAsia"/>
          <w:lang w:eastAsia="zh-CN"/>
        </w:rPr>
      </w:pPr>
      <w:bookmarkStart w:id="49" w:name="_Toc7567"/>
      <w:r>
        <w:t>变更后污染物汇总</w:t>
      </w:r>
      <w:bookmarkEnd w:id="49"/>
    </w:p>
    <w:p>
      <w:pPr>
        <w:pStyle w:val="29"/>
        <w:bidi w:val="0"/>
      </w:pPr>
      <w:r>
        <w:t>表</w:t>
      </w:r>
      <w:r>
        <w:rPr>
          <w:rFonts w:hint="eastAsia"/>
          <w:lang w:val="en-US" w:eastAsia="zh-CN"/>
        </w:rPr>
        <w:t>4.3-1</w:t>
      </w:r>
      <w:r>
        <w:t xml:space="preserve">  </w:t>
      </w:r>
      <w:r>
        <w:rPr>
          <w:rFonts w:hint="eastAsia"/>
          <w:lang w:eastAsia="zh-CN"/>
        </w:rPr>
        <w:t>堆场</w:t>
      </w:r>
      <w:r>
        <w:t>污染物产排情况一览表</w:t>
      </w:r>
    </w:p>
    <w:tbl>
      <w:tblPr>
        <w:tblStyle w:val="21"/>
        <w:tblW w:w="5553"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907"/>
        <w:gridCol w:w="913"/>
        <w:gridCol w:w="1382"/>
        <w:gridCol w:w="1876"/>
        <w:gridCol w:w="2217"/>
        <w:gridCol w:w="217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9" w:type="pct"/>
            <w:vAlign w:val="center"/>
          </w:tcPr>
          <w:p>
            <w:pPr>
              <w:pStyle w:val="30"/>
              <w:bidi w:val="0"/>
              <w:rPr>
                <w:rFonts w:hint="eastAsia" w:eastAsia="宋体"/>
                <w:lang w:eastAsia="zh-CN"/>
              </w:rPr>
            </w:pPr>
            <w:r>
              <w:rPr>
                <w:rFonts w:hint="eastAsia"/>
                <w:lang w:eastAsia="zh-CN"/>
              </w:rPr>
              <w:t>类别</w:t>
            </w:r>
          </w:p>
        </w:tc>
        <w:tc>
          <w:tcPr>
            <w:tcW w:w="482" w:type="pct"/>
            <w:vAlign w:val="center"/>
          </w:tcPr>
          <w:p>
            <w:pPr>
              <w:pStyle w:val="30"/>
              <w:bidi w:val="0"/>
            </w:pPr>
            <w:r>
              <w:t>排放源</w:t>
            </w:r>
          </w:p>
        </w:tc>
        <w:tc>
          <w:tcPr>
            <w:tcW w:w="730" w:type="pct"/>
            <w:vAlign w:val="center"/>
          </w:tcPr>
          <w:p>
            <w:pPr>
              <w:pStyle w:val="30"/>
              <w:bidi w:val="0"/>
            </w:pPr>
            <w:r>
              <w:t>污染物名称</w:t>
            </w:r>
          </w:p>
        </w:tc>
        <w:tc>
          <w:tcPr>
            <w:tcW w:w="991" w:type="pct"/>
            <w:vAlign w:val="center"/>
          </w:tcPr>
          <w:p>
            <w:pPr>
              <w:pStyle w:val="30"/>
              <w:bidi w:val="0"/>
            </w:pPr>
            <w:r>
              <w:t>产生浓度及产生量(单位)</w:t>
            </w:r>
          </w:p>
        </w:tc>
        <w:tc>
          <w:tcPr>
            <w:tcW w:w="1171" w:type="pct"/>
            <w:vAlign w:val="center"/>
          </w:tcPr>
          <w:p>
            <w:pPr>
              <w:pStyle w:val="30"/>
              <w:bidi w:val="0"/>
              <w:rPr>
                <w:lang w:val="en-US" w:eastAsia="zh-CN"/>
              </w:rPr>
            </w:pPr>
            <w:r>
              <w:t>防治措施</w:t>
            </w:r>
          </w:p>
        </w:tc>
        <w:tc>
          <w:tcPr>
            <w:tcW w:w="1146" w:type="pct"/>
            <w:vAlign w:val="center"/>
          </w:tcPr>
          <w:p>
            <w:pPr>
              <w:pStyle w:val="30"/>
              <w:bidi w:val="0"/>
            </w:pPr>
            <w:r>
              <w:t>排放浓度及排放量</w:t>
            </w:r>
          </w:p>
          <w:p>
            <w:pPr>
              <w:pStyle w:val="30"/>
              <w:bidi w:val="0"/>
            </w:pPr>
            <w:r>
              <w:t>(单位)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9" w:type="pct"/>
            <w:vMerge w:val="restart"/>
            <w:vAlign w:val="center"/>
          </w:tcPr>
          <w:p>
            <w:pPr>
              <w:pStyle w:val="30"/>
              <w:bidi w:val="0"/>
              <w:rPr>
                <w:rFonts w:hint="eastAsia" w:eastAsia="宋体"/>
                <w:lang w:eastAsia="zh-CN"/>
              </w:rPr>
            </w:pPr>
            <w:r>
              <w:rPr>
                <w:rFonts w:hint="eastAsia"/>
                <w:lang w:eastAsia="zh-CN"/>
              </w:rPr>
              <w:t>废气</w:t>
            </w:r>
          </w:p>
        </w:tc>
        <w:tc>
          <w:tcPr>
            <w:tcW w:w="482" w:type="pct"/>
            <w:vAlign w:val="center"/>
          </w:tcPr>
          <w:p>
            <w:pPr>
              <w:pStyle w:val="30"/>
              <w:bidi w:val="0"/>
              <w:rPr>
                <w:rFonts w:hint="eastAsia" w:eastAsia="宋体"/>
                <w:lang w:eastAsia="zh-CN"/>
              </w:rPr>
            </w:pPr>
            <w:r>
              <w:rPr>
                <w:rFonts w:hint="eastAsia"/>
                <w:lang w:eastAsia="zh-CN"/>
              </w:rPr>
              <w:t>装卸粉尘</w:t>
            </w:r>
          </w:p>
        </w:tc>
        <w:tc>
          <w:tcPr>
            <w:tcW w:w="730" w:type="pct"/>
            <w:vAlign w:val="center"/>
          </w:tcPr>
          <w:p>
            <w:pPr>
              <w:pStyle w:val="30"/>
              <w:bidi w:val="0"/>
            </w:pPr>
            <w:r>
              <w:rPr>
                <w:rFonts w:hint="eastAsia"/>
              </w:rPr>
              <w:t>TSP</w:t>
            </w:r>
          </w:p>
        </w:tc>
        <w:tc>
          <w:tcPr>
            <w:tcW w:w="991" w:type="pct"/>
            <w:vAlign w:val="center"/>
          </w:tcPr>
          <w:p>
            <w:pPr>
              <w:pStyle w:val="30"/>
              <w:bidi w:val="0"/>
            </w:pPr>
            <w:r>
              <w:rPr>
                <w:rFonts w:hint="eastAsia"/>
              </w:rPr>
              <w:t>少量</w:t>
            </w:r>
          </w:p>
        </w:tc>
        <w:tc>
          <w:tcPr>
            <w:tcW w:w="1171" w:type="pct"/>
            <w:vAlign w:val="center"/>
          </w:tcPr>
          <w:p>
            <w:pPr>
              <w:pStyle w:val="30"/>
              <w:bidi w:val="0"/>
              <w:rPr>
                <w:rFonts w:hint="eastAsia"/>
                <w:lang w:val="en-US" w:eastAsia="zh-CN"/>
              </w:rPr>
            </w:pPr>
            <w:r>
              <w:rPr>
                <w:rFonts w:hint="eastAsia"/>
              </w:rPr>
              <w:t>洒水</w:t>
            </w:r>
          </w:p>
        </w:tc>
        <w:tc>
          <w:tcPr>
            <w:tcW w:w="1146" w:type="pct"/>
            <w:vAlign w:val="center"/>
          </w:tcPr>
          <w:p>
            <w:pPr>
              <w:pStyle w:val="30"/>
              <w:bidi w:val="0"/>
            </w:pPr>
            <w:r>
              <w:rPr>
                <w:rFonts w:hint="eastAsia"/>
              </w:rPr>
              <w:t>少量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9" w:type="pct"/>
            <w:vMerge w:val="continue"/>
            <w:vAlign w:val="center"/>
          </w:tcPr>
          <w:p>
            <w:pPr>
              <w:pStyle w:val="30"/>
              <w:bidi w:val="0"/>
              <w:rPr>
                <w:rFonts w:hint="eastAsia"/>
                <w:lang w:eastAsia="zh-CN"/>
              </w:rPr>
            </w:pPr>
          </w:p>
        </w:tc>
        <w:tc>
          <w:tcPr>
            <w:tcW w:w="482" w:type="pct"/>
            <w:vMerge w:val="restart"/>
            <w:vAlign w:val="center"/>
          </w:tcPr>
          <w:p>
            <w:pPr>
              <w:pStyle w:val="30"/>
              <w:bidi w:val="0"/>
              <w:rPr>
                <w:rFonts w:hint="eastAsia"/>
                <w:lang w:eastAsia="zh-CN"/>
              </w:rPr>
            </w:pPr>
            <w:r>
              <w:rPr>
                <w:rFonts w:hint="eastAsia"/>
                <w:lang w:eastAsia="zh-CN"/>
              </w:rPr>
              <w:t>破碎粉尘</w:t>
            </w:r>
          </w:p>
        </w:tc>
        <w:tc>
          <w:tcPr>
            <w:tcW w:w="730" w:type="pct"/>
            <w:vMerge w:val="restart"/>
            <w:vAlign w:val="center"/>
          </w:tcPr>
          <w:p>
            <w:pPr>
              <w:pStyle w:val="30"/>
              <w:bidi w:val="0"/>
              <w:rPr>
                <w:rFonts w:hint="default" w:eastAsia="宋体"/>
                <w:lang w:val="en-US" w:eastAsia="zh-CN"/>
              </w:rPr>
            </w:pPr>
            <w:r>
              <w:rPr>
                <w:rFonts w:hint="eastAsia"/>
                <w:lang w:val="en-US" w:eastAsia="zh-CN"/>
              </w:rPr>
              <w:t>TSP</w:t>
            </w:r>
          </w:p>
        </w:tc>
        <w:tc>
          <w:tcPr>
            <w:tcW w:w="991" w:type="pct"/>
            <w:vMerge w:val="restart"/>
            <w:vAlign w:val="center"/>
          </w:tcPr>
          <w:p>
            <w:pPr>
              <w:pStyle w:val="30"/>
              <w:bidi w:val="0"/>
              <w:rPr>
                <w:rFonts w:hint="default"/>
                <w:lang w:val="en-US" w:eastAsia="zh-CN"/>
              </w:rPr>
            </w:pPr>
            <w:r>
              <w:rPr>
                <w:rFonts w:hint="eastAsia"/>
                <w:lang w:val="en-US" w:eastAsia="zh-CN"/>
              </w:rPr>
              <w:t>0.0325t</w:t>
            </w:r>
          </w:p>
        </w:tc>
        <w:tc>
          <w:tcPr>
            <w:tcW w:w="1171" w:type="pct"/>
            <w:vMerge w:val="restart"/>
            <w:vAlign w:val="center"/>
          </w:tcPr>
          <w:p>
            <w:pPr>
              <w:pStyle w:val="30"/>
              <w:bidi w:val="0"/>
              <w:rPr>
                <w:rFonts w:hint="eastAsia" w:eastAsia="宋体"/>
                <w:lang w:eastAsia="zh-CN"/>
              </w:rPr>
            </w:pPr>
            <w:r>
              <w:rPr>
                <w:rFonts w:hint="eastAsia"/>
                <w:lang w:eastAsia="zh-CN"/>
              </w:rPr>
              <w:t>洒水加布袋除尘</w:t>
            </w:r>
          </w:p>
        </w:tc>
        <w:tc>
          <w:tcPr>
            <w:tcW w:w="1146" w:type="pct"/>
            <w:vAlign w:val="center"/>
          </w:tcPr>
          <w:p>
            <w:pPr>
              <w:pStyle w:val="30"/>
              <w:bidi w:val="0"/>
              <w:rPr>
                <w:rFonts w:hint="default" w:eastAsia="宋体"/>
                <w:lang w:val="en-US" w:eastAsia="zh-CN"/>
              </w:rPr>
            </w:pPr>
            <w:r>
              <w:rPr>
                <w:rFonts w:hint="eastAsia"/>
                <w:lang w:val="en-US" w:eastAsia="zh-CN"/>
              </w:rPr>
              <w:t>0.325</w:t>
            </w:r>
            <w:r>
              <w:rPr>
                <w:rFonts w:hint="default"/>
                <w:lang w:val="en-US" w:eastAsia="zh-CN"/>
              </w:rPr>
              <w:t>mg/</w:t>
            </w:r>
            <w:r>
              <w:rPr>
                <w:rFonts w:hint="eastAsia"/>
                <w:lang w:val="en-US" w:eastAsia="zh-CN"/>
              </w:rPr>
              <w:t>m</w:t>
            </w:r>
            <w:r>
              <w:rPr>
                <w:rFonts w:hint="eastAsia"/>
                <w:vertAlign w:val="superscript"/>
                <w:lang w:val="en-US" w:eastAsia="zh-CN"/>
              </w:rPr>
              <w:t>3</w:t>
            </w:r>
            <w:r>
              <w:rPr>
                <w:rFonts w:hint="eastAsia"/>
                <w:vertAlign w:val="baseline"/>
                <w:lang w:val="en-US" w:eastAsia="zh-CN"/>
              </w:rPr>
              <w:t>，</w:t>
            </w:r>
            <w:r>
              <w:rPr>
                <w:rFonts w:hint="eastAsia"/>
                <w:lang w:val="en-US" w:eastAsia="zh-CN"/>
              </w:rPr>
              <w:t>0.00026t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9" w:type="pct"/>
            <w:vMerge w:val="continue"/>
            <w:vAlign w:val="center"/>
          </w:tcPr>
          <w:p>
            <w:pPr>
              <w:pStyle w:val="30"/>
              <w:bidi w:val="0"/>
              <w:rPr>
                <w:rFonts w:hint="eastAsia"/>
                <w:lang w:eastAsia="zh-CN"/>
              </w:rPr>
            </w:pPr>
          </w:p>
        </w:tc>
        <w:tc>
          <w:tcPr>
            <w:tcW w:w="482" w:type="pct"/>
            <w:vMerge w:val="continue"/>
            <w:vAlign w:val="center"/>
          </w:tcPr>
          <w:p>
            <w:pPr>
              <w:pStyle w:val="30"/>
              <w:bidi w:val="0"/>
              <w:rPr>
                <w:rFonts w:hint="eastAsia"/>
                <w:lang w:eastAsia="zh-CN"/>
              </w:rPr>
            </w:pPr>
          </w:p>
        </w:tc>
        <w:tc>
          <w:tcPr>
            <w:tcW w:w="730" w:type="pct"/>
            <w:vMerge w:val="continue"/>
            <w:vAlign w:val="center"/>
          </w:tcPr>
          <w:p>
            <w:pPr>
              <w:pStyle w:val="30"/>
              <w:bidi w:val="0"/>
              <w:rPr>
                <w:rFonts w:hint="eastAsia"/>
                <w:lang w:val="en-US" w:eastAsia="zh-CN"/>
              </w:rPr>
            </w:pPr>
          </w:p>
        </w:tc>
        <w:tc>
          <w:tcPr>
            <w:tcW w:w="991" w:type="pct"/>
            <w:vMerge w:val="continue"/>
            <w:vAlign w:val="center"/>
          </w:tcPr>
          <w:p>
            <w:pPr>
              <w:pStyle w:val="30"/>
              <w:bidi w:val="0"/>
              <w:rPr>
                <w:rFonts w:hint="eastAsia"/>
                <w:lang w:val="en-US" w:eastAsia="zh-CN"/>
              </w:rPr>
            </w:pPr>
          </w:p>
        </w:tc>
        <w:tc>
          <w:tcPr>
            <w:tcW w:w="1171" w:type="pct"/>
            <w:vMerge w:val="continue"/>
            <w:vAlign w:val="center"/>
          </w:tcPr>
          <w:p>
            <w:pPr>
              <w:pStyle w:val="30"/>
              <w:bidi w:val="0"/>
              <w:rPr>
                <w:rFonts w:hint="eastAsia"/>
                <w:lang w:eastAsia="zh-CN"/>
              </w:rPr>
            </w:pPr>
          </w:p>
        </w:tc>
        <w:tc>
          <w:tcPr>
            <w:tcW w:w="1146" w:type="pct"/>
            <w:vAlign w:val="center"/>
          </w:tcPr>
          <w:p>
            <w:pPr>
              <w:pStyle w:val="30"/>
              <w:bidi w:val="0"/>
              <w:rPr>
                <w:rFonts w:hint="default"/>
                <w:lang w:val="en-US" w:eastAsia="zh-CN"/>
              </w:rPr>
            </w:pPr>
            <w:r>
              <w:rPr>
                <w:rFonts w:hint="eastAsia"/>
                <w:lang w:val="en-US" w:eastAsia="zh-CN"/>
              </w:rPr>
              <w:t>0.0065t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9" w:type="pct"/>
            <w:vMerge w:val="continue"/>
            <w:tcBorders>
              <w:bottom w:val="single" w:color="auto" w:sz="4" w:space="0"/>
            </w:tcBorders>
            <w:vAlign w:val="center"/>
          </w:tcPr>
          <w:p>
            <w:pPr>
              <w:pStyle w:val="30"/>
              <w:bidi w:val="0"/>
              <w:rPr>
                <w:rFonts w:hint="eastAsia" w:eastAsia="宋体"/>
                <w:lang w:eastAsia="zh-CN"/>
              </w:rPr>
            </w:pPr>
            <w:r>
              <w:rPr>
                <w:rFonts w:hint="eastAsia"/>
                <w:lang w:eastAsia="zh-CN"/>
              </w:rPr>
              <w:t>t</w:t>
            </w:r>
          </w:p>
        </w:tc>
        <w:tc>
          <w:tcPr>
            <w:tcW w:w="482" w:type="pct"/>
            <w:tcBorders>
              <w:bottom w:val="single" w:color="auto" w:sz="4" w:space="0"/>
            </w:tcBorders>
            <w:vAlign w:val="center"/>
          </w:tcPr>
          <w:p>
            <w:pPr>
              <w:pStyle w:val="30"/>
              <w:bidi w:val="0"/>
              <w:rPr>
                <w:rFonts w:hint="eastAsia" w:eastAsia="宋体"/>
                <w:lang w:eastAsia="zh-CN"/>
              </w:rPr>
            </w:pPr>
            <w:r>
              <w:rPr>
                <w:rFonts w:hint="eastAsia"/>
                <w:lang w:eastAsia="zh-CN"/>
              </w:rPr>
              <w:t>堆场扬尘</w:t>
            </w:r>
          </w:p>
        </w:tc>
        <w:tc>
          <w:tcPr>
            <w:tcW w:w="730" w:type="pct"/>
            <w:vAlign w:val="center"/>
          </w:tcPr>
          <w:p>
            <w:pPr>
              <w:pStyle w:val="30"/>
              <w:bidi w:val="0"/>
              <w:rPr>
                <w:rFonts w:hint="default" w:eastAsia="宋体"/>
                <w:lang w:val="en-US" w:eastAsia="zh-CN"/>
              </w:rPr>
            </w:pPr>
            <w:r>
              <w:rPr>
                <w:rFonts w:hint="eastAsia"/>
                <w:lang w:val="en-US" w:eastAsia="zh-CN"/>
              </w:rPr>
              <w:t>TSP</w:t>
            </w:r>
          </w:p>
        </w:tc>
        <w:tc>
          <w:tcPr>
            <w:tcW w:w="991" w:type="pct"/>
            <w:vAlign w:val="center"/>
          </w:tcPr>
          <w:p>
            <w:pPr>
              <w:pStyle w:val="30"/>
              <w:bidi w:val="0"/>
            </w:pPr>
            <w:r>
              <w:t>少量</w:t>
            </w:r>
          </w:p>
        </w:tc>
        <w:tc>
          <w:tcPr>
            <w:tcW w:w="1171" w:type="pct"/>
            <w:vAlign w:val="center"/>
          </w:tcPr>
          <w:p>
            <w:pPr>
              <w:pStyle w:val="30"/>
              <w:bidi w:val="0"/>
              <w:rPr>
                <w:lang w:val="en-US" w:eastAsia="zh-CN"/>
              </w:rPr>
            </w:pPr>
            <w:r>
              <w:rPr>
                <w:rFonts w:hint="eastAsia"/>
              </w:rPr>
              <w:t>洒水、蓬布遮盖</w:t>
            </w:r>
            <w:r>
              <w:rPr>
                <w:rFonts w:hint="eastAsia"/>
                <w:lang w:eastAsia="zh-CN"/>
              </w:rPr>
              <w:t>、</w:t>
            </w:r>
            <w:r>
              <w:rPr>
                <w:rFonts w:hint="eastAsia"/>
              </w:rPr>
              <w:t>围挡。</w:t>
            </w:r>
          </w:p>
        </w:tc>
        <w:tc>
          <w:tcPr>
            <w:tcW w:w="1146" w:type="pct"/>
            <w:vAlign w:val="center"/>
          </w:tcPr>
          <w:p>
            <w:pPr>
              <w:pStyle w:val="30"/>
              <w:bidi w:val="0"/>
            </w:pPr>
            <w:r>
              <w:t>少量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9" w:type="pct"/>
            <w:vMerge w:val="restart"/>
            <w:tcBorders>
              <w:top w:val="single" w:color="auto" w:sz="4" w:space="0"/>
            </w:tcBorders>
            <w:vAlign w:val="center"/>
          </w:tcPr>
          <w:p>
            <w:pPr>
              <w:pStyle w:val="30"/>
              <w:bidi w:val="0"/>
              <w:rPr>
                <w:rFonts w:hint="eastAsia" w:eastAsia="宋体"/>
                <w:lang w:eastAsia="zh-CN"/>
              </w:rPr>
            </w:pPr>
            <w:r>
              <w:rPr>
                <w:rFonts w:hint="eastAsia"/>
                <w:lang w:eastAsia="zh-CN"/>
              </w:rPr>
              <w:t>废水</w:t>
            </w:r>
          </w:p>
        </w:tc>
        <w:tc>
          <w:tcPr>
            <w:tcW w:w="482" w:type="pct"/>
            <w:tcBorders>
              <w:top w:val="single" w:color="auto" w:sz="4" w:space="0"/>
            </w:tcBorders>
            <w:vAlign w:val="center"/>
          </w:tcPr>
          <w:p>
            <w:pPr>
              <w:pStyle w:val="30"/>
              <w:bidi w:val="0"/>
            </w:pPr>
            <w:r>
              <w:t>车辆冲洗废水</w:t>
            </w:r>
          </w:p>
        </w:tc>
        <w:tc>
          <w:tcPr>
            <w:tcW w:w="730" w:type="pct"/>
            <w:vAlign w:val="center"/>
          </w:tcPr>
          <w:p>
            <w:pPr>
              <w:pStyle w:val="30"/>
              <w:bidi w:val="0"/>
            </w:pPr>
            <w:r>
              <w:rPr>
                <w:rFonts w:hint="eastAsia"/>
                <w:lang w:eastAsia="zh-CN"/>
              </w:rPr>
              <w:t>COD</w:t>
            </w:r>
            <w:r>
              <w:rPr>
                <w:rFonts w:hint="eastAsia"/>
                <w:vertAlign w:val="subscript"/>
                <w:lang w:eastAsia="zh-CN"/>
              </w:rPr>
              <w:t>cr</w:t>
            </w:r>
            <w:r>
              <w:t>、石油类、SS</w:t>
            </w:r>
          </w:p>
        </w:tc>
        <w:tc>
          <w:tcPr>
            <w:tcW w:w="991" w:type="pct"/>
            <w:vAlign w:val="center"/>
          </w:tcPr>
          <w:p>
            <w:pPr>
              <w:pStyle w:val="30"/>
              <w:bidi w:val="0"/>
            </w:pPr>
            <w:r>
              <w:rPr>
                <w:rFonts w:hint="eastAsia"/>
              </w:rPr>
              <w:t>水量：10</w:t>
            </w:r>
            <w:r>
              <w:rPr>
                <w:rFonts w:hint="eastAsia"/>
                <w:lang w:eastAsia="zh-CN"/>
              </w:rPr>
              <w:t>m</w:t>
            </w:r>
            <w:r>
              <w:rPr>
                <w:rFonts w:hint="eastAsia"/>
                <w:vertAlign w:val="superscript"/>
                <w:lang w:eastAsia="zh-CN"/>
              </w:rPr>
              <w:t>3</w:t>
            </w:r>
            <w:r>
              <w:t>/d</w:t>
            </w:r>
          </w:p>
        </w:tc>
        <w:tc>
          <w:tcPr>
            <w:tcW w:w="1171" w:type="pct"/>
            <w:vAlign w:val="center"/>
          </w:tcPr>
          <w:p>
            <w:pPr>
              <w:pStyle w:val="30"/>
              <w:bidi w:val="0"/>
              <w:rPr>
                <w:rFonts w:hint="eastAsia"/>
                <w:lang w:val="en-US" w:eastAsia="zh-CN"/>
              </w:rPr>
            </w:pPr>
            <w:r>
              <w:rPr>
                <w:rFonts w:hint="eastAsia"/>
              </w:rPr>
              <w:t>经隔油沉淀后回用于抑尘洒水，不外排。</w:t>
            </w:r>
          </w:p>
        </w:tc>
        <w:tc>
          <w:tcPr>
            <w:tcW w:w="1146" w:type="pct"/>
            <w:vAlign w:val="center"/>
          </w:tcPr>
          <w:p>
            <w:pPr>
              <w:pStyle w:val="30"/>
              <w:bidi w:val="0"/>
            </w:pPr>
            <w:r>
              <w:rPr>
                <w:rFonts w:hint="eastAsia"/>
              </w:rPr>
              <w:t>经隔油沉淀后回用于抑尘洒水，不外排。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9" w:type="pct"/>
            <w:vMerge w:val="continue"/>
            <w:tcBorders>
              <w:bottom w:val="single" w:color="auto" w:sz="4" w:space="0"/>
            </w:tcBorders>
            <w:vAlign w:val="center"/>
          </w:tcPr>
          <w:p>
            <w:pPr>
              <w:pStyle w:val="30"/>
              <w:bidi w:val="0"/>
            </w:pPr>
          </w:p>
        </w:tc>
        <w:tc>
          <w:tcPr>
            <w:tcW w:w="482" w:type="pct"/>
            <w:tcBorders>
              <w:bottom w:val="single" w:color="auto" w:sz="4" w:space="0"/>
            </w:tcBorders>
            <w:vAlign w:val="center"/>
          </w:tcPr>
          <w:p>
            <w:pPr>
              <w:pStyle w:val="30"/>
              <w:bidi w:val="0"/>
              <w:rPr>
                <w:rFonts w:hint="eastAsia" w:eastAsia="宋体"/>
                <w:lang w:eastAsia="zh-CN"/>
              </w:rPr>
            </w:pPr>
            <w:r>
              <w:rPr>
                <w:rFonts w:hint="eastAsia"/>
                <w:lang w:eastAsia="zh-CN"/>
              </w:rPr>
              <w:t>初期雨水</w:t>
            </w:r>
          </w:p>
        </w:tc>
        <w:tc>
          <w:tcPr>
            <w:tcW w:w="730" w:type="pct"/>
            <w:vAlign w:val="center"/>
          </w:tcPr>
          <w:p>
            <w:pPr>
              <w:pStyle w:val="30"/>
              <w:bidi w:val="0"/>
            </w:pPr>
            <w:r>
              <w:t>SS</w:t>
            </w:r>
          </w:p>
        </w:tc>
        <w:tc>
          <w:tcPr>
            <w:tcW w:w="991" w:type="pct"/>
            <w:vAlign w:val="center"/>
          </w:tcPr>
          <w:p>
            <w:pPr>
              <w:pStyle w:val="30"/>
              <w:bidi w:val="0"/>
              <w:rPr>
                <w:rFonts w:hint="eastAsia" w:eastAsia="宋体"/>
                <w:lang w:val="en-US" w:eastAsia="zh-CN"/>
              </w:rPr>
            </w:pPr>
            <w:r>
              <w:rPr>
                <w:rFonts w:hint="eastAsia"/>
                <w:lang w:eastAsia="zh-CN"/>
              </w:rPr>
              <w:t>水量：</w:t>
            </w:r>
            <w:r>
              <w:rPr>
                <w:rFonts w:hint="eastAsia"/>
                <w:lang w:val="en-US" w:eastAsia="zh-CN"/>
              </w:rPr>
              <w:t>207</w:t>
            </w:r>
            <w:r>
              <w:rPr>
                <w:rFonts w:hint="eastAsia"/>
                <w:lang w:eastAsia="zh-CN"/>
              </w:rPr>
              <w:t>m</w:t>
            </w:r>
            <w:r>
              <w:rPr>
                <w:rFonts w:hint="eastAsia"/>
                <w:vertAlign w:val="superscript"/>
                <w:lang w:eastAsia="zh-CN"/>
              </w:rPr>
              <w:t>3</w:t>
            </w:r>
            <w:r>
              <w:t>/</w:t>
            </w:r>
            <w:r>
              <w:rPr>
                <w:rFonts w:hint="eastAsia"/>
                <w:lang w:eastAsia="zh-CN"/>
              </w:rPr>
              <w:t>次</w:t>
            </w:r>
          </w:p>
        </w:tc>
        <w:tc>
          <w:tcPr>
            <w:tcW w:w="1171" w:type="pct"/>
            <w:vAlign w:val="center"/>
          </w:tcPr>
          <w:p>
            <w:pPr>
              <w:pStyle w:val="30"/>
              <w:bidi w:val="0"/>
              <w:rPr>
                <w:rFonts w:hint="eastAsia"/>
                <w:lang w:val="en-US" w:eastAsia="zh-CN"/>
              </w:rPr>
            </w:pPr>
            <w:r>
              <w:rPr>
                <w:rFonts w:hint="eastAsia"/>
                <w:lang w:val="en-US" w:eastAsia="zh-CN"/>
              </w:rPr>
              <w:t>沉淀用于作业</w:t>
            </w:r>
            <w:r>
              <w:rPr>
                <w:rFonts w:hint="eastAsia"/>
              </w:rPr>
              <w:t>，不外排。</w:t>
            </w:r>
          </w:p>
        </w:tc>
        <w:tc>
          <w:tcPr>
            <w:tcW w:w="1146" w:type="pct"/>
            <w:vAlign w:val="center"/>
          </w:tcPr>
          <w:p>
            <w:pPr>
              <w:pStyle w:val="30"/>
              <w:bidi w:val="0"/>
            </w:pPr>
            <w:r>
              <w:rPr>
                <w:rFonts w:hint="eastAsia"/>
                <w:lang w:val="en-US" w:eastAsia="zh-CN"/>
              </w:rPr>
              <w:t>沉淀用于作业</w:t>
            </w:r>
            <w:r>
              <w:rPr>
                <w:rFonts w:hint="eastAsia"/>
              </w:rPr>
              <w:t>，不外排。</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9" w:type="pct"/>
            <w:vMerge w:val="restart"/>
            <w:tcBorders>
              <w:top w:val="single" w:color="auto" w:sz="4" w:space="0"/>
            </w:tcBorders>
            <w:vAlign w:val="center"/>
          </w:tcPr>
          <w:p>
            <w:pPr>
              <w:pStyle w:val="30"/>
              <w:bidi w:val="0"/>
              <w:rPr>
                <w:rFonts w:hint="eastAsia" w:eastAsia="宋体"/>
                <w:lang w:eastAsia="zh-CN"/>
              </w:rPr>
            </w:pPr>
            <w:r>
              <w:rPr>
                <w:rFonts w:hint="eastAsia"/>
                <w:lang w:eastAsia="zh-CN"/>
              </w:rPr>
              <w:t>固废</w:t>
            </w:r>
          </w:p>
        </w:tc>
        <w:tc>
          <w:tcPr>
            <w:tcW w:w="482" w:type="pct"/>
            <w:tcBorders>
              <w:top w:val="single" w:color="auto" w:sz="4" w:space="0"/>
              <w:bottom w:val="single" w:color="auto" w:sz="4" w:space="0"/>
            </w:tcBorders>
            <w:vAlign w:val="center"/>
          </w:tcPr>
          <w:p>
            <w:pPr>
              <w:pStyle w:val="30"/>
              <w:bidi w:val="0"/>
              <w:rPr>
                <w:rFonts w:hint="eastAsia" w:eastAsia="宋体"/>
                <w:lang w:eastAsia="zh-CN"/>
              </w:rPr>
            </w:pPr>
            <w:r>
              <w:rPr>
                <w:rFonts w:hint="eastAsia"/>
                <w:lang w:eastAsia="zh-CN"/>
              </w:rPr>
              <w:t>沉淀泥渣</w:t>
            </w:r>
          </w:p>
        </w:tc>
        <w:tc>
          <w:tcPr>
            <w:tcW w:w="730" w:type="pct"/>
            <w:tcBorders>
              <w:bottom w:val="single" w:color="auto" w:sz="4" w:space="0"/>
            </w:tcBorders>
            <w:vAlign w:val="center"/>
          </w:tcPr>
          <w:p>
            <w:pPr>
              <w:pStyle w:val="30"/>
              <w:bidi w:val="0"/>
              <w:rPr>
                <w:rFonts w:hint="eastAsia" w:eastAsia="宋体"/>
                <w:lang w:eastAsia="zh-CN"/>
              </w:rPr>
            </w:pPr>
            <w:r>
              <w:rPr>
                <w:rFonts w:hint="eastAsia"/>
                <w:lang w:eastAsia="zh-CN"/>
              </w:rPr>
              <w:t>泥渣</w:t>
            </w:r>
          </w:p>
        </w:tc>
        <w:tc>
          <w:tcPr>
            <w:tcW w:w="991" w:type="pct"/>
            <w:vAlign w:val="center"/>
          </w:tcPr>
          <w:p>
            <w:pPr>
              <w:pStyle w:val="30"/>
              <w:bidi w:val="0"/>
            </w:pPr>
            <w:r>
              <w:rPr>
                <w:rFonts w:hint="eastAsia"/>
                <w:color w:val="auto"/>
                <w:sz w:val="24"/>
              </w:rPr>
              <w:t>0.177t/a</w:t>
            </w:r>
          </w:p>
        </w:tc>
        <w:tc>
          <w:tcPr>
            <w:tcW w:w="1171" w:type="pct"/>
            <w:vMerge w:val="restart"/>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用于路基填土</w:t>
            </w:r>
          </w:p>
        </w:tc>
        <w:tc>
          <w:tcPr>
            <w:tcW w:w="1146" w:type="pct"/>
            <w:vMerge w:val="restart"/>
            <w:vAlign w:val="center"/>
          </w:tcPr>
          <w:p>
            <w:pPr>
              <w:pStyle w:val="30"/>
              <w:bidi w:val="0"/>
            </w:pPr>
            <w:r>
              <w:rPr>
                <w:rFonts w:hint="eastAsia"/>
              </w:rPr>
              <w:t>0（用于路基填土）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9" w:type="pct"/>
            <w:vMerge w:val="continue"/>
            <w:tcBorders>
              <w:bottom w:val="single" w:color="auto" w:sz="4" w:space="0"/>
            </w:tcBorders>
            <w:vAlign w:val="center"/>
          </w:tcPr>
          <w:p>
            <w:pPr>
              <w:pStyle w:val="30"/>
              <w:bidi w:val="0"/>
              <w:rPr>
                <w:rFonts w:hint="eastAsia"/>
                <w:lang w:eastAsia="zh-CN"/>
              </w:rPr>
            </w:pPr>
          </w:p>
        </w:tc>
        <w:tc>
          <w:tcPr>
            <w:tcW w:w="482" w:type="pct"/>
            <w:tcBorders>
              <w:top w:val="single" w:color="auto" w:sz="4" w:space="0"/>
              <w:bottom w:val="single" w:color="auto" w:sz="4" w:space="0"/>
            </w:tcBorders>
            <w:vAlign w:val="center"/>
          </w:tcPr>
          <w:p>
            <w:pPr>
              <w:pStyle w:val="30"/>
              <w:bidi w:val="0"/>
              <w:rPr>
                <w:rFonts w:hint="eastAsia"/>
                <w:lang w:eastAsia="zh-CN"/>
              </w:rPr>
            </w:pPr>
            <w:r>
              <w:rPr>
                <w:rFonts w:hint="eastAsia"/>
                <w:lang w:eastAsia="zh-CN"/>
              </w:rPr>
              <w:t>收集粉尘</w:t>
            </w:r>
          </w:p>
        </w:tc>
        <w:tc>
          <w:tcPr>
            <w:tcW w:w="730" w:type="pct"/>
            <w:tcBorders>
              <w:bottom w:val="single" w:color="auto" w:sz="4" w:space="0"/>
            </w:tcBorders>
            <w:vAlign w:val="center"/>
          </w:tcPr>
          <w:p>
            <w:pPr>
              <w:pStyle w:val="30"/>
              <w:bidi w:val="0"/>
              <w:rPr>
                <w:rFonts w:hint="eastAsia"/>
                <w:lang w:eastAsia="zh-CN"/>
              </w:rPr>
            </w:pPr>
            <w:r>
              <w:rPr>
                <w:rFonts w:hint="eastAsia"/>
                <w:lang w:eastAsia="zh-CN"/>
              </w:rPr>
              <w:t>粉尘</w:t>
            </w:r>
          </w:p>
        </w:tc>
        <w:tc>
          <w:tcPr>
            <w:tcW w:w="991" w:type="pct"/>
            <w:vAlign w:val="center"/>
          </w:tcPr>
          <w:p>
            <w:pPr>
              <w:pStyle w:val="30"/>
              <w:bidi w:val="0"/>
              <w:rPr>
                <w:rFonts w:hint="default" w:eastAsia="宋体"/>
                <w:color w:val="auto"/>
                <w:sz w:val="24"/>
                <w:lang w:val="en-US" w:eastAsia="zh-CN"/>
              </w:rPr>
            </w:pPr>
            <w:r>
              <w:rPr>
                <w:rFonts w:hint="eastAsia"/>
                <w:color w:val="auto"/>
                <w:sz w:val="24"/>
                <w:lang w:val="en-US" w:eastAsia="zh-CN"/>
              </w:rPr>
              <w:t>0.02574t</w:t>
            </w:r>
          </w:p>
        </w:tc>
        <w:tc>
          <w:tcPr>
            <w:tcW w:w="1171" w:type="pct"/>
            <w:vMerge w:val="continue"/>
            <w:vAlign w:val="center"/>
          </w:tcPr>
          <w:p>
            <w:pPr>
              <w:pStyle w:val="30"/>
              <w:bidi w:val="0"/>
              <w:rPr>
                <w:rFonts w:hint="eastAsia"/>
              </w:rPr>
            </w:pPr>
          </w:p>
        </w:tc>
        <w:tc>
          <w:tcPr>
            <w:tcW w:w="1146" w:type="pct"/>
            <w:vMerge w:val="continue"/>
            <w:vAlign w:val="center"/>
          </w:tcPr>
          <w:p>
            <w:pPr>
              <w:pStyle w:val="30"/>
              <w:bidi w:val="0"/>
              <w:rPr>
                <w:rFonts w:hint="eastAsi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79" w:type="pct"/>
            <w:tcBorders>
              <w:top w:val="single" w:color="auto" w:sz="4" w:space="0"/>
            </w:tcBorders>
            <w:vAlign w:val="center"/>
          </w:tcPr>
          <w:p>
            <w:pPr>
              <w:pStyle w:val="30"/>
              <w:bidi w:val="0"/>
              <w:rPr>
                <w:rFonts w:hint="eastAsia" w:eastAsia="宋体"/>
                <w:lang w:eastAsia="zh-CN"/>
              </w:rPr>
            </w:pPr>
            <w:r>
              <w:rPr>
                <w:rFonts w:hint="eastAsia"/>
                <w:lang w:eastAsia="zh-CN"/>
              </w:rPr>
              <w:t>噪声</w:t>
            </w:r>
          </w:p>
        </w:tc>
        <w:tc>
          <w:tcPr>
            <w:tcW w:w="1212" w:type="pct"/>
            <w:gridSpan w:val="2"/>
            <w:tcBorders>
              <w:top w:val="single" w:color="auto" w:sz="4" w:space="0"/>
            </w:tcBorders>
            <w:vAlign w:val="center"/>
          </w:tcPr>
          <w:p>
            <w:pPr>
              <w:pStyle w:val="30"/>
              <w:bidi w:val="0"/>
              <w:rPr>
                <w:rFonts w:hint="eastAsia" w:eastAsia="宋体"/>
                <w:lang w:eastAsia="zh-CN"/>
              </w:rPr>
            </w:pPr>
            <w:r>
              <w:rPr>
                <w:rFonts w:hint="eastAsia"/>
                <w:lang w:eastAsia="zh-CN"/>
              </w:rPr>
              <w:t>噪声</w:t>
            </w:r>
          </w:p>
        </w:tc>
        <w:tc>
          <w:tcPr>
            <w:tcW w:w="3308" w:type="pct"/>
            <w:gridSpan w:val="3"/>
            <w:vAlign w:val="center"/>
          </w:tcPr>
          <w:p>
            <w:pPr>
              <w:pStyle w:val="30"/>
              <w:bidi w:val="0"/>
              <w:rPr>
                <w:rFonts w:hint="eastAsia"/>
                <w:lang w:val="en-US" w:eastAsia="zh-CN"/>
              </w:rPr>
            </w:pPr>
            <w:r>
              <w:rPr>
                <w:rFonts w:hint="eastAsia"/>
                <w:lang w:val="en-US" w:eastAsia="zh-CN"/>
              </w:rPr>
              <w:t>主要来源于破碎机和履带等设备及车辆运输产生的噪声，根据资料类比分析，其声源噪声值一般在65～95dB(A)之间。</w:t>
            </w:r>
          </w:p>
        </w:tc>
      </w:tr>
    </w:tbl>
    <w:p>
      <w:pPr>
        <w:pStyle w:val="38"/>
        <w:rPr>
          <w:rFonts w:hint="default"/>
          <w:lang w:val="en-US" w:eastAsia="zh-CN"/>
        </w:rPr>
      </w:pPr>
    </w:p>
    <w:p>
      <w:pPr>
        <w:pStyle w:val="38"/>
        <w:rPr>
          <w:rFonts w:hint="default"/>
          <w:highlight w:val="yellow"/>
          <w:lang w:val="en-US" w:eastAsia="zh-CN"/>
        </w:rPr>
      </w:pPr>
    </w:p>
    <w:p>
      <w:pPr>
        <w:pStyle w:val="38"/>
        <w:rPr>
          <w:rFonts w:hint="default"/>
          <w:highlight w:val="yellow"/>
          <w:lang w:val="en-US" w:eastAsia="zh-CN"/>
        </w:rPr>
      </w:pPr>
    </w:p>
    <w:p>
      <w:pPr>
        <w:pStyle w:val="3"/>
        <w:bidi w:val="0"/>
        <w:rPr>
          <w:rFonts w:hint="eastAsia"/>
          <w:lang w:eastAsia="zh-CN"/>
        </w:rPr>
      </w:pPr>
      <w:bookmarkStart w:id="50" w:name="_Toc2644"/>
      <w:bookmarkStart w:id="51" w:name="_Toc17138"/>
      <w:r>
        <w:t>环境质量现状</w:t>
      </w:r>
      <w:r>
        <w:rPr>
          <w:rFonts w:hint="eastAsia"/>
          <w:lang w:eastAsia="zh-CN"/>
        </w:rPr>
        <w:t>调查</w:t>
      </w:r>
      <w:r>
        <w:rPr>
          <w:rFonts w:hint="eastAsia"/>
        </w:rPr>
        <w:t>与评价</w:t>
      </w:r>
      <w:bookmarkEnd w:id="50"/>
      <w:bookmarkEnd w:id="51"/>
    </w:p>
    <w:p>
      <w:pPr>
        <w:pStyle w:val="4"/>
        <w:tabs>
          <w:tab w:val="left" w:pos="567"/>
          <w:tab w:val="clear" w:pos="630"/>
        </w:tabs>
        <w:rPr>
          <w:rFonts w:hint="eastAsia"/>
        </w:rPr>
      </w:pPr>
      <w:bookmarkStart w:id="52" w:name="_Toc14865"/>
      <w:bookmarkStart w:id="53" w:name="_Toc1394"/>
      <w:bookmarkStart w:id="54" w:name="_Toc21460"/>
      <w:r>
        <w:rPr>
          <w:rFonts w:hint="eastAsia"/>
        </w:rPr>
        <w:t>自然环境现状调查</w:t>
      </w:r>
      <w:bookmarkEnd w:id="52"/>
      <w:bookmarkEnd w:id="53"/>
      <w:bookmarkEnd w:id="54"/>
    </w:p>
    <w:p>
      <w:pPr>
        <w:pStyle w:val="2"/>
        <w:bidi w:val="0"/>
      </w:pPr>
      <w:r>
        <w:t>地理位置</w:t>
      </w:r>
    </w:p>
    <w:p>
      <w:pPr>
        <w:snapToGrid w:val="0"/>
        <w:spacing w:line="360" w:lineRule="auto"/>
        <w:ind w:firstLine="480" w:firstLineChars="200"/>
        <w:rPr>
          <w:sz w:val="24"/>
        </w:rPr>
      </w:pPr>
      <w:r>
        <w:rPr>
          <w:rFonts w:hint="eastAsia"/>
          <w:sz w:val="24"/>
        </w:rPr>
        <w:t>君山区位于岳阳市西部，</w:t>
      </w:r>
      <w:r>
        <w:rPr>
          <w:sz w:val="24"/>
        </w:rPr>
        <w:t>北靠长江，南濒洞庭，306省道、岳常高速公路贯穿东西，202省道纵越南北，且有洞庭湖和长江码头20余座。沿长江可通江达海，涉洞庭可入三湘腹地，经306省道东连赣、皖，西达湘西和鄂、川，洞庭湖大桥连接岳阳市中心城区和京广铁路、京珠高速、107国道，世纪大道、旅游路、景明路等形成城区交通骨架，各镇、村道路纵横贯通，</w:t>
      </w:r>
      <w:r>
        <w:rPr>
          <w:rFonts w:hint="eastAsia"/>
          <w:sz w:val="24"/>
        </w:rPr>
        <w:t>“</w:t>
      </w:r>
      <w:r>
        <w:rPr>
          <w:sz w:val="24"/>
        </w:rPr>
        <w:t>湘楚腹地，五省通衢</w:t>
      </w:r>
      <w:r>
        <w:rPr>
          <w:rFonts w:hint="eastAsia"/>
          <w:sz w:val="24"/>
        </w:rPr>
        <w:t>”</w:t>
      </w:r>
      <w:r>
        <w:rPr>
          <w:sz w:val="24"/>
        </w:rPr>
        <w:t>，交通十分便捷。</w:t>
      </w:r>
    </w:p>
    <w:p>
      <w:pPr>
        <w:snapToGrid w:val="0"/>
        <w:spacing w:line="360" w:lineRule="auto"/>
        <w:ind w:firstLine="480" w:firstLineChars="200"/>
        <w:rPr>
          <w:rFonts w:hint="default" w:eastAsia="宋体"/>
          <w:sz w:val="24"/>
          <w:lang w:val="en-US" w:eastAsia="zh-CN"/>
        </w:rPr>
      </w:pPr>
      <w:r>
        <w:rPr>
          <w:sz w:val="24"/>
        </w:rPr>
        <w:t>本项目位于</w:t>
      </w:r>
      <w:r>
        <w:rPr>
          <w:rFonts w:hint="eastAsia"/>
          <w:sz w:val="24"/>
        </w:rPr>
        <w:t>岳阳市君山区二洲子村至旅游路段，路线起点与二洲子村垃圾处理中心连接道相接，终点与旅游路南段相接。（起点坐标：北纬29.463024、东经113.060238</w:t>
      </w:r>
      <w:r>
        <w:rPr>
          <w:sz w:val="24"/>
        </w:rPr>
        <w:t>，终点</w:t>
      </w:r>
      <w:r>
        <w:rPr>
          <w:rFonts w:hint="eastAsia"/>
          <w:sz w:val="24"/>
        </w:rPr>
        <w:t>坐标：北纬29.386345、东经113.013057），具体位置见附图1。</w:t>
      </w:r>
      <w:r>
        <w:rPr>
          <w:rFonts w:hint="eastAsia"/>
          <w:sz w:val="24"/>
          <w:lang w:val="en-US" w:eastAsia="zh-CN"/>
        </w:rPr>
        <w:t>临时堆场位于</w:t>
      </w:r>
      <w:r>
        <w:rPr>
          <w:rFonts w:hint="eastAsia"/>
          <w:highlight w:val="none"/>
        </w:rPr>
        <w:t>湖南华南石化股份有限公司</w:t>
      </w:r>
      <w:r>
        <w:rPr>
          <w:rFonts w:hint="eastAsia"/>
          <w:highlight w:val="none"/>
          <w:lang w:eastAsia="zh-CN"/>
        </w:rPr>
        <w:t>东北侧的荒地（</w:t>
      </w:r>
      <w:r>
        <w:rPr>
          <w:rFonts w:hint="eastAsia"/>
          <w:sz w:val="24"/>
        </w:rPr>
        <w:t>坐标：北纬29.46</w:t>
      </w:r>
      <w:r>
        <w:rPr>
          <w:rFonts w:hint="eastAsia"/>
          <w:sz w:val="24"/>
          <w:lang w:val="en-US" w:eastAsia="zh-CN"/>
        </w:rPr>
        <w:t>4168</w:t>
      </w:r>
      <w:r>
        <w:rPr>
          <w:rFonts w:hint="eastAsia"/>
          <w:sz w:val="24"/>
        </w:rPr>
        <w:t>、东经113.0</w:t>
      </w:r>
      <w:r>
        <w:rPr>
          <w:rFonts w:hint="eastAsia"/>
          <w:sz w:val="24"/>
          <w:lang w:val="en-US" w:eastAsia="zh-CN"/>
        </w:rPr>
        <w:t>53155</w:t>
      </w:r>
      <w:r>
        <w:rPr>
          <w:rFonts w:hint="eastAsia"/>
          <w:highlight w:val="none"/>
          <w:lang w:eastAsia="zh-CN"/>
        </w:rPr>
        <w:t>）</w:t>
      </w:r>
    </w:p>
    <w:p>
      <w:pPr>
        <w:pStyle w:val="2"/>
        <w:bidi w:val="0"/>
      </w:pPr>
      <w:r>
        <w:t>地形、地貌及地质情况</w:t>
      </w:r>
    </w:p>
    <w:p>
      <w:pPr>
        <w:pStyle w:val="12"/>
        <w:kinsoku w:val="0"/>
        <w:overflowPunct w:val="0"/>
        <w:spacing w:after="0" w:line="360" w:lineRule="auto"/>
        <w:ind w:firstLine="561"/>
        <w:rPr>
          <w:sz w:val="24"/>
        </w:rPr>
      </w:pPr>
      <w:r>
        <w:rPr>
          <w:sz w:val="24"/>
        </w:rPr>
        <w:t>君山垸地势北高南低，地形较平坦，地面高程一般在27m至31.5m之间</w:t>
      </w:r>
      <w:r>
        <w:rPr>
          <w:rFonts w:hint="eastAsia"/>
          <w:sz w:val="24"/>
        </w:rPr>
        <w:t>（</w:t>
      </w:r>
      <w:r>
        <w:rPr>
          <w:sz w:val="24"/>
        </w:rPr>
        <w:t>吴淞高程</w:t>
      </w:r>
      <w:r>
        <w:rPr>
          <w:rFonts w:hint="eastAsia"/>
          <w:sz w:val="24"/>
        </w:rPr>
        <w:t>）</w:t>
      </w:r>
      <w:r>
        <w:rPr>
          <w:sz w:val="24"/>
        </w:rPr>
        <w:t>。君山垸总面积171.6k</w:t>
      </w:r>
      <w:r>
        <w:rPr>
          <w:rFonts w:hint="eastAsia"/>
          <w:sz w:val="24"/>
          <w:lang w:eastAsia="zh-CN"/>
        </w:rPr>
        <w:t>m</w:t>
      </w:r>
      <w:r>
        <w:rPr>
          <w:rFonts w:hint="eastAsia"/>
          <w:sz w:val="24"/>
          <w:vertAlign w:val="superscript"/>
          <w:lang w:eastAsia="zh-CN"/>
        </w:rPr>
        <w:t>2</w:t>
      </w:r>
      <w:r>
        <w:rPr>
          <w:sz w:val="24"/>
        </w:rPr>
        <w:t>，集雨面积91.43k</w:t>
      </w:r>
      <w:r>
        <w:rPr>
          <w:rFonts w:hint="eastAsia"/>
          <w:sz w:val="24"/>
          <w:lang w:eastAsia="zh-CN"/>
        </w:rPr>
        <w:t>m</w:t>
      </w:r>
      <w:r>
        <w:rPr>
          <w:rFonts w:hint="eastAsia"/>
          <w:sz w:val="24"/>
          <w:vertAlign w:val="superscript"/>
          <w:lang w:eastAsia="zh-CN"/>
        </w:rPr>
        <w:t>2</w:t>
      </w:r>
      <w:r>
        <w:rPr>
          <w:sz w:val="24"/>
        </w:rPr>
        <w:t>，四周环绕有一线防洪大堤35.333km(其中长江干堤</w:t>
      </w:r>
      <w:r>
        <w:rPr>
          <w:spacing w:val="-11"/>
          <w:sz w:val="24"/>
        </w:rPr>
        <w:t>22.825km，洞庭湖堤</w:t>
      </w:r>
      <w:r>
        <w:rPr>
          <w:sz w:val="24"/>
        </w:rPr>
        <w:t>12.058km)，间堤</w:t>
      </w:r>
      <w:r>
        <w:rPr>
          <w:spacing w:val="-3"/>
          <w:sz w:val="24"/>
        </w:rPr>
        <w:t>2.525km。垸内无丘岗山地，多为平原。土地开发利用率</w:t>
      </w:r>
      <w:r>
        <w:rPr>
          <w:sz w:val="24"/>
        </w:rPr>
        <w:t>极高，垸中心为柳林洲镇城市区域，环绕有大量耕地和鱼塘。垸内水系连通性好，渠系纵横交错、四通八达，存在一内湖濠河。垸四周滩地众多，高程在 27.5m以上外洲面积30.52k</w:t>
      </w:r>
      <w:r>
        <w:rPr>
          <w:rFonts w:hint="eastAsia"/>
          <w:sz w:val="24"/>
          <w:lang w:eastAsia="zh-CN"/>
        </w:rPr>
        <w:t>m</w:t>
      </w:r>
      <w:r>
        <w:rPr>
          <w:rFonts w:hint="eastAsia"/>
          <w:sz w:val="24"/>
          <w:vertAlign w:val="superscript"/>
          <w:lang w:eastAsia="zh-CN"/>
        </w:rPr>
        <w:t>2</w:t>
      </w:r>
      <w:r>
        <w:rPr>
          <w:sz w:val="24"/>
        </w:rPr>
        <w:t>，部分被开垦为耕地。</w:t>
      </w:r>
    </w:p>
    <w:p>
      <w:pPr>
        <w:pStyle w:val="12"/>
        <w:kinsoku w:val="0"/>
        <w:overflowPunct w:val="0"/>
        <w:spacing w:after="0" w:line="360" w:lineRule="auto"/>
        <w:ind w:firstLine="561"/>
        <w:rPr>
          <w:sz w:val="24"/>
        </w:rPr>
      </w:pPr>
      <w:r>
        <w:rPr>
          <w:rFonts w:hint="eastAsia"/>
          <w:sz w:val="24"/>
        </w:rPr>
        <w:t>君山区位于扬子准地台江南地轴上，地层发育齐全，出露地层有元古界冷家溪群，板溪群；古生界震旦系、寒武系、奥陶系、表留系、泥盆系、石炭系、二选系；中生界三选系、侏罗系、白恶系；新生界第三系和第四系。</w:t>
      </w:r>
    </w:p>
    <w:p>
      <w:pPr>
        <w:pStyle w:val="12"/>
        <w:kinsoku w:val="0"/>
        <w:overflowPunct w:val="0"/>
        <w:spacing w:after="0" w:line="360" w:lineRule="auto"/>
        <w:ind w:firstLine="561"/>
        <w:rPr>
          <w:sz w:val="24"/>
        </w:rPr>
      </w:pPr>
      <w:r>
        <w:rPr>
          <w:rFonts w:hint="eastAsia"/>
          <w:sz w:val="24"/>
        </w:rPr>
        <w:t>工程区地处新华夏系第二沉降带中部，北为江汉盆地、南为洞庭湖断陷盆地。次一级构造有华容隆起带与江陵凹陷带，以</w:t>
      </w:r>
      <w:r>
        <w:rPr>
          <w:sz w:val="24"/>
        </w:rPr>
        <w:t>EW</w:t>
      </w:r>
      <w:r>
        <w:rPr>
          <w:rFonts w:hint="eastAsia"/>
          <w:sz w:val="24"/>
        </w:rPr>
        <w:t>向褶皱与</w:t>
      </w:r>
      <w:r>
        <w:rPr>
          <w:sz w:val="24"/>
        </w:rPr>
        <w:t>NNE</w:t>
      </w:r>
      <w:r>
        <w:rPr>
          <w:rFonts w:hint="eastAsia"/>
          <w:sz w:val="24"/>
        </w:rPr>
        <w:t>向断裂为总的构造格架，其中</w:t>
      </w:r>
      <w:r>
        <w:rPr>
          <w:sz w:val="24"/>
        </w:rPr>
        <w:t>NNE</w:t>
      </w:r>
      <w:r>
        <w:rPr>
          <w:rFonts w:hint="eastAsia"/>
          <w:sz w:val="24"/>
        </w:rPr>
        <w:t>向的岳阳-湘阴断裂带具有多期活动性。据记载，沿该断裂带曾发生过</w:t>
      </w:r>
      <w:r>
        <w:rPr>
          <w:sz w:val="24"/>
        </w:rPr>
        <w:t xml:space="preserve"> 3.5</w:t>
      </w:r>
      <w:r>
        <w:rPr>
          <w:rFonts w:hint="eastAsia"/>
          <w:sz w:val="24"/>
        </w:rPr>
        <w:t>～</w:t>
      </w:r>
      <w:r>
        <w:rPr>
          <w:sz w:val="24"/>
        </w:rPr>
        <w:t>5.5</w:t>
      </w:r>
      <w:r>
        <w:rPr>
          <w:rFonts w:hint="eastAsia"/>
          <w:sz w:val="24"/>
        </w:rPr>
        <w:t>级地震</w:t>
      </w:r>
      <w:r>
        <w:rPr>
          <w:sz w:val="24"/>
        </w:rPr>
        <w:t>6</w:t>
      </w:r>
      <w:r>
        <w:rPr>
          <w:rFonts w:hint="eastAsia"/>
          <w:sz w:val="24"/>
        </w:rPr>
        <w:t>次，在临湘的江南一带于</w:t>
      </w:r>
      <w:r>
        <w:rPr>
          <w:sz w:val="24"/>
        </w:rPr>
        <w:t>1976</w:t>
      </w:r>
      <w:r>
        <w:rPr>
          <w:rFonts w:hint="eastAsia"/>
          <w:sz w:val="24"/>
        </w:rPr>
        <w:t>年</w:t>
      </w:r>
      <w:r>
        <w:rPr>
          <w:sz w:val="24"/>
        </w:rPr>
        <w:t>6</w:t>
      </w:r>
      <w:r>
        <w:rPr>
          <w:rFonts w:hint="eastAsia"/>
          <w:sz w:val="24"/>
        </w:rPr>
        <w:t>月</w:t>
      </w:r>
      <w:r>
        <w:rPr>
          <w:sz w:val="24"/>
        </w:rPr>
        <w:t>1</w:t>
      </w:r>
      <w:r>
        <w:rPr>
          <w:rFonts w:hint="eastAsia"/>
          <w:sz w:val="24"/>
        </w:rPr>
        <w:t>日与</w:t>
      </w:r>
      <w:r>
        <w:rPr>
          <w:sz w:val="24"/>
        </w:rPr>
        <w:t>8</w:t>
      </w:r>
      <w:r>
        <w:rPr>
          <w:rFonts w:hint="eastAsia"/>
          <w:sz w:val="24"/>
        </w:rPr>
        <w:t>月</w:t>
      </w:r>
      <w:r>
        <w:rPr>
          <w:sz w:val="24"/>
        </w:rPr>
        <w:t>1</w:t>
      </w:r>
      <w:r>
        <w:rPr>
          <w:rFonts w:hint="eastAsia"/>
          <w:sz w:val="24"/>
        </w:rPr>
        <w:t>日分别发生过</w:t>
      </w:r>
      <w:r>
        <w:rPr>
          <w:sz w:val="24"/>
        </w:rPr>
        <w:t xml:space="preserve"> 2.8 </w:t>
      </w:r>
      <w:r>
        <w:rPr>
          <w:rFonts w:hint="eastAsia"/>
          <w:sz w:val="24"/>
        </w:rPr>
        <w:t>级和</w:t>
      </w:r>
      <w:r>
        <w:rPr>
          <w:sz w:val="24"/>
        </w:rPr>
        <w:t>2.3</w:t>
      </w:r>
      <w:r>
        <w:rPr>
          <w:rFonts w:hint="eastAsia"/>
          <w:sz w:val="24"/>
        </w:rPr>
        <w:t>级有感地震。新构造运动以继承性沉降为主，区内第四系地层及地貌的发育特征与河湖演变皆受此制约。据国家地震局</w:t>
      </w:r>
      <w:r>
        <w:rPr>
          <w:sz w:val="24"/>
        </w:rPr>
        <w:t>2015</w:t>
      </w:r>
      <w:r>
        <w:rPr>
          <w:rFonts w:hint="eastAsia"/>
          <w:sz w:val="24"/>
        </w:rPr>
        <w:t>年版</w:t>
      </w:r>
      <w:r>
        <w:rPr>
          <w:sz w:val="24"/>
        </w:rPr>
        <w:t>1</w:t>
      </w:r>
      <w:r>
        <w:rPr>
          <w:rFonts w:hint="eastAsia"/>
          <w:sz w:val="24"/>
        </w:rPr>
        <w:t>：</w:t>
      </w:r>
      <w:r>
        <w:rPr>
          <w:sz w:val="24"/>
        </w:rPr>
        <w:t>400</w:t>
      </w:r>
      <w:r>
        <w:rPr>
          <w:rFonts w:hint="eastAsia"/>
          <w:sz w:val="24"/>
        </w:rPr>
        <w:t>万《中国地震烈度区划图》，场地抗震设防烈度为</w:t>
      </w:r>
      <w:r>
        <w:rPr>
          <w:sz w:val="24"/>
        </w:rPr>
        <w:t>VI</w:t>
      </w:r>
      <w:r>
        <w:rPr>
          <w:rFonts w:hint="eastAsia"/>
          <w:sz w:val="24"/>
        </w:rPr>
        <w:t>度，地震动峰值加速度为</w:t>
      </w:r>
      <w:r>
        <w:rPr>
          <w:sz w:val="24"/>
        </w:rPr>
        <w:t>0.05g</w:t>
      </w:r>
      <w:r>
        <w:rPr>
          <w:rFonts w:hint="eastAsia"/>
          <w:sz w:val="24"/>
        </w:rPr>
        <w:t>，设计地震分组为第一组，特征周期</w:t>
      </w:r>
      <w:r>
        <w:rPr>
          <w:sz w:val="24"/>
        </w:rPr>
        <w:t>Tg</w:t>
      </w:r>
      <w:r>
        <w:rPr>
          <w:rFonts w:hint="eastAsia"/>
          <w:sz w:val="24"/>
        </w:rPr>
        <w:t>为</w:t>
      </w:r>
      <w:r>
        <w:rPr>
          <w:sz w:val="24"/>
        </w:rPr>
        <w:t>0.35s</w:t>
      </w:r>
      <w:r>
        <w:rPr>
          <w:rFonts w:hint="eastAsia"/>
          <w:sz w:val="24"/>
        </w:rPr>
        <w:t>。</w:t>
      </w:r>
    </w:p>
    <w:p>
      <w:pPr>
        <w:pStyle w:val="2"/>
        <w:bidi w:val="0"/>
      </w:pPr>
      <w:r>
        <w:rPr>
          <w:rFonts w:hint="eastAsia"/>
        </w:rPr>
        <w:t>气候、</w:t>
      </w:r>
      <w:r>
        <w:t>气象条件</w:t>
      </w:r>
    </w:p>
    <w:p>
      <w:pPr>
        <w:snapToGrid w:val="0"/>
        <w:spacing w:line="360" w:lineRule="auto"/>
        <w:ind w:firstLine="480" w:firstLineChars="200"/>
        <w:rPr>
          <w:sz w:val="24"/>
        </w:rPr>
      </w:pPr>
      <w:r>
        <w:rPr>
          <w:rFonts w:hint="eastAsia"/>
          <w:sz w:val="24"/>
        </w:rPr>
        <w:t>君山垸地处洞庭湖东北，属典型亚热带季风气候区，雨量充沛，日照充足，四季分明。据市气象站资料统计，多年平均气温为17℃，年内高温期为6～9月，最高温度达39.3℃；最低气温期在1～2月，最低温度达-11.1℃，年内少许霜冻，无霜期277天。多年平均蒸发量1424.2mm，最大达1747.6mm。主导风向为东北风，8级以上大风多年平均为27天，最多达52天，平均风速2.9m/s，最大风速28.0m/s。多年平均降雨量1331.5mm，其中5～10月平均降雨量812mm，占全年降雨的61%，最大十五日降雨703.7mm。</w:t>
      </w:r>
    </w:p>
    <w:p>
      <w:pPr>
        <w:pStyle w:val="2"/>
        <w:bidi w:val="0"/>
      </w:pPr>
      <w:r>
        <w:t>水文状况</w:t>
      </w:r>
    </w:p>
    <w:p>
      <w:pPr>
        <w:spacing w:line="360" w:lineRule="auto"/>
        <w:ind w:firstLine="480" w:firstLineChars="200"/>
        <w:rPr>
          <w:sz w:val="24"/>
        </w:rPr>
      </w:pPr>
      <w:r>
        <w:rPr>
          <w:sz w:val="24"/>
        </w:rPr>
        <w:t>（</w:t>
      </w:r>
      <w:r>
        <w:rPr>
          <w:rFonts w:hint="eastAsia"/>
          <w:sz w:val="24"/>
        </w:rPr>
        <w:t>1</w:t>
      </w:r>
      <w:r>
        <w:rPr>
          <w:sz w:val="24"/>
        </w:rPr>
        <w:t>）地表水体</w:t>
      </w:r>
    </w:p>
    <w:p>
      <w:pPr>
        <w:spacing w:line="360" w:lineRule="auto"/>
        <w:ind w:firstLine="480" w:firstLineChars="200"/>
        <w:rPr>
          <w:sz w:val="24"/>
        </w:rPr>
      </w:pPr>
      <w:r>
        <w:rPr>
          <w:rFonts w:hint="eastAsia"/>
          <w:sz w:val="24"/>
        </w:rPr>
        <w:t>君山垸地处下荆江右岸，长江与洞庭湖交汇处，东南傍洞庭，北依长江，受三口四水汇流及江湖相互顶托的影响，历年汛期水位高、持续时间长。根据《湖南省岳阳市君山区水利规划报告》资料内容，确定君山垸警戒水位（南闸）为 31.58m，保证水位为 33.06m，1998 年历史最高洪水为 34.56m，超过保证水位 1.48m。</w:t>
      </w:r>
    </w:p>
    <w:p>
      <w:pPr>
        <w:spacing w:line="360" w:lineRule="auto"/>
        <w:ind w:firstLine="480" w:firstLineChars="200"/>
        <w:rPr>
          <w:sz w:val="24"/>
        </w:rPr>
      </w:pPr>
      <w:r>
        <w:rPr>
          <w:sz w:val="24"/>
        </w:rPr>
        <w:t>长江流经西藏、四川、重庆、云南、湖北、湖南、江西、安徽、江苏等省市区，在上海市注入东海。有雅砻江、岷江、沱江、嘉陵江、乌江、湘江、汉江、赣江、青戈江和黄浦江等支流。在江苏省镇江市同京杭大运河相交。干流全长6300km，流域总面积180多万k</w:t>
      </w:r>
      <w:r>
        <w:rPr>
          <w:rFonts w:hint="eastAsia"/>
          <w:sz w:val="24"/>
          <w:lang w:eastAsia="zh-CN"/>
        </w:rPr>
        <w:t>m</w:t>
      </w:r>
      <w:r>
        <w:rPr>
          <w:rFonts w:hint="eastAsia"/>
          <w:sz w:val="24"/>
          <w:vertAlign w:val="superscript"/>
          <w:lang w:eastAsia="zh-CN"/>
        </w:rPr>
        <w:t>2</w:t>
      </w:r>
      <w:r>
        <w:rPr>
          <w:sz w:val="24"/>
        </w:rPr>
        <w:t>，年平均入海水量约9600亿</w:t>
      </w:r>
      <w:r>
        <w:rPr>
          <w:rFonts w:hint="eastAsia"/>
          <w:sz w:val="24"/>
          <w:lang w:eastAsia="zh-CN"/>
        </w:rPr>
        <w:t>m</w:t>
      </w:r>
      <w:r>
        <w:rPr>
          <w:rFonts w:hint="eastAsia"/>
          <w:sz w:val="24"/>
          <w:vertAlign w:val="superscript"/>
          <w:lang w:eastAsia="zh-CN"/>
        </w:rPr>
        <w:t>3</w:t>
      </w:r>
      <w:r>
        <w:rPr>
          <w:sz w:val="24"/>
        </w:rPr>
        <w:t>。据长江城陵矶水文站监测，长江君山段历史最高水位35.94m，最低水位17.27m</w:t>
      </w:r>
      <w:r>
        <w:rPr>
          <w:rFonts w:hint="eastAsia"/>
          <w:sz w:val="24"/>
        </w:rPr>
        <w:t>，</w:t>
      </w:r>
      <w:r>
        <w:rPr>
          <w:sz w:val="24"/>
        </w:rPr>
        <w:t>长江堤防为50年一遇防洪标准。</w:t>
      </w:r>
    </w:p>
    <w:p>
      <w:pPr>
        <w:spacing w:line="360" w:lineRule="auto"/>
        <w:ind w:firstLine="480" w:firstLineChars="200"/>
        <w:rPr>
          <w:sz w:val="24"/>
        </w:rPr>
      </w:pPr>
      <w:r>
        <w:rPr>
          <w:sz w:val="24"/>
        </w:rPr>
        <w:t>东洞庭湖是一个大湖泊型宽阔河道，它承纳长江中上游和湖南的湘、资、沅、醴4条江河水量。湖泊的周围是广阔的沼泽和平原。东洞庭湖是洞庭湖湖系中最大的湖泊，年平均过湖水量达3126亿</w:t>
      </w:r>
      <w:r>
        <w:rPr>
          <w:rFonts w:hint="eastAsia"/>
          <w:sz w:val="24"/>
          <w:lang w:eastAsia="zh-CN"/>
        </w:rPr>
        <w:t>m</w:t>
      </w:r>
      <w:r>
        <w:rPr>
          <w:rFonts w:hint="eastAsia"/>
          <w:sz w:val="24"/>
          <w:vertAlign w:val="superscript"/>
          <w:lang w:eastAsia="zh-CN"/>
        </w:rPr>
        <w:t>3</w:t>
      </w:r>
      <w:r>
        <w:rPr>
          <w:sz w:val="24"/>
        </w:rPr>
        <w:t>。常年湖容量178亿</w:t>
      </w:r>
      <w:r>
        <w:rPr>
          <w:rFonts w:hint="eastAsia"/>
          <w:sz w:val="24"/>
          <w:lang w:eastAsia="zh-CN"/>
        </w:rPr>
        <w:t>m</w:t>
      </w:r>
      <w:r>
        <w:rPr>
          <w:rFonts w:hint="eastAsia"/>
          <w:sz w:val="24"/>
          <w:vertAlign w:val="superscript"/>
          <w:lang w:eastAsia="zh-CN"/>
        </w:rPr>
        <w:t>3</w:t>
      </w:r>
      <w:r>
        <w:rPr>
          <w:sz w:val="24"/>
        </w:rPr>
        <w:t>，水深4~22m，最大水位落差为17.76m。</w:t>
      </w:r>
    </w:p>
    <w:p>
      <w:pPr>
        <w:spacing w:line="360" w:lineRule="auto"/>
        <w:ind w:firstLine="480" w:firstLineChars="200"/>
        <w:rPr>
          <w:sz w:val="24"/>
        </w:rPr>
      </w:pPr>
      <w:r>
        <w:rPr>
          <w:sz w:val="24"/>
        </w:rPr>
        <w:t>洞庭湖入长江的总出口江段，年平均过境量3126亿</w:t>
      </w:r>
      <w:r>
        <w:rPr>
          <w:rFonts w:hint="eastAsia"/>
          <w:sz w:val="24"/>
          <w:lang w:eastAsia="zh-CN"/>
        </w:rPr>
        <w:t>m</w:t>
      </w:r>
      <w:r>
        <w:rPr>
          <w:rFonts w:hint="eastAsia"/>
          <w:sz w:val="24"/>
          <w:vertAlign w:val="superscript"/>
          <w:lang w:eastAsia="zh-CN"/>
        </w:rPr>
        <w:t>3</w:t>
      </w:r>
      <w:r>
        <w:rPr>
          <w:sz w:val="24"/>
        </w:rPr>
        <w:t>，最高水位35.31m，最低水位17.06m。长江水最大流量43460</w:t>
      </w:r>
      <w:r>
        <w:rPr>
          <w:rFonts w:hint="eastAsia"/>
          <w:sz w:val="24"/>
          <w:lang w:eastAsia="zh-CN"/>
        </w:rPr>
        <w:t>m</w:t>
      </w:r>
      <w:r>
        <w:rPr>
          <w:rFonts w:hint="eastAsia"/>
          <w:sz w:val="24"/>
          <w:vertAlign w:val="superscript"/>
          <w:lang w:eastAsia="zh-CN"/>
        </w:rPr>
        <w:t>3</w:t>
      </w:r>
      <w:r>
        <w:rPr>
          <w:sz w:val="24"/>
        </w:rPr>
        <w:t>/s，最小流量860</w:t>
      </w:r>
      <w:r>
        <w:rPr>
          <w:rFonts w:hint="eastAsia"/>
          <w:sz w:val="24"/>
          <w:lang w:eastAsia="zh-CN"/>
        </w:rPr>
        <w:t>m</w:t>
      </w:r>
      <w:r>
        <w:rPr>
          <w:rFonts w:hint="eastAsia"/>
          <w:sz w:val="24"/>
          <w:vertAlign w:val="superscript"/>
          <w:lang w:eastAsia="zh-CN"/>
        </w:rPr>
        <w:t>3</w:t>
      </w:r>
      <w:r>
        <w:rPr>
          <w:sz w:val="24"/>
        </w:rPr>
        <w:t>/s。历年平均流量3150</w:t>
      </w:r>
      <w:r>
        <w:rPr>
          <w:rFonts w:hint="eastAsia"/>
          <w:sz w:val="24"/>
          <w:lang w:eastAsia="zh-CN"/>
        </w:rPr>
        <w:t>m</w:t>
      </w:r>
      <w:r>
        <w:rPr>
          <w:rFonts w:hint="eastAsia"/>
          <w:sz w:val="24"/>
          <w:vertAlign w:val="superscript"/>
          <w:lang w:eastAsia="zh-CN"/>
        </w:rPr>
        <w:t>3</w:t>
      </w:r>
      <w:r>
        <w:rPr>
          <w:sz w:val="24"/>
        </w:rPr>
        <w:t>/s，历年最小流量377</w:t>
      </w:r>
      <w:r>
        <w:rPr>
          <w:rFonts w:hint="eastAsia"/>
          <w:sz w:val="24"/>
          <w:lang w:eastAsia="zh-CN"/>
        </w:rPr>
        <w:t>m</w:t>
      </w:r>
      <w:r>
        <w:rPr>
          <w:rFonts w:hint="eastAsia"/>
          <w:sz w:val="24"/>
          <w:vertAlign w:val="superscript"/>
          <w:lang w:eastAsia="zh-CN"/>
        </w:rPr>
        <w:t>3</w:t>
      </w:r>
      <w:r>
        <w:rPr>
          <w:sz w:val="24"/>
        </w:rPr>
        <w:t>/s，历年最大断面平均含沙量1.7kg/</w:t>
      </w:r>
      <w:r>
        <w:rPr>
          <w:rFonts w:hint="eastAsia"/>
          <w:sz w:val="24"/>
          <w:lang w:eastAsia="zh-CN"/>
        </w:rPr>
        <w:t>m</w:t>
      </w:r>
      <w:r>
        <w:rPr>
          <w:rFonts w:hint="eastAsia"/>
          <w:sz w:val="24"/>
          <w:vertAlign w:val="superscript"/>
          <w:lang w:eastAsia="zh-CN"/>
        </w:rPr>
        <w:t>3</w:t>
      </w:r>
      <w:r>
        <w:rPr>
          <w:sz w:val="24"/>
        </w:rPr>
        <w:t>，历年最小断面平均含沙量0.017kg/</w:t>
      </w:r>
      <w:r>
        <w:rPr>
          <w:rFonts w:hint="eastAsia"/>
          <w:sz w:val="24"/>
          <w:lang w:eastAsia="zh-CN"/>
        </w:rPr>
        <w:t>m</w:t>
      </w:r>
      <w:r>
        <w:rPr>
          <w:rFonts w:hint="eastAsia"/>
          <w:sz w:val="24"/>
          <w:vertAlign w:val="superscript"/>
          <w:lang w:eastAsia="zh-CN"/>
        </w:rPr>
        <w:t>3</w:t>
      </w:r>
      <w:r>
        <w:rPr>
          <w:sz w:val="24"/>
        </w:rPr>
        <w:t>。</w:t>
      </w:r>
    </w:p>
    <w:p>
      <w:pPr>
        <w:spacing w:line="360" w:lineRule="auto"/>
        <w:ind w:firstLine="480" w:firstLineChars="200"/>
        <w:rPr>
          <w:sz w:val="24"/>
        </w:rPr>
      </w:pPr>
      <w:r>
        <w:rPr>
          <w:sz w:val="24"/>
        </w:rPr>
        <w:t>濠河位于君山区域内西南侧，洞庭湖大桥西桥头旁，从工业园西南侧旁边流过。濠河系荆江入洞庭湖之出口，属洞庭湖叉河，长5000m，宽300~400m，水深2~19m，河面呈东西方向不规则羊叉形。</w:t>
      </w:r>
    </w:p>
    <w:p>
      <w:pPr>
        <w:spacing w:line="360" w:lineRule="auto"/>
        <w:ind w:firstLine="480" w:firstLineChars="200"/>
        <w:jc w:val="left"/>
        <w:rPr>
          <w:rFonts w:ascii="宋体" w:hAnsi="宋体" w:cs="宋体"/>
          <w:kern w:val="0"/>
          <w:sz w:val="24"/>
        </w:rPr>
      </w:pPr>
      <w:r>
        <w:rPr>
          <w:rFonts w:hint="eastAsia" w:ascii="宋体" w:hAnsi="宋体" w:cs="宋体"/>
          <w:kern w:val="0"/>
          <w:sz w:val="24"/>
        </w:rPr>
        <w:t>（2）地下水体</w:t>
      </w:r>
    </w:p>
    <w:p>
      <w:pPr>
        <w:spacing w:line="360" w:lineRule="auto"/>
        <w:ind w:firstLine="480" w:firstLineChars="200"/>
        <w:jc w:val="left"/>
        <w:rPr>
          <w:kern w:val="0"/>
          <w:sz w:val="24"/>
        </w:rPr>
      </w:pPr>
      <w:r>
        <w:rPr>
          <w:rFonts w:hint="eastAsia" w:ascii="宋体" w:hAnsi="宋体" w:cs="宋体"/>
          <w:kern w:val="0"/>
          <w:sz w:val="24"/>
        </w:rPr>
        <w:t>工程区地下水主要为第四系松散层孔隙水。一般为孔隙潜</w:t>
      </w:r>
      <w:r>
        <w:rPr>
          <w:rFonts w:hAnsi="宋体"/>
          <w:kern w:val="0"/>
          <w:sz w:val="24"/>
        </w:rPr>
        <w:t>水，部分地</w:t>
      </w:r>
      <w:r>
        <w:rPr>
          <w:kern w:val="0"/>
          <w:sz w:val="24"/>
        </w:rPr>
        <w:t xml:space="preserve"> </w:t>
      </w:r>
      <w:r>
        <w:rPr>
          <w:rFonts w:hAnsi="宋体"/>
          <w:kern w:val="0"/>
          <w:sz w:val="24"/>
        </w:rPr>
        <w:t>段为季节性承压水，局部尚存在上层滞水</w:t>
      </w:r>
      <w:r>
        <w:rPr>
          <w:kern w:val="0"/>
          <w:sz w:val="24"/>
        </w:rPr>
        <w:t>。孔隙潜水主要接受大气降水补 给，随季节变化。与河水等地表水体呈互补关系，枯季地下水向河、渠排 泄，地下水位埋深 0.5～5m；</w:t>
      </w:r>
      <w:r>
        <w:rPr>
          <w:rFonts w:hAnsi="宋体"/>
          <w:kern w:val="0"/>
          <w:sz w:val="24"/>
        </w:rPr>
        <w:t>汛期江河水位高、地下水沿含水层向堤垸内运</w:t>
      </w:r>
      <w:r>
        <w:rPr>
          <w:kern w:val="0"/>
          <w:sz w:val="24"/>
        </w:rPr>
        <w:t xml:space="preserve"> </w:t>
      </w:r>
      <w:r>
        <w:rPr>
          <w:rFonts w:hAnsi="宋体"/>
          <w:kern w:val="0"/>
          <w:sz w:val="24"/>
        </w:rPr>
        <w:t>移，呈季节性承压水，并在堤垸内低洼地段上升出溢于地表。</w:t>
      </w:r>
    </w:p>
    <w:p>
      <w:pPr>
        <w:spacing w:line="360" w:lineRule="auto"/>
        <w:ind w:firstLine="480" w:firstLineChars="200"/>
        <w:jc w:val="left"/>
        <w:rPr>
          <w:kern w:val="0"/>
          <w:sz w:val="24"/>
        </w:rPr>
      </w:pPr>
      <w:r>
        <w:rPr>
          <w:rFonts w:hAnsi="宋体"/>
          <w:kern w:val="0"/>
          <w:sz w:val="24"/>
        </w:rPr>
        <w:t>粉质粘土</w:t>
      </w:r>
      <w:r>
        <w:rPr>
          <w:kern w:val="0"/>
          <w:sz w:val="24"/>
        </w:rPr>
        <w:t xml:space="preserve"> </w:t>
      </w:r>
      <w:r>
        <w:rPr>
          <w:rFonts w:hAnsi="宋体"/>
          <w:kern w:val="0"/>
          <w:sz w:val="24"/>
        </w:rPr>
        <w:t>、</w:t>
      </w:r>
      <w:r>
        <w:rPr>
          <w:kern w:val="0"/>
          <w:sz w:val="24"/>
        </w:rPr>
        <w:t xml:space="preserve"> </w:t>
      </w:r>
      <w:r>
        <w:rPr>
          <w:rFonts w:hAnsi="宋体"/>
          <w:kern w:val="0"/>
          <w:sz w:val="24"/>
        </w:rPr>
        <w:t>粉质壤土的渗透系数</w:t>
      </w:r>
      <w:r>
        <w:rPr>
          <w:kern w:val="0"/>
          <w:sz w:val="24"/>
        </w:rPr>
        <w:t xml:space="preserve"> K=2× 10</w:t>
      </w:r>
      <w:r>
        <w:rPr>
          <w:kern w:val="0"/>
          <w:sz w:val="24"/>
          <w:vertAlign w:val="superscript"/>
        </w:rPr>
        <w:t>-5</w:t>
      </w:r>
      <w:r>
        <w:rPr>
          <w:kern w:val="0"/>
          <w:sz w:val="24"/>
        </w:rPr>
        <w:t xml:space="preserve"> - 8×10</w:t>
      </w:r>
      <w:r>
        <w:rPr>
          <w:kern w:val="0"/>
          <w:sz w:val="24"/>
          <w:vertAlign w:val="superscript"/>
        </w:rPr>
        <w:t>-6</w:t>
      </w:r>
      <w:r>
        <w:rPr>
          <w:kern w:val="0"/>
          <w:sz w:val="24"/>
        </w:rPr>
        <w:t xml:space="preserve">cm/s </w:t>
      </w:r>
      <w:r>
        <w:rPr>
          <w:rFonts w:hAnsi="宋体"/>
          <w:kern w:val="0"/>
          <w:sz w:val="24"/>
        </w:rPr>
        <w:t>，</w:t>
      </w:r>
      <w:r>
        <w:rPr>
          <w:kern w:val="0"/>
          <w:sz w:val="24"/>
        </w:rPr>
        <w:t xml:space="preserve"> </w:t>
      </w:r>
      <w:r>
        <w:rPr>
          <w:rFonts w:hAnsi="宋体"/>
          <w:kern w:val="0"/>
          <w:sz w:val="24"/>
        </w:rPr>
        <w:t>砂壤土</w:t>
      </w:r>
      <w:r>
        <w:rPr>
          <w:kern w:val="0"/>
          <w:sz w:val="24"/>
        </w:rPr>
        <w:t xml:space="preserve"> k=1.5×10</w:t>
      </w:r>
      <w:r>
        <w:rPr>
          <w:kern w:val="0"/>
          <w:sz w:val="24"/>
          <w:vertAlign w:val="superscript"/>
        </w:rPr>
        <w:t>-3</w:t>
      </w:r>
      <w:r>
        <w:rPr>
          <w:kern w:val="0"/>
          <w:sz w:val="24"/>
        </w:rPr>
        <w:t>-4×10</w:t>
      </w:r>
      <w:r>
        <w:rPr>
          <w:kern w:val="0"/>
          <w:sz w:val="24"/>
          <w:vertAlign w:val="superscript"/>
        </w:rPr>
        <w:t>-4</w:t>
      </w:r>
      <w:r>
        <w:rPr>
          <w:kern w:val="0"/>
          <w:sz w:val="24"/>
        </w:rPr>
        <w:t>cm/s</w:t>
      </w:r>
      <w:r>
        <w:rPr>
          <w:rFonts w:hAnsi="宋体"/>
          <w:kern w:val="0"/>
          <w:sz w:val="24"/>
        </w:rPr>
        <w:t>；下部粉细砂、细砂层是区内主要含水层，虽厚薄变化较大，但较为连续，渗透系数</w:t>
      </w:r>
      <w:r>
        <w:rPr>
          <w:kern w:val="0"/>
          <w:sz w:val="24"/>
        </w:rPr>
        <w:t xml:space="preserve"> k=2.9×10</w:t>
      </w:r>
      <w:r>
        <w:rPr>
          <w:kern w:val="0"/>
          <w:sz w:val="24"/>
          <w:vertAlign w:val="superscript"/>
        </w:rPr>
        <w:t>-2</w:t>
      </w:r>
      <w:r>
        <w:rPr>
          <w:kern w:val="0"/>
          <w:sz w:val="24"/>
        </w:rPr>
        <w:t>-4.5×10</w:t>
      </w:r>
      <w:r>
        <w:rPr>
          <w:kern w:val="0"/>
          <w:sz w:val="24"/>
          <w:vertAlign w:val="superscript"/>
        </w:rPr>
        <w:t>-3</w:t>
      </w:r>
      <w:r>
        <w:rPr>
          <w:kern w:val="0"/>
          <w:sz w:val="24"/>
        </w:rPr>
        <w:t>cm/s</w:t>
      </w:r>
      <w:r>
        <w:rPr>
          <w:rFonts w:hAnsi="宋体"/>
          <w:kern w:val="0"/>
          <w:sz w:val="24"/>
        </w:rPr>
        <w:t>，具中等透水性。</w:t>
      </w:r>
    </w:p>
    <w:p>
      <w:pPr>
        <w:pStyle w:val="2"/>
        <w:bidi w:val="0"/>
        <w:rPr>
          <w:b/>
          <w:sz w:val="24"/>
        </w:rPr>
      </w:pPr>
      <w:r>
        <w:rPr>
          <w:b/>
          <w:sz w:val="24"/>
        </w:rPr>
        <w:t>土壤</w:t>
      </w:r>
    </w:p>
    <w:p>
      <w:pPr>
        <w:spacing w:line="360" w:lineRule="auto"/>
        <w:ind w:firstLine="480" w:firstLineChars="200"/>
        <w:rPr>
          <w:sz w:val="24"/>
        </w:rPr>
      </w:pPr>
      <w:r>
        <w:rPr>
          <w:sz w:val="24"/>
        </w:rPr>
        <w:t>项目所在区域表土为受长江和洞庭湖控制的冲积土，表层以粘土为主，夹少量砂土，厚度在0.4~12.64m，呈红褐色、黄褐色、深绿色和紫红色等类型；自然土壤以潮土和红壤为主，农耕土以水稻土和菜园土为主</w:t>
      </w:r>
      <w:r>
        <w:rPr>
          <w:rFonts w:hint="eastAsia"/>
          <w:sz w:val="24"/>
        </w:rPr>
        <w:t>。土壤呈微酸性至弱碱性反应，有机质含量高，肥力高，但稳定性差，承载力低。</w:t>
      </w:r>
    </w:p>
    <w:p>
      <w:pPr>
        <w:pStyle w:val="2"/>
        <w:bidi w:val="0"/>
        <w:rPr>
          <w:color w:val="auto"/>
        </w:rPr>
      </w:pPr>
      <w:r>
        <w:rPr>
          <w:rFonts w:hint="eastAsia"/>
          <w:color w:val="auto"/>
        </w:rPr>
        <w:t>生态环境</w:t>
      </w:r>
    </w:p>
    <w:p>
      <w:pPr>
        <w:autoSpaceDE w:val="0"/>
        <w:autoSpaceDN w:val="0"/>
        <w:adjustRightInd w:val="0"/>
        <w:snapToGrid w:val="0"/>
        <w:spacing w:line="360" w:lineRule="auto"/>
        <w:ind w:firstLine="480" w:firstLineChars="200"/>
        <w:jc w:val="left"/>
        <w:rPr>
          <w:color w:val="auto"/>
          <w:kern w:val="0"/>
          <w:sz w:val="24"/>
        </w:rPr>
      </w:pPr>
      <w:r>
        <w:rPr>
          <w:rFonts w:hint="eastAsia"/>
          <w:color w:val="auto"/>
          <w:kern w:val="0"/>
          <w:sz w:val="24"/>
        </w:rPr>
        <w:t>评价区主要为农田生态系统。</w:t>
      </w:r>
      <w:r>
        <w:rPr>
          <w:color w:val="auto"/>
          <w:kern w:val="0"/>
          <w:sz w:val="24"/>
        </w:rPr>
        <w:t>农田</w:t>
      </w:r>
      <w:r>
        <w:rPr>
          <w:color w:val="auto"/>
        </w:rPr>
        <w:fldChar w:fldCharType="begin"/>
      </w:r>
      <w:r>
        <w:rPr>
          <w:color w:val="auto"/>
        </w:rPr>
        <w:instrText xml:space="preserve"> HYPERLINK "https://baike.baidu.com/item/çæç³" \t "_blank" </w:instrText>
      </w:r>
      <w:r>
        <w:rPr>
          <w:color w:val="auto"/>
        </w:rPr>
        <w:fldChar w:fldCharType="separate"/>
      </w:r>
      <w:r>
        <w:rPr>
          <w:rStyle w:val="24"/>
          <w:color w:val="auto"/>
          <w:kern w:val="0"/>
          <w:sz w:val="24"/>
        </w:rPr>
        <w:t>生态系统</w:t>
      </w:r>
      <w:r>
        <w:rPr>
          <w:rStyle w:val="24"/>
          <w:color w:val="auto"/>
          <w:kern w:val="0"/>
          <w:sz w:val="24"/>
        </w:rPr>
        <w:fldChar w:fldCharType="end"/>
      </w:r>
      <w:r>
        <w:rPr>
          <w:color w:val="auto"/>
          <w:kern w:val="0"/>
          <w:sz w:val="24"/>
        </w:rPr>
        <w:t>是人工建立的生态系统，其主要特点是人的作用非常关键，人们种植的各种农作物是这一生态系统的主要成员。农田中的动植物种类较少，</w:t>
      </w:r>
      <w:r>
        <w:rPr>
          <w:color w:val="auto"/>
        </w:rPr>
        <w:fldChar w:fldCharType="begin"/>
      </w:r>
      <w:r>
        <w:rPr>
          <w:color w:val="auto"/>
        </w:rPr>
        <w:instrText xml:space="preserve"> HYPERLINK "https://baike.baidu.com/item/ç¾¤è½" \t "_blank" </w:instrText>
      </w:r>
      <w:r>
        <w:rPr>
          <w:color w:val="auto"/>
        </w:rPr>
        <w:fldChar w:fldCharType="separate"/>
      </w:r>
      <w:r>
        <w:rPr>
          <w:rStyle w:val="24"/>
          <w:color w:val="auto"/>
          <w:kern w:val="0"/>
          <w:sz w:val="24"/>
        </w:rPr>
        <w:t>群落</w:t>
      </w:r>
      <w:r>
        <w:rPr>
          <w:rStyle w:val="24"/>
          <w:color w:val="auto"/>
          <w:kern w:val="0"/>
          <w:sz w:val="24"/>
        </w:rPr>
        <w:fldChar w:fldCharType="end"/>
      </w:r>
      <w:r>
        <w:rPr>
          <w:color w:val="auto"/>
          <w:kern w:val="0"/>
          <w:sz w:val="24"/>
        </w:rPr>
        <w:t>的结构单一。人们必须不断地从事播种、施肥、灌溉、除草和治虫等活动，才能够使农田</w:t>
      </w:r>
      <w:r>
        <w:rPr>
          <w:color w:val="auto"/>
        </w:rPr>
        <w:fldChar w:fldCharType="begin"/>
      </w:r>
      <w:r>
        <w:rPr>
          <w:color w:val="auto"/>
        </w:rPr>
        <w:instrText xml:space="preserve"> HYPERLINK "https://baike.baidu.com/item/çæç³" \t "_blank" </w:instrText>
      </w:r>
      <w:r>
        <w:rPr>
          <w:color w:val="auto"/>
        </w:rPr>
        <w:fldChar w:fldCharType="separate"/>
      </w:r>
      <w:r>
        <w:rPr>
          <w:rStyle w:val="24"/>
          <w:color w:val="auto"/>
          <w:kern w:val="0"/>
          <w:sz w:val="24"/>
        </w:rPr>
        <w:t>生态系统</w:t>
      </w:r>
      <w:r>
        <w:rPr>
          <w:rStyle w:val="24"/>
          <w:color w:val="auto"/>
          <w:kern w:val="0"/>
          <w:sz w:val="24"/>
        </w:rPr>
        <w:fldChar w:fldCharType="end"/>
      </w:r>
      <w:r>
        <w:rPr>
          <w:color w:val="auto"/>
          <w:kern w:val="0"/>
          <w:sz w:val="24"/>
        </w:rPr>
        <w:t>朝着对人有益的方向发展。</w:t>
      </w:r>
    </w:p>
    <w:p>
      <w:pPr>
        <w:autoSpaceDE w:val="0"/>
        <w:autoSpaceDN w:val="0"/>
        <w:adjustRightInd w:val="0"/>
        <w:snapToGrid w:val="0"/>
        <w:spacing w:line="360" w:lineRule="auto"/>
        <w:ind w:firstLine="480" w:firstLineChars="200"/>
        <w:jc w:val="left"/>
        <w:rPr>
          <w:color w:val="auto"/>
          <w:kern w:val="0"/>
          <w:sz w:val="24"/>
        </w:rPr>
      </w:pPr>
      <w:r>
        <w:rPr>
          <w:color w:val="auto"/>
          <w:kern w:val="0"/>
          <w:sz w:val="24"/>
        </w:rPr>
        <w:t>生态系统中的生物群落结构较简单，主要为农作物</w:t>
      </w:r>
      <w:r>
        <w:rPr>
          <w:rFonts w:hint="eastAsia"/>
          <w:color w:val="auto"/>
          <w:kern w:val="0"/>
          <w:sz w:val="24"/>
        </w:rPr>
        <w:t>，</w:t>
      </w:r>
      <w:r>
        <w:rPr>
          <w:color w:val="auto"/>
          <w:kern w:val="0"/>
          <w:sz w:val="24"/>
        </w:rPr>
        <w:t>伴生生物为杂草、</w:t>
      </w:r>
      <w:r>
        <w:rPr>
          <w:color w:val="auto"/>
        </w:rPr>
        <w:fldChar w:fldCharType="begin"/>
      </w:r>
      <w:r>
        <w:rPr>
          <w:color w:val="auto"/>
        </w:rPr>
        <w:instrText xml:space="preserve"> HYPERLINK "https://baike.baidu.com/item/æè" </w:instrText>
      </w:r>
      <w:r>
        <w:rPr>
          <w:color w:val="auto"/>
        </w:rPr>
        <w:fldChar w:fldCharType="separate"/>
      </w:r>
      <w:r>
        <w:rPr>
          <w:rStyle w:val="24"/>
          <w:color w:val="auto"/>
          <w:kern w:val="0"/>
          <w:sz w:val="24"/>
        </w:rPr>
        <w:t>昆虫</w:t>
      </w:r>
      <w:r>
        <w:rPr>
          <w:rStyle w:val="24"/>
          <w:color w:val="auto"/>
          <w:kern w:val="0"/>
          <w:sz w:val="24"/>
        </w:rPr>
        <w:fldChar w:fldCharType="end"/>
      </w:r>
      <w:r>
        <w:rPr>
          <w:color w:val="auto"/>
          <w:kern w:val="0"/>
          <w:sz w:val="24"/>
        </w:rPr>
        <w:t>、</w:t>
      </w:r>
      <w:r>
        <w:rPr>
          <w:color w:val="auto"/>
        </w:rPr>
        <w:fldChar w:fldCharType="begin"/>
      </w:r>
      <w:r>
        <w:rPr>
          <w:color w:val="auto"/>
        </w:rPr>
        <w:instrText xml:space="preserve"> HYPERLINK "https://baike.baidu.com/item/åå£¤å¾®çç©" \t "_blank" </w:instrText>
      </w:r>
      <w:r>
        <w:rPr>
          <w:color w:val="auto"/>
        </w:rPr>
        <w:fldChar w:fldCharType="separate"/>
      </w:r>
      <w:r>
        <w:rPr>
          <w:rStyle w:val="24"/>
          <w:color w:val="auto"/>
          <w:kern w:val="0"/>
          <w:sz w:val="24"/>
        </w:rPr>
        <w:t>土壤微生物</w:t>
      </w:r>
      <w:r>
        <w:rPr>
          <w:rStyle w:val="24"/>
          <w:color w:val="auto"/>
          <w:kern w:val="0"/>
          <w:sz w:val="24"/>
        </w:rPr>
        <w:fldChar w:fldCharType="end"/>
      </w:r>
      <w:r>
        <w:rPr>
          <w:color w:val="auto"/>
          <w:kern w:val="0"/>
          <w:sz w:val="24"/>
        </w:rPr>
        <w:t>、</w:t>
      </w:r>
      <w:r>
        <w:rPr>
          <w:color w:val="auto"/>
        </w:rPr>
        <w:fldChar w:fldCharType="begin"/>
      </w:r>
      <w:r>
        <w:rPr>
          <w:color w:val="auto"/>
        </w:rPr>
        <w:instrText xml:space="preserve"> HYPERLINK "https://baike.baidu.com/item/é¼ " \t "_blank" </w:instrText>
      </w:r>
      <w:r>
        <w:rPr>
          <w:color w:val="auto"/>
        </w:rPr>
        <w:fldChar w:fldCharType="separate"/>
      </w:r>
      <w:r>
        <w:rPr>
          <w:rStyle w:val="24"/>
          <w:color w:val="auto"/>
          <w:kern w:val="0"/>
          <w:sz w:val="24"/>
        </w:rPr>
        <w:t>鼠</w:t>
      </w:r>
      <w:r>
        <w:rPr>
          <w:rStyle w:val="24"/>
          <w:color w:val="auto"/>
          <w:kern w:val="0"/>
          <w:sz w:val="24"/>
        </w:rPr>
        <w:fldChar w:fldCharType="end"/>
      </w:r>
      <w:r>
        <w:rPr>
          <w:color w:val="auto"/>
          <w:kern w:val="0"/>
          <w:sz w:val="24"/>
        </w:rPr>
        <w:t>、鸟及少量其他小</w:t>
      </w:r>
      <w:r>
        <w:rPr>
          <w:color w:val="auto"/>
        </w:rPr>
        <w:fldChar w:fldCharType="begin"/>
      </w:r>
      <w:r>
        <w:rPr>
          <w:color w:val="auto"/>
        </w:rPr>
        <w:instrText xml:space="preserve"> HYPERLINK "https://baike.baidu.com/item/å¨ç©" \t "_blank" </w:instrText>
      </w:r>
      <w:r>
        <w:rPr>
          <w:color w:val="auto"/>
        </w:rPr>
        <w:fldChar w:fldCharType="separate"/>
      </w:r>
      <w:r>
        <w:rPr>
          <w:rStyle w:val="24"/>
          <w:color w:val="auto"/>
          <w:kern w:val="0"/>
          <w:sz w:val="24"/>
        </w:rPr>
        <w:t>动物</w:t>
      </w:r>
      <w:r>
        <w:rPr>
          <w:rStyle w:val="24"/>
          <w:color w:val="auto"/>
          <w:kern w:val="0"/>
          <w:sz w:val="24"/>
        </w:rPr>
        <w:fldChar w:fldCharType="end"/>
      </w:r>
      <w:r>
        <w:rPr>
          <w:color w:val="auto"/>
          <w:kern w:val="0"/>
          <w:sz w:val="24"/>
        </w:rPr>
        <w:t>。</w:t>
      </w:r>
    </w:p>
    <w:p>
      <w:pPr>
        <w:pStyle w:val="2"/>
        <w:bidi w:val="0"/>
      </w:pPr>
      <w:r>
        <w:rPr>
          <w:rFonts w:hint="eastAsia"/>
        </w:rPr>
        <w:t>东洞庭湖国家级自然保护区自然概况</w:t>
      </w:r>
    </w:p>
    <w:p>
      <w:pPr>
        <w:tabs>
          <w:tab w:val="left" w:pos="180"/>
          <w:tab w:val="left" w:pos="735"/>
        </w:tabs>
        <w:spacing w:line="360" w:lineRule="auto"/>
        <w:ind w:firstLine="480" w:firstLineChars="200"/>
        <w:rPr>
          <w:kern w:val="28"/>
          <w:sz w:val="24"/>
        </w:rPr>
      </w:pPr>
      <w:bookmarkStart w:id="55" w:name="_Toc28846"/>
      <w:bookmarkStart w:id="56" w:name="_Toc19152"/>
      <w:bookmarkStart w:id="57" w:name="_Toc20310"/>
      <w:bookmarkStart w:id="58" w:name="_Toc29034"/>
      <w:bookmarkStart w:id="59" w:name="_Toc15478"/>
      <w:bookmarkStart w:id="60" w:name="_Toc1685"/>
      <w:bookmarkStart w:id="61" w:name="_Toc472885409"/>
      <w:bookmarkStart w:id="62" w:name="_Toc2887"/>
      <w:bookmarkStart w:id="63" w:name="_Toc31205"/>
      <w:bookmarkStart w:id="64" w:name="_Toc13522"/>
      <w:bookmarkStart w:id="65" w:name="_Toc491761608"/>
      <w:r>
        <w:rPr>
          <w:rFonts w:hint="eastAsia"/>
          <w:kern w:val="28"/>
          <w:sz w:val="24"/>
        </w:rPr>
        <w:t xml:space="preserve">1 </w:t>
      </w:r>
      <w:bookmarkEnd w:id="55"/>
      <w:bookmarkEnd w:id="56"/>
      <w:bookmarkEnd w:id="57"/>
      <w:bookmarkEnd w:id="58"/>
      <w:bookmarkEnd w:id="59"/>
      <w:bookmarkEnd w:id="60"/>
      <w:bookmarkEnd w:id="61"/>
      <w:bookmarkEnd w:id="62"/>
      <w:r>
        <w:rPr>
          <w:rFonts w:hint="eastAsia"/>
          <w:kern w:val="28"/>
          <w:sz w:val="24"/>
        </w:rPr>
        <w:t>基本概况</w:t>
      </w:r>
      <w:bookmarkEnd w:id="63"/>
      <w:bookmarkEnd w:id="64"/>
      <w:bookmarkEnd w:id="65"/>
    </w:p>
    <w:p>
      <w:pPr>
        <w:tabs>
          <w:tab w:val="left" w:pos="180"/>
          <w:tab w:val="left" w:pos="735"/>
        </w:tabs>
        <w:spacing w:line="360" w:lineRule="auto"/>
        <w:ind w:firstLine="480" w:firstLineChars="200"/>
        <w:rPr>
          <w:kern w:val="28"/>
          <w:sz w:val="24"/>
        </w:rPr>
      </w:pPr>
      <w:r>
        <w:rPr>
          <w:rFonts w:hint="eastAsia"/>
          <w:kern w:val="28"/>
          <w:sz w:val="24"/>
        </w:rPr>
        <w:t>湖南东洞庭湖国家级自然保护区位于长江中下游荆江江段南侧，地处湖南省东北部岳阳市境内，地理坐标介于东经112°43′-113°14′，北纬29°00′-29°38′之间。总面积19万公顷，主要保护东洞庭湖特有湿地生态系统和生物多样性。保护区成立于1982年，1992年加入“国际重要湿地公约”，被列为我国首批加入“国际重要湿地公约”的六个国际重要湿地之一，1994年经国务院批准升格为国家级自然保护区。湖南东洞庭湖国家级自然保护区管理局是保护区的行政主管部门。</w:t>
      </w:r>
    </w:p>
    <w:p>
      <w:pPr>
        <w:autoSpaceDE w:val="0"/>
        <w:autoSpaceDN w:val="0"/>
        <w:adjustRightInd w:val="0"/>
        <w:snapToGrid w:val="0"/>
        <w:spacing w:line="360" w:lineRule="auto"/>
        <w:ind w:firstLine="480" w:firstLineChars="200"/>
        <w:jc w:val="left"/>
        <w:rPr>
          <w:kern w:val="0"/>
          <w:sz w:val="24"/>
        </w:rPr>
      </w:pPr>
      <w:r>
        <w:rPr>
          <w:rFonts w:hint="eastAsia"/>
          <w:kern w:val="28"/>
          <w:sz w:val="24"/>
        </w:rPr>
        <w:t>保护区建区30多年来，得到了中央、省、市各级政府和主管部门的高度重视和大力支持，通过洞庭湖国际观鸟节、岳阳论坛、洞庭湖湿地生态旅游、洞庭湖生态保护基金等一系列的工作，取得了卓有成效的结果。2007年被中国野生动物保护协会授予“中国观鸟之都”，2013年被国家林业局、国家教育部、共青团中央授予“国家生态文明教育基地”。</w:t>
      </w:r>
    </w:p>
    <w:p>
      <w:pPr>
        <w:bidi w:val="0"/>
      </w:pPr>
      <w:bookmarkStart w:id="66" w:name="_Toc491761609"/>
      <w:bookmarkStart w:id="67" w:name="_Toc25650"/>
      <w:bookmarkStart w:id="68" w:name="_Toc3364"/>
      <w:r>
        <w:rPr>
          <w:rFonts w:hint="eastAsia"/>
        </w:rPr>
        <w:t>2 自然特征</w:t>
      </w:r>
      <w:bookmarkEnd w:id="66"/>
      <w:bookmarkEnd w:id="67"/>
      <w:bookmarkEnd w:id="68"/>
    </w:p>
    <w:p>
      <w:pPr>
        <w:bidi w:val="0"/>
      </w:pPr>
      <w:r>
        <w:t>东洞庭湖是保护区的主体范围，也是洞庭湖的主体湖盆，最大湖水面积为1328km²，约占洞庭湖的一半，是一个调蓄过水型湖泊，汇集湖南湘、资、沅、澧四水，吞纳长江部分水量，对长江水量有巨大调剂作用。</w:t>
      </w:r>
    </w:p>
    <w:p>
      <w:pPr>
        <w:bidi w:val="0"/>
        <w:rPr>
          <w:kern w:val="0"/>
        </w:rPr>
      </w:pPr>
      <w:r>
        <w:t>东洞庭湖汇集湖南</w:t>
      </w:r>
      <w:r>
        <w:rPr>
          <w:kern w:val="0"/>
        </w:rPr>
        <w:t>湘、资、沅、澧四江江水，对长江水量有巨大调剂作用。集水区面积130万km²，集水区包括</w:t>
      </w:r>
      <w:r>
        <w:rPr>
          <w:rFonts w:hint="eastAsia"/>
          <w:kern w:val="0"/>
        </w:rPr>
        <w:t>“</w:t>
      </w:r>
      <w:r>
        <w:rPr>
          <w:kern w:val="0"/>
        </w:rPr>
        <w:t>四水</w:t>
      </w:r>
      <w:r>
        <w:rPr>
          <w:rFonts w:hint="eastAsia"/>
          <w:kern w:val="0"/>
        </w:rPr>
        <w:t>”</w:t>
      </w:r>
      <w:r>
        <w:rPr>
          <w:kern w:val="0"/>
        </w:rPr>
        <w:t>集水面积26万km²，长江干流支江以上集水面积</w:t>
      </w:r>
      <w:r>
        <w:rPr>
          <w:rFonts w:hint="eastAsia"/>
          <w:kern w:val="0"/>
          <w:lang w:eastAsia="zh-CN"/>
        </w:rPr>
        <w:t>10101010-4</w:t>
      </w:r>
      <w:r>
        <w:rPr>
          <w:kern w:val="0"/>
        </w:rPr>
        <w:t>万km²。多年年均湖水量3126亿m³，其中</w:t>
      </w:r>
      <w:r>
        <w:rPr>
          <w:rFonts w:hint="eastAsia"/>
          <w:kern w:val="0"/>
        </w:rPr>
        <w:t>“</w:t>
      </w:r>
      <w:r>
        <w:rPr>
          <w:kern w:val="0"/>
        </w:rPr>
        <w:t>四水</w:t>
      </w:r>
      <w:r>
        <w:rPr>
          <w:rFonts w:hint="eastAsia"/>
          <w:kern w:val="0"/>
        </w:rPr>
        <w:t>”</w:t>
      </w:r>
      <w:r>
        <w:rPr>
          <w:kern w:val="0"/>
        </w:rPr>
        <w:t>过湖水量1684亿m³，长江过湖水量1180亿m³，区间过水量262亿m³。由于巨大的过境水的侧面补给，本区地下水资源极其丰富，在广大的冲击平原地下5m地层普遍富含地下水，平均单井涌水量可达300t/日~3000t/日。</w:t>
      </w:r>
    </w:p>
    <w:p>
      <w:pPr>
        <w:autoSpaceDE w:val="0"/>
        <w:autoSpaceDN w:val="0"/>
        <w:adjustRightInd w:val="0"/>
        <w:snapToGrid w:val="0"/>
        <w:spacing w:line="360" w:lineRule="auto"/>
        <w:ind w:firstLine="480" w:firstLineChars="200"/>
        <w:jc w:val="left"/>
        <w:rPr>
          <w:kern w:val="0"/>
          <w:sz w:val="24"/>
        </w:rPr>
      </w:pPr>
      <w:r>
        <w:rPr>
          <w:kern w:val="0"/>
          <w:sz w:val="24"/>
        </w:rPr>
        <w:t>洞庭湖处于亚热带季风气候区，日照充足，太阳辐射强烈，湖水热量资源丰富。由于属于大型浅水湖泊，湖水交换频繁，对流紊动作用大，因此湖水热量分布相对均匀。多年来东洞庭湖平均水温17.76˚C，除7月气温高于水温外，其余各月的水温均高于气温。湖区和四水水温高于长江水温。</w:t>
      </w:r>
    </w:p>
    <w:p>
      <w:pPr>
        <w:autoSpaceDE w:val="0"/>
        <w:autoSpaceDN w:val="0"/>
        <w:adjustRightInd w:val="0"/>
        <w:snapToGrid w:val="0"/>
        <w:spacing w:line="360" w:lineRule="auto"/>
        <w:ind w:firstLine="480" w:firstLineChars="200"/>
        <w:jc w:val="left"/>
        <w:rPr>
          <w:kern w:val="0"/>
          <w:sz w:val="24"/>
        </w:rPr>
      </w:pPr>
      <w:r>
        <w:rPr>
          <w:kern w:val="0"/>
          <w:sz w:val="24"/>
        </w:rPr>
        <w:t>洞庭湖的潮流流态基本上是从西洞庭湖经南洞庭湖再向东洞庭湖，直至从城陵矶出口入长江的单一流动，局部湖汊流向偏转，出现回流现象。西部流速较小，东部流速较大，流速在0.2~0.6m/s.</w:t>
      </w:r>
    </w:p>
    <w:p>
      <w:pPr>
        <w:autoSpaceDE w:val="0"/>
        <w:autoSpaceDN w:val="0"/>
        <w:adjustRightInd w:val="0"/>
        <w:snapToGrid w:val="0"/>
        <w:spacing w:line="360" w:lineRule="auto"/>
        <w:ind w:firstLine="480" w:firstLineChars="200"/>
        <w:jc w:val="left"/>
        <w:rPr>
          <w:kern w:val="0"/>
          <w:sz w:val="24"/>
        </w:rPr>
      </w:pPr>
      <w:r>
        <w:rPr>
          <w:kern w:val="0"/>
          <w:sz w:val="24"/>
        </w:rPr>
        <w:t>东洞庭湖湖盆泥沙淤积量大。过境水每年平均输入泥沙1.42亿m³，其中4月输入0.24亿m³，占16.9%；长江输入1.18亿m³，占83.1%，而输出泥沙仅有城陵矶一口，年输出泥沙0.36亿m³，占输入量的25.4%，年均淤湖泥沙1.06亿m³，淤积率达74.6%</w:t>
      </w:r>
      <w:r>
        <w:rPr>
          <w:rFonts w:hint="eastAsia"/>
          <w:kern w:val="0"/>
          <w:sz w:val="24"/>
        </w:rPr>
        <w:t>。</w:t>
      </w:r>
    </w:p>
    <w:p>
      <w:pPr>
        <w:bidi w:val="0"/>
      </w:pPr>
      <w:bookmarkStart w:id="69" w:name="_Toc20343"/>
      <w:bookmarkStart w:id="70" w:name="_Toc13476"/>
      <w:bookmarkStart w:id="71" w:name="_Toc4201"/>
      <w:bookmarkStart w:id="72" w:name="_Toc472885410"/>
      <w:bookmarkStart w:id="73" w:name="_Toc27013"/>
      <w:bookmarkStart w:id="74" w:name="_Toc23015"/>
      <w:bookmarkStart w:id="75" w:name="_Toc372279819"/>
      <w:bookmarkStart w:id="76" w:name="_Toc11085"/>
      <w:bookmarkStart w:id="77" w:name="_Toc15947"/>
      <w:bookmarkStart w:id="78" w:name="_Toc17456"/>
      <w:bookmarkStart w:id="79" w:name="_Toc28304"/>
      <w:bookmarkStart w:id="80" w:name="_Toc491761610"/>
      <w:bookmarkStart w:id="81" w:name="_Toc1867"/>
      <w:r>
        <w:rPr>
          <w:rFonts w:hint="eastAsia"/>
        </w:rPr>
        <w:t xml:space="preserve">3 </w:t>
      </w:r>
      <w:bookmarkEnd w:id="69"/>
      <w:bookmarkEnd w:id="70"/>
      <w:bookmarkEnd w:id="71"/>
      <w:bookmarkEnd w:id="72"/>
      <w:bookmarkEnd w:id="73"/>
      <w:bookmarkEnd w:id="74"/>
      <w:bookmarkEnd w:id="75"/>
      <w:bookmarkEnd w:id="76"/>
      <w:bookmarkEnd w:id="77"/>
      <w:bookmarkEnd w:id="78"/>
      <w:bookmarkEnd w:id="79"/>
      <w:bookmarkEnd w:id="80"/>
      <w:bookmarkEnd w:id="81"/>
      <w:bookmarkStart w:id="82" w:name="_Toc10955"/>
      <w:bookmarkStart w:id="83" w:name="_Toc21059"/>
      <w:bookmarkStart w:id="84" w:name="_Toc7559"/>
      <w:bookmarkStart w:id="85" w:name="_Toc18077"/>
      <w:bookmarkStart w:id="86" w:name="_Toc472885411"/>
      <w:bookmarkStart w:id="87" w:name="_Toc12042"/>
      <w:bookmarkStart w:id="88" w:name="_Toc491761611"/>
      <w:bookmarkStart w:id="89" w:name="_Toc14129"/>
      <w:bookmarkStart w:id="90" w:name="_Toc24785"/>
      <w:bookmarkStart w:id="91" w:name="_Toc16456"/>
      <w:bookmarkStart w:id="92" w:name="_Toc20119"/>
      <w:r>
        <w:rPr>
          <w:rFonts w:hint="eastAsia"/>
        </w:rPr>
        <w:t>功能区划</w:t>
      </w:r>
      <w:bookmarkEnd w:id="82"/>
      <w:bookmarkEnd w:id="83"/>
      <w:bookmarkEnd w:id="84"/>
      <w:bookmarkEnd w:id="85"/>
      <w:bookmarkEnd w:id="86"/>
      <w:bookmarkEnd w:id="87"/>
      <w:bookmarkEnd w:id="88"/>
      <w:bookmarkEnd w:id="89"/>
      <w:bookmarkEnd w:id="90"/>
      <w:bookmarkEnd w:id="91"/>
      <w:bookmarkEnd w:id="92"/>
    </w:p>
    <w:p>
      <w:pPr>
        <w:bidi w:val="0"/>
      </w:pPr>
      <w:r>
        <w:t>保护区划分为核心区、缓冲区、实验区三大功能区。</w:t>
      </w:r>
    </w:p>
    <w:p>
      <w:pPr>
        <w:bidi w:val="0"/>
      </w:pPr>
      <w:r>
        <w:rPr>
          <w:rFonts w:hint="eastAsia"/>
        </w:rPr>
        <w:t>（1）核心区</w:t>
      </w:r>
    </w:p>
    <w:p>
      <w:pPr>
        <w:bidi w:val="0"/>
      </w:pPr>
      <w:r>
        <w:t>将湿地生态系统完整、生物资源丰富、白鹤、黑鹳、东方白鹳、小天鹅、鸿雁等珍稀濒危鸟类集中栖息的地段作为核心区，总面积2.90万hm²。依据功能区划原则，又将保护区核心区分为3大块。即大小西湖-君山后湖核心区：从大小西湖、三坝、四坝至君山后湖包括黑嘴在内的定权发证区域，面积1.60万hm²；红旗湖核心区：上、下红旗湖、天鹅段定权发证区域，面积0.80万hm²；春风湖核心区：包括春风湖及其大片洲滩在内的0.50万hm²定权发证区域。核心区内，实行封闭式管理，严格控制外界人员随意进入或从事捕鱼、放牧等生产经营活动，并对湖水水位进行严格的管理和调控。</w:t>
      </w:r>
    </w:p>
    <w:p>
      <w:pPr>
        <w:bidi w:val="0"/>
      </w:pPr>
      <w:r>
        <w:rPr>
          <w:rFonts w:hint="eastAsia"/>
        </w:rPr>
        <w:t>（2）缓冲区</w:t>
      </w:r>
    </w:p>
    <w:p>
      <w:pPr>
        <w:bidi w:val="0"/>
      </w:pPr>
      <w:r>
        <w:t>核心区外围所有东洞庭湖区域，面积3.64万hm²。</w:t>
      </w:r>
    </w:p>
    <w:p>
      <w:pPr>
        <w:bidi w:val="0"/>
      </w:pPr>
      <w:r>
        <w:rPr>
          <w:rFonts w:hint="eastAsia"/>
        </w:rPr>
        <w:t>（3）实验区</w:t>
      </w:r>
    </w:p>
    <w:p>
      <w:pPr>
        <w:bidi w:val="0"/>
      </w:pPr>
      <w:r>
        <w:t>保护区区界以内缓冲区以外的广大区域，包括采桑湖、团湖、方台湖、南湖、芭蕉湖等在内的湖泊和农业用地，面积12.46万hm²（本项目桩</w:t>
      </w:r>
      <w:r>
        <w:rPr>
          <w:rFonts w:hint="eastAsia"/>
        </w:rPr>
        <w:t>K0+000- K0+085，K5+500- K11+738</w:t>
      </w:r>
      <w:r>
        <w:t>位于实验区内）。</w:t>
      </w:r>
    </w:p>
    <w:p>
      <w:pPr>
        <w:bidi w:val="0"/>
      </w:pPr>
      <w:bookmarkStart w:id="93" w:name="_Toc24154"/>
      <w:bookmarkStart w:id="94" w:name="_Toc16151"/>
      <w:bookmarkStart w:id="95" w:name="_Toc7884"/>
      <w:bookmarkStart w:id="96" w:name="_Toc29401"/>
      <w:bookmarkStart w:id="97" w:name="_Toc21472"/>
      <w:bookmarkStart w:id="98" w:name="_Toc16961"/>
      <w:bookmarkStart w:id="99" w:name="_Toc24261"/>
      <w:bookmarkStart w:id="100" w:name="_Toc472885413"/>
      <w:bookmarkStart w:id="101" w:name="_Toc491761612"/>
      <w:bookmarkStart w:id="102" w:name="_Toc29858"/>
      <w:bookmarkStart w:id="103" w:name="_Toc27727"/>
      <w:bookmarkStart w:id="104" w:name="_Toc1236"/>
      <w:r>
        <w:rPr>
          <w:rFonts w:hint="eastAsia"/>
        </w:rPr>
        <w:t>4 主要保护对象及分布</w:t>
      </w:r>
      <w:bookmarkEnd w:id="93"/>
      <w:bookmarkEnd w:id="94"/>
      <w:bookmarkEnd w:id="95"/>
      <w:bookmarkEnd w:id="96"/>
      <w:bookmarkEnd w:id="97"/>
      <w:bookmarkEnd w:id="98"/>
      <w:bookmarkEnd w:id="99"/>
      <w:bookmarkEnd w:id="100"/>
      <w:bookmarkEnd w:id="101"/>
      <w:bookmarkEnd w:id="102"/>
      <w:bookmarkEnd w:id="103"/>
      <w:bookmarkEnd w:id="104"/>
    </w:p>
    <w:p>
      <w:pPr>
        <w:bidi w:val="0"/>
      </w:pPr>
      <w:r>
        <w:rPr>
          <w:rFonts w:hint="eastAsia"/>
        </w:rPr>
        <w:t>（1）保护区性质</w:t>
      </w:r>
    </w:p>
    <w:p>
      <w:pPr>
        <w:bidi w:val="0"/>
      </w:pPr>
      <w:r>
        <w:t>湖南东洞庭湖国家级自然保护区，是以保护湿地生态系统和越冬水禽为主，兼具科学研究、自然保护教育、生态旅游和开展经营利用于一体的大型、综合性的国家级自然保护区和国际重要湿地。</w:t>
      </w:r>
    </w:p>
    <w:p>
      <w:pPr>
        <w:bidi w:val="0"/>
      </w:pPr>
      <w:r>
        <w:rPr>
          <w:rFonts w:hint="eastAsia"/>
        </w:rPr>
        <w:t>（2）保护区类型</w:t>
      </w:r>
    </w:p>
    <w:p>
      <w:pPr>
        <w:bidi w:val="0"/>
      </w:pPr>
      <w:r>
        <w:t>湖南东洞庭湖国家级自然保护区境内湿地生态环境保存完好，珍稀濒危水禽种类、数量丰富，为迁徙水禽特别重要的越冬地和歇息地，并具有良好的自然属性。根据《自然保护区类型与级别区分原则》(GB/T14529-93),该保护区类别为自然生态系统类、内陆湿地和水域生态系统类型的国家级自然保护区。</w:t>
      </w:r>
    </w:p>
    <w:p>
      <w:pPr>
        <w:bidi w:val="0"/>
      </w:pPr>
      <w:r>
        <w:rPr>
          <w:rFonts w:hint="eastAsia"/>
        </w:rPr>
        <w:t>（3）主要保护对象及分布</w:t>
      </w:r>
    </w:p>
    <w:p>
      <w:pPr>
        <w:bidi w:val="0"/>
      </w:pPr>
      <w:r>
        <w:rPr>
          <w:rFonts w:hint="eastAsia"/>
        </w:rPr>
        <w:t>湖南东洞庭湖国家级自然保护区，</w:t>
      </w:r>
      <w:r>
        <w:t>保护区保护对象为湿地生态系统和生物多样性，珍稀濒危水禽，自然生态环境和自然资源和湿地自然、人文景观。</w:t>
      </w:r>
    </w:p>
    <w:p>
      <w:pPr>
        <w:bidi w:val="0"/>
      </w:pPr>
      <w:r>
        <w:rPr>
          <w:rFonts w:hint="eastAsia"/>
        </w:rPr>
        <w:t>该保护区属泛北极植物区，东亚-日本森林植物亚区，保护区有维管束植物133科1101种，其中蕨类植物15科21属26种，裸子植物4科4属4种，种子植物114科491属1071种，特别是在不到1km²的君山发现刚竹属植物达16种，被认为是湖南省刚竹属植物最丰富的地区。</w:t>
      </w:r>
    </w:p>
    <w:p>
      <w:pPr>
        <w:bidi w:val="0"/>
      </w:pPr>
      <w:r>
        <w:rPr>
          <w:rFonts w:hint="eastAsia"/>
        </w:rPr>
        <w:t>东洞庭湖有丰富的沉水、浮水和挺水植物，记录到131种水生植物，隶属40科，75属，常见的沉水植物包括苦草、水筛等，浮水植物有莲、芡实、浮萍等，挺水植物包括水烛、芦苇等。</w:t>
      </w:r>
    </w:p>
    <w:p>
      <w:pPr>
        <w:bidi w:val="0"/>
        <w:rPr>
          <w:kern w:val="0"/>
        </w:rPr>
      </w:pPr>
      <w:r>
        <w:rPr>
          <w:rFonts w:hint="eastAsia"/>
        </w:rPr>
        <w:t>该保护区是我国湿地水禽的重要越冬地，</w:t>
      </w:r>
      <w:r>
        <w:rPr>
          <w:rFonts w:hint="eastAsia"/>
          <w:kern w:val="0"/>
        </w:rPr>
        <w:t>也是重要繁殖地、停歇地。该区域在东北亚鹤类迁徙网络、东亚雁鸭类迁徙网络和东亚——澳大利亚涉禽迁徙网络等区域物种保护网络中具有十分重要的地位，东洞庭湖是中国7处列入湿地公约的国际重要湿地之一，每年有10多万只候鸟在这里越冬，其中很多鸟类属国家级重点保护动物和国际珍稀濒危鸟类。</w:t>
      </w:r>
    </w:p>
    <w:p>
      <w:pPr>
        <w:autoSpaceDE w:val="0"/>
        <w:autoSpaceDN w:val="0"/>
        <w:adjustRightInd w:val="0"/>
        <w:snapToGrid w:val="0"/>
        <w:spacing w:line="360" w:lineRule="auto"/>
        <w:ind w:firstLine="480" w:firstLineChars="200"/>
        <w:jc w:val="left"/>
        <w:rPr>
          <w:kern w:val="0"/>
          <w:sz w:val="24"/>
        </w:rPr>
      </w:pPr>
      <w:r>
        <w:rPr>
          <w:kern w:val="0"/>
          <w:sz w:val="24"/>
        </w:rPr>
        <w:t>目前，根据近10年的鸟类监测，东洞庭湖国家级自然保护区共记录到鸟类</w:t>
      </w:r>
      <w:r>
        <w:rPr>
          <w:rFonts w:hint="eastAsia"/>
          <w:kern w:val="0"/>
          <w:sz w:val="24"/>
        </w:rPr>
        <w:t>14目50科335</w:t>
      </w:r>
      <w:r>
        <w:rPr>
          <w:kern w:val="0"/>
          <w:sz w:val="24"/>
        </w:rPr>
        <w:t>种。其中，有41种国家级重点保护鸟类，其中，东方白鹳（Ciconia boyciana）、黑鹳（Ciconia nigr</w:t>
      </w:r>
      <w:r>
        <w:rPr>
          <w:rFonts w:hint="eastAsia"/>
          <w:kern w:val="0"/>
          <w:sz w:val="24"/>
        </w:rPr>
        <w:t>a</w:t>
      </w:r>
      <w:r>
        <w:rPr>
          <w:kern w:val="0"/>
          <w:sz w:val="24"/>
        </w:rPr>
        <w:t>）、中华秋沙鸭（Mergus squamatus）、白鹤（Grus</w:t>
      </w:r>
      <w:r>
        <w:rPr>
          <w:rFonts w:hint="eastAsia"/>
          <w:kern w:val="0"/>
          <w:sz w:val="24"/>
        </w:rPr>
        <w:t xml:space="preserve"> l</w:t>
      </w:r>
      <w:r>
        <w:rPr>
          <w:kern w:val="0"/>
          <w:sz w:val="24"/>
        </w:rPr>
        <w:t>eucogeranus）</w:t>
      </w:r>
      <w:r>
        <w:rPr>
          <w:rFonts w:hint="eastAsia"/>
          <w:kern w:val="0"/>
          <w:sz w:val="24"/>
        </w:rPr>
        <w:t>、</w:t>
      </w:r>
      <w:r>
        <w:rPr>
          <w:kern w:val="0"/>
          <w:sz w:val="24"/>
        </w:rPr>
        <w:t>白头鹤（Grus monacha）等5种鸟类属国家</w:t>
      </w:r>
      <w:r>
        <w:rPr>
          <w:rFonts w:hint="eastAsia"/>
          <w:kern w:val="0"/>
          <w:sz w:val="24"/>
        </w:rPr>
        <w:t>Ⅰ</w:t>
      </w:r>
      <w:r>
        <w:rPr>
          <w:kern w:val="0"/>
          <w:sz w:val="24"/>
        </w:rPr>
        <w:t>级重点保护野生动物，赤颈䴙䴘（Podiceps grisegena）、卷羽鹈鹕（Pelecanus crispus）、白琵鹭（Platalea leucorodia）、小天鹅（Cygnus columbianus）、黑鸢（Milvus migrans）等36种鸟类属国家</w:t>
      </w:r>
      <w:r>
        <w:rPr>
          <w:rFonts w:hint="eastAsia"/>
          <w:kern w:val="0"/>
          <w:sz w:val="24"/>
        </w:rPr>
        <w:t>Ⅱ</w:t>
      </w:r>
      <w:r>
        <w:rPr>
          <w:kern w:val="0"/>
          <w:sz w:val="24"/>
        </w:rPr>
        <w:t>级重点保护野生动物。区域内的珍稀水禽主要分布在大小西湖、丁字堤、君山后湖、春风湖、上下红旗湖、白湖、七星湖、注滋河口等区域</w:t>
      </w:r>
      <w:r>
        <w:rPr>
          <w:rFonts w:hint="eastAsia"/>
          <w:kern w:val="0"/>
          <w:sz w:val="24"/>
        </w:rPr>
        <w:t>。此外，保护区还保护了</w:t>
      </w:r>
      <w:r>
        <w:rPr>
          <w:kern w:val="0"/>
          <w:sz w:val="24"/>
        </w:rPr>
        <w:t>麋鹿</w:t>
      </w:r>
      <w:r>
        <w:rPr>
          <w:rFonts w:hint="eastAsia"/>
          <w:kern w:val="0"/>
          <w:sz w:val="24"/>
        </w:rPr>
        <w:t>（</w:t>
      </w:r>
      <w:r>
        <w:rPr>
          <w:kern w:val="0"/>
          <w:sz w:val="24"/>
        </w:rPr>
        <w:t>Elaphurus davidianus</w:t>
      </w:r>
      <w:r>
        <w:rPr>
          <w:rFonts w:hint="eastAsia"/>
          <w:kern w:val="0"/>
          <w:sz w:val="24"/>
        </w:rPr>
        <w:t>）</w:t>
      </w:r>
      <w:r>
        <w:rPr>
          <w:kern w:val="0"/>
          <w:sz w:val="24"/>
        </w:rPr>
        <w:t>、江豚</w:t>
      </w:r>
      <w:r>
        <w:rPr>
          <w:rFonts w:hint="eastAsia"/>
          <w:kern w:val="0"/>
          <w:sz w:val="24"/>
        </w:rPr>
        <w:t>（</w:t>
      </w:r>
      <w:r>
        <w:rPr>
          <w:kern w:val="0"/>
          <w:sz w:val="24"/>
        </w:rPr>
        <w:t>Neophocaena a</w:t>
      </w:r>
      <w:r>
        <w:rPr>
          <w:rFonts w:hint="eastAsia"/>
          <w:kern w:val="0"/>
          <w:sz w:val="24"/>
        </w:rPr>
        <w:t>.</w:t>
      </w:r>
      <w:r>
        <w:rPr>
          <w:kern w:val="0"/>
          <w:sz w:val="24"/>
        </w:rPr>
        <w:t xml:space="preserve"> asiaeorientalis</w:t>
      </w:r>
      <w:r>
        <w:rPr>
          <w:rFonts w:hint="eastAsia"/>
          <w:kern w:val="0"/>
          <w:sz w:val="24"/>
        </w:rPr>
        <w:t>）</w:t>
      </w:r>
      <w:r>
        <w:rPr>
          <w:kern w:val="0"/>
          <w:sz w:val="24"/>
        </w:rPr>
        <w:t>等其他湿地珍稀物种。江豚主要分布在湘江穿越洞庭湖的航道内；麋鹿主要分布在上下红旗湖至鹿湖、注滋河口至黑嘴及两岸区域。</w:t>
      </w:r>
    </w:p>
    <w:p>
      <w:pPr>
        <w:autoSpaceDE w:val="0"/>
        <w:autoSpaceDN w:val="0"/>
        <w:adjustRightInd w:val="0"/>
        <w:snapToGrid w:val="0"/>
        <w:spacing w:line="360" w:lineRule="auto"/>
        <w:ind w:firstLine="480" w:firstLineChars="200"/>
        <w:jc w:val="left"/>
        <w:rPr>
          <w:rFonts w:hint="eastAsia"/>
          <w:kern w:val="0"/>
          <w:sz w:val="24"/>
        </w:rPr>
      </w:pPr>
      <w:r>
        <w:rPr>
          <w:rFonts w:hint="eastAsia"/>
          <w:kern w:val="0"/>
          <w:sz w:val="24"/>
        </w:rPr>
        <w:t>目前，洞庭湖区域现已记录哺乳动物7目11科28种；爬行动物3目10科31种；两栖动物已记录2目6科14种。</w:t>
      </w:r>
    </w:p>
    <w:p>
      <w:pPr>
        <w:pStyle w:val="2"/>
        <w:bidi w:val="0"/>
        <w:rPr>
          <w:rFonts w:hint="eastAsia"/>
        </w:rPr>
      </w:pPr>
      <w:r>
        <w:rPr>
          <w:rFonts w:hint="eastAsia"/>
          <w:lang w:eastAsia="zh-CN"/>
        </w:rPr>
        <w:t>项目建设与“三线一单”相符性</w:t>
      </w:r>
    </w:p>
    <w:p>
      <w:pPr>
        <w:autoSpaceDE w:val="0"/>
        <w:autoSpaceDN w:val="0"/>
        <w:adjustRightInd w:val="0"/>
        <w:spacing w:line="360" w:lineRule="auto"/>
        <w:ind w:firstLine="480" w:firstLineChars="200"/>
        <w:rPr>
          <w:sz w:val="24"/>
          <w:u w:val="single"/>
        </w:rPr>
      </w:pPr>
      <w:r>
        <w:rPr>
          <w:sz w:val="24"/>
          <w:u w:val="single"/>
        </w:rPr>
        <w:t>1、生态红线</w:t>
      </w:r>
    </w:p>
    <w:p>
      <w:pPr>
        <w:spacing w:line="360" w:lineRule="auto"/>
        <w:ind w:firstLine="480" w:firstLineChars="200"/>
        <w:rPr>
          <w:rFonts w:hint="eastAsia"/>
          <w:sz w:val="24"/>
          <w:u w:val="single"/>
        </w:rPr>
      </w:pPr>
      <w:r>
        <w:rPr>
          <w:rFonts w:hint="eastAsia"/>
          <w:sz w:val="24"/>
          <w:u w:val="single"/>
        </w:rPr>
        <w:t>项目位于岳阳市君山区，湖南东洞庭湖国家级自然保护区的实验区范围内，根据《君山区生态保护红线分布图》及《湖南省生态保护红线》湘政发〔2018〕20号，生态保护红线的保障措施之一为实施严格管控，本项目不在生态保护红线保护范围内。根据中办国办印发《关于划定并严守生态保护红线的若干意见》中第九条，实行严格管控：生态保护红线原则上按禁止开发区域的要求进行管理。根据《全国主体功能区规划》（国发〔2015〕42号），国家禁止开发区域的功能定位是：我国保护自然文化资源的重要区域，珍稀动植物基因资源保护地，本项目属于国家级自然保护区，管制原则之一：按核心区、缓冲区和实验区分类管理。核心区，严禁任何生产建设活动；缓冲区，除必要的科学实验活动外，严禁其他任何生产建设活动；实验区，除必要的科学实验以及符合自然保护区规划的旅游、种植业和畜牧业等活动外，严禁其他生产建设活动；之二：新建公路、铁路和其他基础设施不得穿越自然保护区核心区，尽量避免穿越缓冲区。本项目属于新建基础设施道路类，且本项目新建道路未穿越自然保护区核心区及缓冲区，因此，本项目建设符合生态红线的管控要求，要求项目按相关要求办理生态红线内项目相关审批手续。</w:t>
      </w:r>
    </w:p>
    <w:p>
      <w:pPr>
        <w:spacing w:line="360" w:lineRule="auto"/>
        <w:ind w:firstLine="480" w:firstLineChars="200"/>
        <w:rPr>
          <w:sz w:val="24"/>
          <w:u w:val="single"/>
        </w:rPr>
      </w:pPr>
      <w:r>
        <w:rPr>
          <w:sz w:val="24"/>
          <w:u w:val="single"/>
        </w:rPr>
        <w:t>2、环境质量底线</w:t>
      </w:r>
    </w:p>
    <w:p>
      <w:pPr>
        <w:spacing w:line="360" w:lineRule="auto"/>
        <w:ind w:firstLine="480" w:firstLineChars="200"/>
        <w:rPr>
          <w:sz w:val="24"/>
          <w:u w:val="single"/>
        </w:rPr>
      </w:pPr>
      <w:r>
        <w:rPr>
          <w:sz w:val="24"/>
          <w:u w:val="single"/>
        </w:rPr>
        <w:t>项目位于大气环境</w:t>
      </w:r>
      <w:r>
        <w:rPr>
          <w:rFonts w:hint="eastAsia"/>
          <w:sz w:val="24"/>
          <w:u w:val="single"/>
        </w:rPr>
        <w:t>一</w:t>
      </w:r>
      <w:r>
        <w:rPr>
          <w:sz w:val="24"/>
          <w:u w:val="single"/>
        </w:rPr>
        <w:t>类区，声环境功能2类、</w:t>
      </w:r>
      <w:r>
        <w:rPr>
          <w:rFonts w:hint="eastAsia"/>
          <w:sz w:val="24"/>
          <w:u w:val="single"/>
        </w:rPr>
        <w:t>4a类、4b类</w:t>
      </w:r>
      <w:r>
        <w:rPr>
          <w:sz w:val="24"/>
          <w:u w:val="single"/>
        </w:rPr>
        <w:t>区，涉及的水环境功能为Ⅱ、Ⅲ类水体，本项目各污染物经对应环保措施处理后均可达标排放，经预测影响分析，其外排污染物对环境质量增幅很小，不改变现有环境功能区，未超出环境质量底线。</w:t>
      </w:r>
    </w:p>
    <w:p>
      <w:pPr>
        <w:spacing w:line="360" w:lineRule="auto"/>
        <w:ind w:firstLine="480" w:firstLineChars="200"/>
        <w:rPr>
          <w:sz w:val="24"/>
          <w:u w:val="single"/>
        </w:rPr>
      </w:pPr>
      <w:r>
        <w:rPr>
          <w:sz w:val="24"/>
          <w:u w:val="single"/>
        </w:rPr>
        <w:t xml:space="preserve">3、资源利用上线 </w:t>
      </w:r>
    </w:p>
    <w:p>
      <w:pPr>
        <w:spacing w:line="360" w:lineRule="auto"/>
        <w:ind w:firstLine="480" w:firstLineChars="200"/>
        <w:rPr>
          <w:sz w:val="24"/>
          <w:u w:val="single"/>
        </w:rPr>
      </w:pPr>
      <w:r>
        <w:rPr>
          <w:sz w:val="24"/>
          <w:u w:val="single"/>
        </w:rPr>
        <w:t>项目为</w:t>
      </w:r>
      <w:r>
        <w:rPr>
          <w:rFonts w:hint="eastAsia"/>
          <w:sz w:val="24"/>
          <w:u w:val="single"/>
        </w:rPr>
        <w:t>城市道路及智能交通体系建设</w:t>
      </w:r>
      <w:r>
        <w:rPr>
          <w:sz w:val="24"/>
          <w:u w:val="single"/>
        </w:rPr>
        <w:t>项目，不涉及基本农田，用水量较少，</w:t>
      </w:r>
      <w:r>
        <w:rPr>
          <w:rFonts w:hint="eastAsia"/>
          <w:sz w:val="24"/>
          <w:u w:val="single"/>
        </w:rPr>
        <w:t>项目拟</w:t>
      </w:r>
      <w:r>
        <w:rPr>
          <w:sz w:val="24"/>
          <w:u w:val="single"/>
        </w:rPr>
        <w:t>占用</w:t>
      </w:r>
      <w:r>
        <w:rPr>
          <w:rFonts w:hint="eastAsia"/>
          <w:sz w:val="24"/>
          <w:u w:val="single"/>
        </w:rPr>
        <w:t>部分</w:t>
      </w:r>
      <w:r>
        <w:rPr>
          <w:sz w:val="24"/>
          <w:u w:val="single"/>
        </w:rPr>
        <w:t>耕地、</w:t>
      </w:r>
      <w:r>
        <w:rPr>
          <w:rFonts w:hint="eastAsia"/>
          <w:sz w:val="24"/>
          <w:u w:val="single"/>
        </w:rPr>
        <w:t>林地及荒草地</w:t>
      </w:r>
      <w:r>
        <w:rPr>
          <w:sz w:val="24"/>
          <w:u w:val="single"/>
        </w:rPr>
        <w:t>等自然资源区，</w:t>
      </w:r>
      <w:r>
        <w:rPr>
          <w:rFonts w:hint="eastAsia"/>
          <w:sz w:val="24"/>
          <w:u w:val="single"/>
        </w:rPr>
        <w:t>但本项目建设一方面保护河湖堤，另一方面可改善保护区的景观，促进保护区旅游业的发展，同时，项目拟将进行大面积的绿化，以促进生态环境的建设，此外，项目非资源消耗型项目，</w:t>
      </w:r>
      <w:r>
        <w:rPr>
          <w:sz w:val="24"/>
          <w:u w:val="single"/>
        </w:rPr>
        <w:t>因此，项目资源利用满足相关要求。</w:t>
      </w:r>
    </w:p>
    <w:p>
      <w:pPr>
        <w:spacing w:line="360" w:lineRule="auto"/>
        <w:ind w:firstLine="480" w:firstLineChars="200"/>
        <w:rPr>
          <w:sz w:val="24"/>
          <w:u w:val="single"/>
        </w:rPr>
      </w:pPr>
      <w:r>
        <w:rPr>
          <w:sz w:val="24"/>
          <w:u w:val="single"/>
        </w:rPr>
        <w:t>4、环境准入负面清单</w:t>
      </w:r>
    </w:p>
    <w:p>
      <w:pPr>
        <w:autoSpaceDE w:val="0"/>
        <w:autoSpaceDN w:val="0"/>
        <w:adjustRightInd w:val="0"/>
        <w:spacing w:line="360" w:lineRule="auto"/>
        <w:ind w:firstLine="480" w:firstLineChars="200"/>
        <w:rPr>
          <w:sz w:val="24"/>
          <w:u w:val="single"/>
        </w:rPr>
      </w:pPr>
      <w:r>
        <w:rPr>
          <w:sz w:val="24"/>
          <w:u w:val="single"/>
        </w:rPr>
        <w:t>本项目为</w:t>
      </w:r>
      <w:r>
        <w:rPr>
          <w:rFonts w:hint="eastAsia"/>
          <w:sz w:val="24"/>
          <w:u w:val="single"/>
        </w:rPr>
        <w:t>城市基础设施项目，</w:t>
      </w:r>
      <w:r>
        <w:rPr>
          <w:sz w:val="24"/>
          <w:u w:val="single"/>
        </w:rPr>
        <w:t>符合君山区</w:t>
      </w:r>
      <w:r>
        <w:rPr>
          <w:rFonts w:hint="eastAsia"/>
          <w:sz w:val="24"/>
          <w:u w:val="single"/>
        </w:rPr>
        <w:t>城乡一体化规划，同时符合《洞庭湖生态经济区规划》（发改地区[2014]840号），</w:t>
      </w:r>
      <w:r>
        <w:rPr>
          <w:sz w:val="24"/>
          <w:u w:val="single"/>
        </w:rPr>
        <w:t>不属于高污染、高能耗和资源型的产业类型</w:t>
      </w:r>
      <w:r>
        <w:rPr>
          <w:rFonts w:hint="eastAsia"/>
          <w:sz w:val="24"/>
          <w:u w:val="single"/>
        </w:rPr>
        <w:t>；同</w:t>
      </w:r>
      <w:r>
        <w:rPr>
          <w:sz w:val="24"/>
          <w:u w:val="single"/>
        </w:rPr>
        <w:t>时，由表可知，本项目不属于</w:t>
      </w:r>
      <w:r>
        <w:rPr>
          <w:rFonts w:hint="eastAsia"/>
          <w:sz w:val="24"/>
          <w:u w:val="single"/>
        </w:rPr>
        <w:t>《关于发布长江经济带发展负面清单指南（试行）的通知》（推动长江经济带发展领导小组办公室文件第89号）中禁止的项目，</w:t>
      </w:r>
      <w:r>
        <w:rPr>
          <w:sz w:val="24"/>
          <w:u w:val="single"/>
        </w:rPr>
        <w:t>因此本项目为环境准入允许类别。</w:t>
      </w:r>
    </w:p>
    <w:p>
      <w:pPr>
        <w:pStyle w:val="29"/>
        <w:bidi w:val="0"/>
        <w:rPr>
          <w:u w:val="single"/>
          <w:lang w:val="zh-CN"/>
        </w:rPr>
      </w:pPr>
      <w:r>
        <w:rPr>
          <w:u w:val="single"/>
          <w:lang w:val="zh-CN"/>
        </w:rPr>
        <w:t>表</w:t>
      </w:r>
      <w:r>
        <w:rPr>
          <w:rFonts w:hint="eastAsia"/>
          <w:u w:val="single"/>
          <w:lang w:val="en-US" w:eastAsia="zh-CN"/>
        </w:rPr>
        <w:t>5.1-1</w:t>
      </w:r>
      <w:r>
        <w:rPr>
          <w:rFonts w:hint="eastAsia"/>
          <w:u w:val="single"/>
        </w:rPr>
        <w:t xml:space="preserve">   </w:t>
      </w:r>
      <w:r>
        <w:rPr>
          <w:rFonts w:hint="eastAsia"/>
          <w:u w:val="single"/>
          <w:lang w:val="zh-CN"/>
        </w:rPr>
        <w:t>《长江经济带发展负面清单指南（试行）》属性分析</w:t>
      </w:r>
    </w:p>
    <w:tbl>
      <w:tblPr>
        <w:tblStyle w:val="22"/>
        <w:tblW w:w="8973"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95"/>
        <w:gridCol w:w="4960"/>
        <w:gridCol w:w="2414"/>
        <w:gridCol w:w="90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95" w:type="dxa"/>
            <w:vAlign w:val="center"/>
          </w:tcPr>
          <w:p>
            <w:pPr>
              <w:pStyle w:val="30"/>
              <w:widowControl w:val="0"/>
              <w:bidi w:val="0"/>
              <w:rPr>
                <w:u w:val="single"/>
              </w:rPr>
            </w:pPr>
            <w:r>
              <w:rPr>
                <w:u w:val="single"/>
              </w:rPr>
              <w:t>序号</w:t>
            </w:r>
          </w:p>
        </w:tc>
        <w:tc>
          <w:tcPr>
            <w:tcW w:w="4960" w:type="dxa"/>
            <w:vAlign w:val="center"/>
          </w:tcPr>
          <w:p>
            <w:pPr>
              <w:pStyle w:val="30"/>
              <w:widowControl w:val="0"/>
              <w:bidi w:val="0"/>
              <w:rPr>
                <w:u w:val="single"/>
              </w:rPr>
            </w:pPr>
            <w:r>
              <w:rPr>
                <w:rFonts w:hint="eastAsia"/>
                <w:u w:val="single"/>
                <w:lang w:val="zh-CN"/>
              </w:rPr>
              <w:t>负面清单</w:t>
            </w:r>
          </w:p>
        </w:tc>
        <w:tc>
          <w:tcPr>
            <w:tcW w:w="2414" w:type="dxa"/>
            <w:tcBorders>
              <w:right w:val="single" w:color="auto" w:sz="4" w:space="0"/>
            </w:tcBorders>
            <w:vAlign w:val="center"/>
          </w:tcPr>
          <w:p>
            <w:pPr>
              <w:pStyle w:val="30"/>
              <w:widowControl w:val="0"/>
              <w:bidi w:val="0"/>
              <w:rPr>
                <w:u w:val="single"/>
              </w:rPr>
            </w:pPr>
            <w:r>
              <w:rPr>
                <w:u w:val="single"/>
              </w:rPr>
              <w:t>本项目</w:t>
            </w:r>
          </w:p>
        </w:tc>
        <w:tc>
          <w:tcPr>
            <w:tcW w:w="904" w:type="dxa"/>
            <w:tcBorders>
              <w:left w:val="single" w:color="auto" w:sz="4" w:space="0"/>
            </w:tcBorders>
            <w:vAlign w:val="center"/>
          </w:tcPr>
          <w:p>
            <w:pPr>
              <w:pStyle w:val="30"/>
              <w:widowControl w:val="0"/>
              <w:bidi w:val="0"/>
              <w:rPr>
                <w:u w:val="single"/>
              </w:rPr>
            </w:pPr>
            <w:r>
              <w:rPr>
                <w:rFonts w:hint="eastAsia"/>
                <w:u w:val="single"/>
              </w:rPr>
              <w:t>属性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95" w:type="dxa"/>
            <w:vAlign w:val="center"/>
          </w:tcPr>
          <w:p>
            <w:pPr>
              <w:pStyle w:val="30"/>
              <w:widowControl w:val="0"/>
              <w:bidi w:val="0"/>
              <w:rPr>
                <w:u w:val="single"/>
              </w:rPr>
            </w:pPr>
            <w:r>
              <w:rPr>
                <w:rFonts w:hint="eastAsia"/>
                <w:u w:val="single"/>
              </w:rPr>
              <w:t>1</w:t>
            </w:r>
          </w:p>
        </w:tc>
        <w:tc>
          <w:tcPr>
            <w:tcW w:w="4960" w:type="dxa"/>
            <w:vAlign w:val="center"/>
          </w:tcPr>
          <w:p>
            <w:pPr>
              <w:pStyle w:val="30"/>
              <w:widowControl w:val="0"/>
              <w:bidi w:val="0"/>
              <w:rPr>
                <w:u w:val="single"/>
              </w:rPr>
            </w:pPr>
            <w:r>
              <w:rPr>
                <w:rFonts w:hint="eastAsia"/>
                <w:u w:val="single"/>
              </w:rPr>
              <w:t>禁止建设不符合全国和省级港口布局规划以及港口总体规划的码头项目，禁止建设不符合《长江干线过江通道布局规划》的过长江通道项目。</w:t>
            </w:r>
          </w:p>
        </w:tc>
        <w:tc>
          <w:tcPr>
            <w:tcW w:w="2414" w:type="dxa"/>
            <w:tcBorders>
              <w:right w:val="single" w:color="auto" w:sz="4" w:space="0"/>
            </w:tcBorders>
            <w:vAlign w:val="center"/>
          </w:tcPr>
          <w:p>
            <w:pPr>
              <w:pStyle w:val="30"/>
              <w:widowControl w:val="0"/>
              <w:bidi w:val="0"/>
              <w:rPr>
                <w:u w:val="single"/>
              </w:rPr>
            </w:pPr>
            <w:r>
              <w:rPr>
                <w:u w:val="single"/>
              </w:rPr>
              <w:t>不是</w:t>
            </w:r>
            <w:r>
              <w:rPr>
                <w:rFonts w:hint="eastAsia"/>
                <w:u w:val="single"/>
              </w:rPr>
              <w:t>码头项目、不是过长江通道项目。</w:t>
            </w:r>
          </w:p>
        </w:tc>
        <w:tc>
          <w:tcPr>
            <w:tcW w:w="904" w:type="dxa"/>
            <w:tcBorders>
              <w:left w:val="single" w:color="auto" w:sz="4" w:space="0"/>
            </w:tcBorders>
            <w:vAlign w:val="center"/>
          </w:tcPr>
          <w:p>
            <w:pPr>
              <w:pStyle w:val="30"/>
              <w:widowControl w:val="0"/>
              <w:bidi w:val="0"/>
              <w:rPr>
                <w:u w:val="single"/>
              </w:rPr>
            </w:pPr>
            <w:r>
              <w:rPr>
                <w:u w:val="single"/>
              </w:rPr>
              <w:t>不属于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95" w:type="dxa"/>
            <w:vAlign w:val="center"/>
          </w:tcPr>
          <w:p>
            <w:pPr>
              <w:pStyle w:val="30"/>
              <w:widowControl w:val="0"/>
              <w:bidi w:val="0"/>
              <w:rPr>
                <w:u w:val="single"/>
              </w:rPr>
            </w:pPr>
            <w:r>
              <w:rPr>
                <w:rFonts w:hint="eastAsia"/>
                <w:u w:val="single"/>
              </w:rPr>
              <w:t>2</w:t>
            </w:r>
          </w:p>
        </w:tc>
        <w:tc>
          <w:tcPr>
            <w:tcW w:w="4960" w:type="dxa"/>
            <w:vAlign w:val="center"/>
          </w:tcPr>
          <w:p>
            <w:pPr>
              <w:pStyle w:val="30"/>
              <w:widowControl w:val="0"/>
              <w:bidi w:val="0"/>
              <w:rPr>
                <w:u w:val="single"/>
              </w:rPr>
            </w:pPr>
            <w:r>
              <w:rPr>
                <w:rFonts w:hint="eastAsia"/>
                <w:u w:val="single"/>
              </w:rPr>
              <w:t>禁止在自然保护区核心区、缓冲区的岸线和河段范围内投资建设旅游和生产经营项目。禁止在风景名胜区核心景区的岸线和河段范围内投资建设与风景名胜资源保护无关的项目。</w:t>
            </w:r>
          </w:p>
        </w:tc>
        <w:tc>
          <w:tcPr>
            <w:tcW w:w="2414" w:type="dxa"/>
            <w:tcBorders>
              <w:right w:val="single" w:color="auto" w:sz="4" w:space="0"/>
            </w:tcBorders>
            <w:vAlign w:val="center"/>
          </w:tcPr>
          <w:p>
            <w:pPr>
              <w:pStyle w:val="30"/>
              <w:widowControl w:val="0"/>
              <w:bidi w:val="0"/>
              <w:rPr>
                <w:u w:val="single"/>
              </w:rPr>
            </w:pPr>
            <w:r>
              <w:rPr>
                <w:u w:val="single"/>
              </w:rPr>
              <w:t>位于</w:t>
            </w:r>
            <w:r>
              <w:rPr>
                <w:rFonts w:hint="eastAsia"/>
                <w:u w:val="single"/>
              </w:rPr>
              <w:t>湖南东洞庭湖国家级自然保护区的实验区，未涉及核心区及缓冲区</w:t>
            </w:r>
          </w:p>
        </w:tc>
        <w:tc>
          <w:tcPr>
            <w:tcW w:w="904" w:type="dxa"/>
            <w:tcBorders>
              <w:left w:val="single" w:color="auto" w:sz="4" w:space="0"/>
            </w:tcBorders>
            <w:vAlign w:val="center"/>
          </w:tcPr>
          <w:p>
            <w:pPr>
              <w:pStyle w:val="30"/>
              <w:widowControl w:val="0"/>
              <w:bidi w:val="0"/>
              <w:rPr>
                <w:u w:val="single"/>
              </w:rPr>
            </w:pPr>
            <w:r>
              <w:rPr>
                <w:u w:val="single"/>
              </w:rPr>
              <w:t>不属于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95" w:type="dxa"/>
            <w:vAlign w:val="center"/>
          </w:tcPr>
          <w:p>
            <w:pPr>
              <w:pStyle w:val="30"/>
              <w:widowControl w:val="0"/>
              <w:bidi w:val="0"/>
              <w:rPr>
                <w:u w:val="single"/>
              </w:rPr>
            </w:pPr>
            <w:r>
              <w:rPr>
                <w:rFonts w:hint="eastAsia"/>
                <w:u w:val="single"/>
              </w:rPr>
              <w:t>3</w:t>
            </w:r>
          </w:p>
        </w:tc>
        <w:tc>
          <w:tcPr>
            <w:tcW w:w="4960" w:type="dxa"/>
            <w:vAlign w:val="center"/>
          </w:tcPr>
          <w:p>
            <w:pPr>
              <w:pStyle w:val="30"/>
              <w:widowControl w:val="0"/>
              <w:bidi w:val="0"/>
              <w:rPr>
                <w:u w:val="single"/>
              </w:rPr>
            </w:pPr>
            <w:r>
              <w:rPr>
                <w:rFonts w:hint="eastAsia"/>
                <w:u w:val="single"/>
              </w:rPr>
              <w:t>禁止在饮用水水源一级保护区的岸线和河段范围内新建、改建、扩建与供水设施和保护水源无关的项目，以及网箱养殖、旅游等可能污染饮用水水体的投资建设项目。禁止在饮用水水源二级保护区的岸线和河段范围内新建、改建、扩建排放污染物的投资建设项目。</w:t>
            </w:r>
          </w:p>
        </w:tc>
        <w:tc>
          <w:tcPr>
            <w:tcW w:w="2414" w:type="dxa"/>
            <w:tcBorders>
              <w:right w:val="single" w:color="auto" w:sz="4" w:space="0"/>
            </w:tcBorders>
            <w:vAlign w:val="center"/>
          </w:tcPr>
          <w:p>
            <w:pPr>
              <w:pStyle w:val="30"/>
              <w:widowControl w:val="0"/>
              <w:bidi w:val="0"/>
              <w:rPr>
                <w:u w:val="single"/>
              </w:rPr>
            </w:pPr>
            <w:r>
              <w:rPr>
                <w:rFonts w:hint="eastAsia"/>
                <w:u w:val="single"/>
              </w:rPr>
              <w:t>未涉及饮用水水源</w:t>
            </w:r>
          </w:p>
        </w:tc>
        <w:tc>
          <w:tcPr>
            <w:tcW w:w="904" w:type="dxa"/>
            <w:tcBorders>
              <w:left w:val="single" w:color="auto" w:sz="4" w:space="0"/>
            </w:tcBorders>
            <w:vAlign w:val="center"/>
          </w:tcPr>
          <w:p>
            <w:pPr>
              <w:pStyle w:val="30"/>
              <w:widowControl w:val="0"/>
              <w:bidi w:val="0"/>
              <w:rPr>
                <w:u w:val="single"/>
              </w:rPr>
            </w:pPr>
            <w:r>
              <w:rPr>
                <w:u w:val="single"/>
              </w:rPr>
              <w:t>不属于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95" w:type="dxa"/>
            <w:vAlign w:val="center"/>
          </w:tcPr>
          <w:p>
            <w:pPr>
              <w:pStyle w:val="30"/>
              <w:widowControl w:val="0"/>
              <w:bidi w:val="0"/>
              <w:rPr>
                <w:u w:val="single"/>
              </w:rPr>
            </w:pPr>
            <w:r>
              <w:rPr>
                <w:rFonts w:hint="eastAsia"/>
                <w:u w:val="single"/>
              </w:rPr>
              <w:t>4</w:t>
            </w:r>
          </w:p>
        </w:tc>
        <w:tc>
          <w:tcPr>
            <w:tcW w:w="4960" w:type="dxa"/>
            <w:vAlign w:val="center"/>
          </w:tcPr>
          <w:p>
            <w:pPr>
              <w:pStyle w:val="30"/>
              <w:widowControl w:val="0"/>
              <w:bidi w:val="0"/>
              <w:rPr>
                <w:u w:val="single"/>
              </w:rPr>
            </w:pPr>
            <w:r>
              <w:rPr>
                <w:rFonts w:hint="eastAsia"/>
                <w:u w:val="single"/>
              </w:rPr>
              <w:t>禁止在水产种质资源保护区的岸线和河段范围内新建排污口，以及围湖造田、围海造地或围填海等投资建设项目。禁止在国家湿地公园的岸线和河段范围内挖沙、采矿，以及任何不符合主体功能定位的投资建设项目。</w:t>
            </w:r>
          </w:p>
        </w:tc>
        <w:tc>
          <w:tcPr>
            <w:tcW w:w="2414" w:type="dxa"/>
            <w:tcBorders>
              <w:right w:val="single" w:color="auto" w:sz="4" w:space="0"/>
            </w:tcBorders>
            <w:vAlign w:val="center"/>
          </w:tcPr>
          <w:p>
            <w:pPr>
              <w:pStyle w:val="30"/>
              <w:widowControl w:val="0"/>
              <w:bidi w:val="0"/>
              <w:rPr>
                <w:rFonts w:hint="eastAsia" w:eastAsia="宋体"/>
                <w:u w:val="single"/>
                <w:lang w:eastAsia="zh-CN"/>
              </w:rPr>
            </w:pPr>
            <w:r>
              <w:rPr>
                <w:rFonts w:hint="eastAsia"/>
                <w:u w:val="single"/>
                <w:lang w:eastAsia="zh-CN"/>
              </w:rPr>
              <w:t>无废水外排</w:t>
            </w:r>
          </w:p>
        </w:tc>
        <w:tc>
          <w:tcPr>
            <w:tcW w:w="904" w:type="dxa"/>
            <w:tcBorders>
              <w:left w:val="single" w:color="auto" w:sz="4" w:space="0"/>
            </w:tcBorders>
            <w:vAlign w:val="center"/>
          </w:tcPr>
          <w:p>
            <w:pPr>
              <w:pStyle w:val="30"/>
              <w:widowControl w:val="0"/>
              <w:bidi w:val="0"/>
              <w:rPr>
                <w:u w:val="single"/>
              </w:rPr>
            </w:pPr>
            <w:r>
              <w:rPr>
                <w:u w:val="single"/>
              </w:rPr>
              <w:t>不属于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95" w:type="dxa"/>
            <w:vAlign w:val="center"/>
          </w:tcPr>
          <w:p>
            <w:pPr>
              <w:pStyle w:val="30"/>
              <w:widowControl w:val="0"/>
              <w:bidi w:val="0"/>
              <w:rPr>
                <w:u w:val="single"/>
              </w:rPr>
            </w:pPr>
            <w:r>
              <w:rPr>
                <w:rFonts w:hint="eastAsia"/>
                <w:u w:val="single"/>
              </w:rPr>
              <w:t>5</w:t>
            </w:r>
          </w:p>
        </w:tc>
        <w:tc>
          <w:tcPr>
            <w:tcW w:w="4960" w:type="dxa"/>
            <w:vAlign w:val="center"/>
          </w:tcPr>
          <w:p>
            <w:pPr>
              <w:pStyle w:val="30"/>
              <w:widowControl w:val="0"/>
              <w:bidi w:val="0"/>
              <w:rPr>
                <w:u w:val="single"/>
              </w:rPr>
            </w:pPr>
            <w:r>
              <w:rPr>
                <w:rFonts w:hint="eastAsia"/>
                <w:u w:val="single"/>
              </w:rPr>
              <w:t>禁止在《长江岸线保护和开发利用总体规划》划定的岸线保护区内投资建设除保障防洪安全、河势稳定、供水安全以及保护生态环境、已建重要枢纽工程以外的项目，禁止在岸线保留区内投资建设除保障防洪安全、河势稳定、供水安全、航道稳定以及保护生态环境以外的项目。禁止在《全国重要江河湖泊水功能区划》划定的河段保护区、保留区内投资建设不利于水资源及自然生态保护的项目。</w:t>
            </w:r>
          </w:p>
        </w:tc>
        <w:tc>
          <w:tcPr>
            <w:tcW w:w="2414" w:type="dxa"/>
            <w:tcBorders>
              <w:right w:val="single" w:color="auto" w:sz="4" w:space="0"/>
            </w:tcBorders>
            <w:vAlign w:val="center"/>
          </w:tcPr>
          <w:p>
            <w:pPr>
              <w:pStyle w:val="30"/>
              <w:widowControl w:val="0"/>
              <w:bidi w:val="0"/>
              <w:rPr>
                <w:rFonts w:hint="eastAsia" w:eastAsia="宋体"/>
                <w:u w:val="single"/>
                <w:lang w:eastAsia="zh-CN"/>
              </w:rPr>
            </w:pPr>
            <w:r>
              <w:rPr>
                <w:u w:val="single"/>
              </w:rPr>
              <w:t>本项目为水利安保工程</w:t>
            </w:r>
            <w:r>
              <w:rPr>
                <w:rFonts w:hint="eastAsia"/>
                <w:u w:val="single"/>
                <w:lang w:eastAsia="zh-CN"/>
              </w:rPr>
              <w:t>的临时用地</w:t>
            </w:r>
          </w:p>
        </w:tc>
        <w:tc>
          <w:tcPr>
            <w:tcW w:w="904" w:type="dxa"/>
            <w:tcBorders>
              <w:left w:val="single" w:color="auto" w:sz="4" w:space="0"/>
            </w:tcBorders>
            <w:vAlign w:val="center"/>
          </w:tcPr>
          <w:p>
            <w:pPr>
              <w:pStyle w:val="30"/>
              <w:widowControl w:val="0"/>
              <w:bidi w:val="0"/>
              <w:rPr>
                <w:u w:val="single"/>
              </w:rPr>
            </w:pPr>
            <w:r>
              <w:rPr>
                <w:u w:val="single"/>
              </w:rPr>
              <w:t>不属于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95" w:type="dxa"/>
            <w:vAlign w:val="center"/>
          </w:tcPr>
          <w:p>
            <w:pPr>
              <w:pStyle w:val="30"/>
              <w:widowControl w:val="0"/>
              <w:bidi w:val="0"/>
              <w:rPr>
                <w:u w:val="single"/>
              </w:rPr>
            </w:pPr>
            <w:r>
              <w:rPr>
                <w:rFonts w:hint="eastAsia"/>
                <w:u w:val="single"/>
              </w:rPr>
              <w:t>6</w:t>
            </w:r>
          </w:p>
        </w:tc>
        <w:tc>
          <w:tcPr>
            <w:tcW w:w="4960" w:type="dxa"/>
            <w:vAlign w:val="center"/>
          </w:tcPr>
          <w:p>
            <w:pPr>
              <w:pStyle w:val="30"/>
              <w:widowControl w:val="0"/>
              <w:bidi w:val="0"/>
              <w:rPr>
                <w:u w:val="single"/>
              </w:rPr>
            </w:pPr>
            <w:r>
              <w:rPr>
                <w:rFonts w:hint="eastAsia"/>
                <w:u w:val="single"/>
              </w:rPr>
              <w:t>禁止在生态保护红线和永久基本农田范围内投资建设除国家重大战略资源勘查项目、生态保护修复和环境治理项目、重大基础设施项目、军事国防项目以及农牧民基本生产生活等必要的民生项目以外的项目。</w:t>
            </w:r>
          </w:p>
        </w:tc>
        <w:tc>
          <w:tcPr>
            <w:tcW w:w="2414" w:type="dxa"/>
            <w:tcBorders>
              <w:right w:val="single" w:color="auto" w:sz="4" w:space="0"/>
            </w:tcBorders>
            <w:vAlign w:val="center"/>
          </w:tcPr>
          <w:p>
            <w:pPr>
              <w:pStyle w:val="30"/>
              <w:widowControl w:val="0"/>
              <w:bidi w:val="0"/>
              <w:rPr>
                <w:u w:val="single"/>
              </w:rPr>
            </w:pPr>
            <w:r>
              <w:rPr>
                <w:rFonts w:hint="eastAsia"/>
                <w:u w:val="single"/>
              </w:rPr>
              <w:t>项目</w:t>
            </w:r>
            <w:r>
              <w:rPr>
                <w:rFonts w:hint="eastAsia"/>
                <w:u w:val="single"/>
                <w:lang w:eastAsia="zh-CN"/>
              </w:rPr>
              <w:t>不在</w:t>
            </w:r>
            <w:r>
              <w:rPr>
                <w:rFonts w:hint="eastAsia"/>
                <w:u w:val="single"/>
              </w:rPr>
              <w:t>君山区生态保护红线范围内，但本项目属于水利安保工程</w:t>
            </w:r>
            <w:r>
              <w:rPr>
                <w:rFonts w:hint="eastAsia"/>
                <w:u w:val="single"/>
                <w:lang w:eastAsia="zh-CN"/>
              </w:rPr>
              <w:t>的临时用地工程</w:t>
            </w:r>
            <w:r>
              <w:rPr>
                <w:rFonts w:hint="eastAsia"/>
                <w:u w:val="single"/>
              </w:rPr>
              <w:t>，为必要的民生项目，且本项目建设符合生态红线的管控要求。</w:t>
            </w:r>
          </w:p>
        </w:tc>
        <w:tc>
          <w:tcPr>
            <w:tcW w:w="904" w:type="dxa"/>
            <w:tcBorders>
              <w:left w:val="single" w:color="auto" w:sz="4" w:space="0"/>
            </w:tcBorders>
            <w:vAlign w:val="center"/>
          </w:tcPr>
          <w:p>
            <w:pPr>
              <w:pStyle w:val="30"/>
              <w:widowControl w:val="0"/>
              <w:bidi w:val="0"/>
              <w:rPr>
                <w:u w:val="single"/>
              </w:rPr>
            </w:pPr>
            <w:r>
              <w:rPr>
                <w:u w:val="single"/>
              </w:rPr>
              <w:t>不属于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95" w:type="dxa"/>
            <w:vAlign w:val="center"/>
          </w:tcPr>
          <w:p>
            <w:pPr>
              <w:pStyle w:val="30"/>
              <w:widowControl w:val="0"/>
              <w:bidi w:val="0"/>
              <w:rPr>
                <w:u w:val="single"/>
              </w:rPr>
            </w:pPr>
            <w:r>
              <w:rPr>
                <w:rFonts w:hint="eastAsia"/>
                <w:u w:val="single"/>
              </w:rPr>
              <w:t>7</w:t>
            </w:r>
          </w:p>
        </w:tc>
        <w:tc>
          <w:tcPr>
            <w:tcW w:w="4960" w:type="dxa"/>
            <w:vAlign w:val="center"/>
          </w:tcPr>
          <w:p>
            <w:pPr>
              <w:pStyle w:val="30"/>
              <w:widowControl w:val="0"/>
              <w:bidi w:val="0"/>
              <w:rPr>
                <w:u w:val="single"/>
              </w:rPr>
            </w:pPr>
            <w:r>
              <w:rPr>
                <w:rFonts w:hint="eastAsia"/>
                <w:u w:val="single"/>
              </w:rPr>
              <w:t>禁止在长江干支流1公里范围内新建、扩建化工园区和化工项目。禁止在合规园区外新建、扩建钢铁、石化、化工、焦化、建材、有色等高污染项目。</w:t>
            </w:r>
          </w:p>
        </w:tc>
        <w:tc>
          <w:tcPr>
            <w:tcW w:w="2414" w:type="dxa"/>
            <w:tcBorders>
              <w:right w:val="single" w:color="auto" w:sz="4" w:space="0"/>
            </w:tcBorders>
            <w:vAlign w:val="center"/>
          </w:tcPr>
          <w:p>
            <w:pPr>
              <w:pStyle w:val="30"/>
              <w:widowControl w:val="0"/>
              <w:bidi w:val="0"/>
              <w:rPr>
                <w:u w:val="single"/>
              </w:rPr>
            </w:pPr>
            <w:r>
              <w:rPr>
                <w:u w:val="single"/>
              </w:rPr>
              <w:t>本项目不属于化工项目及高污染项目。</w:t>
            </w:r>
          </w:p>
        </w:tc>
        <w:tc>
          <w:tcPr>
            <w:tcW w:w="904" w:type="dxa"/>
            <w:tcBorders>
              <w:left w:val="single" w:color="auto" w:sz="4" w:space="0"/>
            </w:tcBorders>
            <w:vAlign w:val="center"/>
          </w:tcPr>
          <w:p>
            <w:pPr>
              <w:pStyle w:val="30"/>
              <w:widowControl w:val="0"/>
              <w:bidi w:val="0"/>
              <w:rPr>
                <w:u w:val="single"/>
              </w:rPr>
            </w:pPr>
            <w:r>
              <w:rPr>
                <w:u w:val="single"/>
              </w:rPr>
              <w:t>不属于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95" w:type="dxa"/>
            <w:vAlign w:val="center"/>
          </w:tcPr>
          <w:p>
            <w:pPr>
              <w:pStyle w:val="30"/>
              <w:widowControl w:val="0"/>
              <w:bidi w:val="0"/>
              <w:rPr>
                <w:u w:val="single"/>
              </w:rPr>
            </w:pPr>
            <w:r>
              <w:rPr>
                <w:rFonts w:hint="eastAsia"/>
                <w:u w:val="single"/>
              </w:rPr>
              <w:t>8</w:t>
            </w:r>
          </w:p>
        </w:tc>
        <w:tc>
          <w:tcPr>
            <w:tcW w:w="4960" w:type="dxa"/>
            <w:vAlign w:val="center"/>
          </w:tcPr>
          <w:p>
            <w:pPr>
              <w:pStyle w:val="30"/>
              <w:widowControl w:val="0"/>
              <w:bidi w:val="0"/>
              <w:rPr>
                <w:u w:val="single"/>
              </w:rPr>
            </w:pPr>
            <w:r>
              <w:rPr>
                <w:rFonts w:hint="eastAsia"/>
                <w:u w:val="single"/>
              </w:rPr>
              <w:t>禁止新建、扩建不符合国家石化、现代煤化工等产业布局规划的项目。</w:t>
            </w:r>
          </w:p>
        </w:tc>
        <w:tc>
          <w:tcPr>
            <w:tcW w:w="2414" w:type="dxa"/>
            <w:tcBorders>
              <w:right w:val="single" w:color="auto" w:sz="4" w:space="0"/>
            </w:tcBorders>
            <w:vAlign w:val="center"/>
          </w:tcPr>
          <w:p>
            <w:pPr>
              <w:pStyle w:val="30"/>
              <w:widowControl w:val="0"/>
              <w:bidi w:val="0"/>
              <w:rPr>
                <w:u w:val="single"/>
              </w:rPr>
            </w:pPr>
            <w:r>
              <w:rPr>
                <w:u w:val="single"/>
              </w:rPr>
              <w:t>不属于</w:t>
            </w:r>
            <w:r>
              <w:rPr>
                <w:rFonts w:hint="eastAsia"/>
                <w:u w:val="single"/>
              </w:rPr>
              <w:t>石化、现代煤化工产业</w:t>
            </w:r>
          </w:p>
        </w:tc>
        <w:tc>
          <w:tcPr>
            <w:tcW w:w="904" w:type="dxa"/>
            <w:tcBorders>
              <w:left w:val="single" w:color="auto" w:sz="4" w:space="0"/>
            </w:tcBorders>
            <w:vAlign w:val="center"/>
          </w:tcPr>
          <w:p>
            <w:pPr>
              <w:pStyle w:val="30"/>
              <w:widowControl w:val="0"/>
              <w:bidi w:val="0"/>
              <w:rPr>
                <w:u w:val="single"/>
              </w:rPr>
            </w:pPr>
            <w:r>
              <w:rPr>
                <w:u w:val="single"/>
              </w:rPr>
              <w:t>不属于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95" w:type="dxa"/>
            <w:vAlign w:val="center"/>
          </w:tcPr>
          <w:p>
            <w:pPr>
              <w:pStyle w:val="30"/>
              <w:widowControl w:val="0"/>
              <w:bidi w:val="0"/>
              <w:rPr>
                <w:u w:val="single"/>
              </w:rPr>
            </w:pPr>
            <w:r>
              <w:rPr>
                <w:rFonts w:hint="eastAsia"/>
                <w:u w:val="single"/>
              </w:rPr>
              <w:t>9</w:t>
            </w:r>
          </w:p>
        </w:tc>
        <w:tc>
          <w:tcPr>
            <w:tcW w:w="4960" w:type="dxa"/>
            <w:vAlign w:val="center"/>
          </w:tcPr>
          <w:p>
            <w:pPr>
              <w:pStyle w:val="30"/>
              <w:widowControl w:val="0"/>
              <w:bidi w:val="0"/>
              <w:rPr>
                <w:u w:val="single"/>
              </w:rPr>
            </w:pPr>
            <w:r>
              <w:rPr>
                <w:rFonts w:hint="eastAsia"/>
                <w:u w:val="single"/>
              </w:rPr>
              <w:t>禁止新建、扩建法律法规和相关政策明令禁止的落后产能项目。</w:t>
            </w:r>
          </w:p>
        </w:tc>
        <w:tc>
          <w:tcPr>
            <w:tcW w:w="2414" w:type="dxa"/>
            <w:tcBorders>
              <w:right w:val="single" w:color="auto" w:sz="4" w:space="0"/>
            </w:tcBorders>
            <w:vAlign w:val="center"/>
          </w:tcPr>
          <w:p>
            <w:pPr>
              <w:pStyle w:val="30"/>
              <w:widowControl w:val="0"/>
              <w:bidi w:val="0"/>
              <w:rPr>
                <w:u w:val="single"/>
              </w:rPr>
            </w:pPr>
            <w:r>
              <w:rPr>
                <w:u w:val="single"/>
              </w:rPr>
              <w:t>不属于</w:t>
            </w:r>
            <w:r>
              <w:rPr>
                <w:rFonts w:hint="eastAsia"/>
                <w:u w:val="single"/>
              </w:rPr>
              <w:t>落后产能项目。</w:t>
            </w:r>
          </w:p>
        </w:tc>
        <w:tc>
          <w:tcPr>
            <w:tcW w:w="904" w:type="dxa"/>
            <w:tcBorders>
              <w:left w:val="single" w:color="auto" w:sz="4" w:space="0"/>
            </w:tcBorders>
            <w:vAlign w:val="center"/>
          </w:tcPr>
          <w:p>
            <w:pPr>
              <w:pStyle w:val="30"/>
              <w:widowControl w:val="0"/>
              <w:bidi w:val="0"/>
              <w:rPr>
                <w:u w:val="single"/>
              </w:rPr>
            </w:pPr>
            <w:r>
              <w:rPr>
                <w:u w:val="single"/>
              </w:rPr>
              <w:t>不属于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695" w:type="dxa"/>
            <w:vAlign w:val="center"/>
          </w:tcPr>
          <w:p>
            <w:pPr>
              <w:pStyle w:val="30"/>
              <w:widowControl w:val="0"/>
              <w:bidi w:val="0"/>
              <w:rPr>
                <w:u w:val="single"/>
              </w:rPr>
            </w:pPr>
            <w:r>
              <w:rPr>
                <w:rFonts w:hint="eastAsia"/>
                <w:u w:val="single"/>
              </w:rPr>
              <w:t>10</w:t>
            </w:r>
          </w:p>
        </w:tc>
        <w:tc>
          <w:tcPr>
            <w:tcW w:w="4960" w:type="dxa"/>
            <w:vAlign w:val="center"/>
          </w:tcPr>
          <w:p>
            <w:pPr>
              <w:pStyle w:val="30"/>
              <w:widowControl w:val="0"/>
              <w:bidi w:val="0"/>
              <w:rPr>
                <w:u w:val="single"/>
              </w:rPr>
            </w:pPr>
            <w:r>
              <w:rPr>
                <w:rFonts w:hint="eastAsia"/>
                <w:u w:val="single"/>
              </w:rPr>
              <w:t>禁止新建、扩建不符合国家产能置换要求的严重过剩产能行业的项目</w:t>
            </w:r>
          </w:p>
        </w:tc>
        <w:tc>
          <w:tcPr>
            <w:tcW w:w="2414" w:type="dxa"/>
            <w:tcBorders>
              <w:right w:val="single" w:color="auto" w:sz="4" w:space="0"/>
            </w:tcBorders>
            <w:vAlign w:val="center"/>
          </w:tcPr>
          <w:p>
            <w:pPr>
              <w:pStyle w:val="30"/>
              <w:widowControl w:val="0"/>
              <w:bidi w:val="0"/>
              <w:rPr>
                <w:u w:val="single"/>
              </w:rPr>
            </w:pPr>
            <w:r>
              <w:rPr>
                <w:u w:val="single"/>
              </w:rPr>
              <w:t>不属于</w:t>
            </w:r>
            <w:r>
              <w:rPr>
                <w:rFonts w:hint="eastAsia"/>
                <w:u w:val="single"/>
              </w:rPr>
              <w:t>严重过剩产能行业的项目</w:t>
            </w:r>
          </w:p>
        </w:tc>
        <w:tc>
          <w:tcPr>
            <w:tcW w:w="904" w:type="dxa"/>
            <w:tcBorders>
              <w:left w:val="single" w:color="auto" w:sz="4" w:space="0"/>
            </w:tcBorders>
            <w:vAlign w:val="center"/>
          </w:tcPr>
          <w:p>
            <w:pPr>
              <w:pStyle w:val="30"/>
              <w:widowControl w:val="0"/>
              <w:bidi w:val="0"/>
              <w:rPr>
                <w:u w:val="single"/>
              </w:rPr>
            </w:pPr>
            <w:r>
              <w:rPr>
                <w:u w:val="single"/>
              </w:rPr>
              <w:t>不属于</w:t>
            </w:r>
          </w:p>
        </w:tc>
      </w:tr>
    </w:tbl>
    <w:p>
      <w:pPr>
        <w:rPr>
          <w:rFonts w:hint="eastAsia"/>
        </w:rPr>
      </w:pPr>
    </w:p>
    <w:p>
      <w:pPr>
        <w:pStyle w:val="2"/>
        <w:bidi w:val="0"/>
        <w:rPr>
          <w:rFonts w:hint="eastAsia"/>
        </w:rPr>
      </w:pPr>
      <w:r>
        <w:rPr>
          <w:rFonts w:hint="eastAsia"/>
        </w:rPr>
        <w:t>选址区域环境功能规划</w:t>
      </w:r>
    </w:p>
    <w:p>
      <w:pPr>
        <w:bidi w:val="0"/>
      </w:pPr>
      <w:r>
        <w:t>本项目所在地环境功能属性见表</w:t>
      </w:r>
      <w:r>
        <w:rPr>
          <w:rFonts w:hint="eastAsia"/>
        </w:rPr>
        <w:t>2</w:t>
      </w:r>
      <w:r>
        <w:t>-1：</w:t>
      </w:r>
    </w:p>
    <w:p>
      <w:pPr>
        <w:pStyle w:val="29"/>
        <w:bidi w:val="0"/>
      </w:pPr>
      <w:r>
        <w:t>表</w:t>
      </w:r>
      <w:r>
        <w:rPr>
          <w:rFonts w:hint="eastAsia"/>
          <w:lang w:val="en-US" w:eastAsia="zh-CN"/>
        </w:rPr>
        <w:t>5.1</w:t>
      </w:r>
      <w:r>
        <w:t>-</w:t>
      </w:r>
      <w:r>
        <w:rPr>
          <w:rFonts w:hint="eastAsia"/>
          <w:lang w:val="en-US" w:eastAsia="zh-CN"/>
        </w:rPr>
        <w:t>2</w:t>
      </w:r>
      <w:r>
        <w:t xml:space="preserve">   项目选址环境功能属性</w:t>
      </w:r>
    </w:p>
    <w:tbl>
      <w:tblPr>
        <w:tblStyle w:val="21"/>
        <w:tblW w:w="8973"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670"/>
        <w:gridCol w:w="1671"/>
        <w:gridCol w:w="965"/>
        <w:gridCol w:w="2634"/>
        <w:gridCol w:w="1134"/>
        <w:gridCol w:w="1899"/>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pPr>
            <w:r>
              <w:t>编号</w:t>
            </w:r>
          </w:p>
        </w:tc>
        <w:tc>
          <w:tcPr>
            <w:tcW w:w="2636" w:type="dxa"/>
            <w:gridSpan w:val="2"/>
            <w:vAlign w:val="center"/>
          </w:tcPr>
          <w:p>
            <w:pPr>
              <w:pStyle w:val="30"/>
              <w:bidi w:val="0"/>
            </w:pPr>
            <w:r>
              <w:t>项目</w:t>
            </w:r>
          </w:p>
        </w:tc>
        <w:tc>
          <w:tcPr>
            <w:tcW w:w="5667" w:type="dxa"/>
            <w:gridSpan w:val="3"/>
            <w:vAlign w:val="center"/>
          </w:tcPr>
          <w:p>
            <w:pPr>
              <w:pStyle w:val="30"/>
              <w:bidi w:val="0"/>
            </w:pPr>
            <w:r>
              <w:t>功能区类别及执行标准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pPr>
            <w:r>
              <w:t>1</w:t>
            </w:r>
          </w:p>
        </w:tc>
        <w:tc>
          <w:tcPr>
            <w:tcW w:w="2636" w:type="dxa"/>
            <w:gridSpan w:val="2"/>
            <w:vMerge w:val="restart"/>
            <w:vAlign w:val="center"/>
          </w:tcPr>
          <w:p>
            <w:pPr>
              <w:pStyle w:val="30"/>
              <w:bidi w:val="0"/>
            </w:pPr>
            <w:r>
              <w:t>环境空气质量功能区</w:t>
            </w:r>
          </w:p>
        </w:tc>
        <w:tc>
          <w:tcPr>
            <w:tcW w:w="5667" w:type="dxa"/>
            <w:gridSpan w:val="3"/>
            <w:vAlign w:val="center"/>
          </w:tcPr>
          <w:p>
            <w:pPr>
              <w:pStyle w:val="30"/>
              <w:bidi w:val="0"/>
            </w:pPr>
            <w:r>
              <w:rPr>
                <w:rFonts w:hint="eastAsia"/>
              </w:rPr>
              <w:t>湖南东洞庭湖国家级自然保护区为</w:t>
            </w:r>
            <w:r>
              <w:t>一类区，环境空气质量执行《环境空气质量标准》（GB3095-2012）</w:t>
            </w:r>
            <w:r>
              <w:rPr>
                <w:rFonts w:hint="eastAsia"/>
              </w:rPr>
              <w:t>及其修改单</w:t>
            </w:r>
            <w:r>
              <w:t>一级标准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pPr>
            <w:r>
              <w:t>2</w:t>
            </w:r>
          </w:p>
        </w:tc>
        <w:tc>
          <w:tcPr>
            <w:tcW w:w="2636" w:type="dxa"/>
            <w:gridSpan w:val="2"/>
            <w:vMerge w:val="continue"/>
            <w:vAlign w:val="center"/>
          </w:tcPr>
          <w:p>
            <w:pPr>
              <w:pStyle w:val="30"/>
              <w:bidi w:val="0"/>
            </w:pPr>
          </w:p>
        </w:tc>
        <w:tc>
          <w:tcPr>
            <w:tcW w:w="5667" w:type="dxa"/>
            <w:gridSpan w:val="3"/>
            <w:vAlign w:val="center"/>
          </w:tcPr>
          <w:p>
            <w:pPr>
              <w:pStyle w:val="30"/>
              <w:bidi w:val="0"/>
            </w:pPr>
            <w:r>
              <w:t>其他地方为二类区，环境空气质量执行《环境空气质量标准》（GB3095-2012）</w:t>
            </w:r>
            <w:r>
              <w:rPr>
                <w:rFonts w:hint="eastAsia"/>
              </w:rPr>
              <w:t>及其修改单二</w:t>
            </w:r>
            <w:r>
              <w:t>级标准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pPr>
            <w:r>
              <w:t>3</w:t>
            </w:r>
          </w:p>
        </w:tc>
        <w:tc>
          <w:tcPr>
            <w:tcW w:w="2636" w:type="dxa"/>
            <w:gridSpan w:val="2"/>
            <w:vAlign w:val="center"/>
          </w:tcPr>
          <w:p>
            <w:pPr>
              <w:pStyle w:val="30"/>
              <w:bidi w:val="0"/>
            </w:pPr>
            <w:r>
              <w:t>声环境功能区</w:t>
            </w:r>
          </w:p>
        </w:tc>
        <w:tc>
          <w:tcPr>
            <w:tcW w:w="5667" w:type="dxa"/>
            <w:gridSpan w:val="3"/>
            <w:vAlign w:val="center"/>
          </w:tcPr>
          <w:p>
            <w:pPr>
              <w:pStyle w:val="30"/>
              <w:bidi w:val="0"/>
            </w:pPr>
            <w:r>
              <w:rPr>
                <w:rFonts w:hint="eastAsia"/>
              </w:rPr>
              <w:t>主要为2</w:t>
            </w:r>
            <w:r>
              <w:t>类声环境功能区，本项目路两侧、</w:t>
            </w:r>
            <w:r>
              <w:rPr>
                <w:rFonts w:hint="eastAsia"/>
              </w:rPr>
              <w:t>杭瑞高速公路两侧及S306 省道两侧35m范围内执行</w:t>
            </w:r>
            <w:r>
              <w:t>《声环境质量标准》（GB3096-2008）</w:t>
            </w:r>
            <w:r>
              <w:rPr>
                <w:rFonts w:hint="eastAsia"/>
              </w:rPr>
              <w:t>4a</w:t>
            </w:r>
            <w:r>
              <w:t>类</w:t>
            </w:r>
            <w:r>
              <w:rPr>
                <w:rFonts w:hint="eastAsia"/>
              </w:rPr>
              <w:t>，蒙华铁路两侧35m范围内执行</w:t>
            </w:r>
            <w:r>
              <w:t>《声环境质量标准》（GB3096-2008）</w:t>
            </w:r>
            <w:r>
              <w:rPr>
                <w:rFonts w:hint="eastAsia"/>
              </w:rPr>
              <w:t>4b</w:t>
            </w:r>
            <w:r>
              <w:t>类。</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hint="eastAsia" w:eastAsia="宋体"/>
                <w:lang w:val="en-US" w:eastAsia="zh-CN"/>
              </w:rPr>
            </w:pPr>
            <w:r>
              <w:rPr>
                <w:rFonts w:hint="eastAsia"/>
                <w:lang w:val="en-US" w:eastAsia="zh-CN"/>
              </w:rPr>
              <w:t>4</w:t>
            </w:r>
          </w:p>
        </w:tc>
        <w:tc>
          <w:tcPr>
            <w:tcW w:w="1671" w:type="dxa"/>
            <w:vMerge w:val="restart"/>
            <w:tcBorders>
              <w:top w:val="single" w:color="auto" w:sz="4" w:space="0"/>
              <w:right w:val="single" w:color="auto" w:sz="4" w:space="0"/>
            </w:tcBorders>
            <w:vAlign w:val="center"/>
          </w:tcPr>
          <w:p>
            <w:pPr>
              <w:pStyle w:val="30"/>
              <w:bidi w:val="0"/>
            </w:pPr>
            <w:r>
              <w:t>水环境功能区</w:t>
            </w:r>
          </w:p>
        </w:tc>
        <w:tc>
          <w:tcPr>
            <w:tcW w:w="965" w:type="dxa"/>
            <w:tcBorders>
              <w:top w:val="single" w:color="auto" w:sz="4" w:space="0"/>
              <w:left w:val="single" w:color="auto" w:sz="4" w:space="0"/>
            </w:tcBorders>
            <w:vAlign w:val="center"/>
          </w:tcPr>
          <w:p>
            <w:pPr>
              <w:pStyle w:val="30"/>
              <w:bidi w:val="0"/>
            </w:pPr>
            <w:r>
              <w:t>长江</w:t>
            </w:r>
          </w:p>
        </w:tc>
        <w:tc>
          <w:tcPr>
            <w:tcW w:w="2634" w:type="dxa"/>
            <w:tcBorders>
              <w:top w:val="single" w:color="auto" w:sz="4" w:space="0"/>
              <w:right w:val="single" w:color="auto" w:sz="4" w:space="0"/>
            </w:tcBorders>
            <w:vAlign w:val="center"/>
          </w:tcPr>
          <w:p>
            <w:pPr>
              <w:pStyle w:val="30"/>
              <w:bidi w:val="0"/>
            </w:pPr>
            <w:r>
              <w:t>长江（塔市译至城陵矶，全长80km）</w:t>
            </w:r>
          </w:p>
        </w:tc>
        <w:tc>
          <w:tcPr>
            <w:tcW w:w="1134" w:type="dxa"/>
            <w:tcBorders>
              <w:left w:val="single" w:color="auto" w:sz="4" w:space="0"/>
              <w:right w:val="single" w:color="auto" w:sz="4" w:space="0"/>
            </w:tcBorders>
            <w:vAlign w:val="center"/>
          </w:tcPr>
          <w:p>
            <w:pPr>
              <w:pStyle w:val="30"/>
              <w:bidi w:val="0"/>
            </w:pPr>
            <w:r>
              <w:t>渔业用水区</w:t>
            </w:r>
          </w:p>
        </w:tc>
        <w:tc>
          <w:tcPr>
            <w:tcW w:w="1899" w:type="dxa"/>
            <w:tcBorders>
              <w:left w:val="single" w:color="auto" w:sz="4" w:space="0"/>
            </w:tcBorders>
            <w:vAlign w:val="center"/>
          </w:tcPr>
          <w:p>
            <w:pPr>
              <w:pStyle w:val="30"/>
              <w:bidi w:val="0"/>
            </w:pPr>
            <w:r>
              <w:t>（GB3838-2002）III类标准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5</w:t>
            </w:r>
          </w:p>
        </w:tc>
        <w:tc>
          <w:tcPr>
            <w:tcW w:w="1671" w:type="dxa"/>
            <w:vMerge w:val="continue"/>
            <w:tcBorders>
              <w:right w:val="single" w:color="auto" w:sz="4" w:space="0"/>
            </w:tcBorders>
            <w:vAlign w:val="center"/>
          </w:tcPr>
          <w:p>
            <w:pPr>
              <w:pStyle w:val="30"/>
              <w:bidi w:val="0"/>
            </w:pPr>
          </w:p>
        </w:tc>
        <w:tc>
          <w:tcPr>
            <w:tcW w:w="965" w:type="dxa"/>
            <w:vMerge w:val="restart"/>
            <w:tcBorders>
              <w:left w:val="single" w:color="auto" w:sz="4" w:space="0"/>
            </w:tcBorders>
            <w:vAlign w:val="center"/>
          </w:tcPr>
          <w:p>
            <w:pPr>
              <w:pStyle w:val="30"/>
              <w:bidi w:val="0"/>
            </w:pPr>
            <w:r>
              <w:t>洞庭湖</w:t>
            </w:r>
          </w:p>
        </w:tc>
        <w:tc>
          <w:tcPr>
            <w:tcW w:w="2634" w:type="dxa"/>
            <w:tcBorders>
              <w:right w:val="single" w:color="auto" w:sz="4" w:space="0"/>
            </w:tcBorders>
            <w:vAlign w:val="center"/>
          </w:tcPr>
          <w:p>
            <w:pPr>
              <w:pStyle w:val="30"/>
              <w:bidi w:val="0"/>
            </w:pPr>
            <w:r>
              <w:t>东洞庭湖（湖体北、西、南沿岸1000米宽水域）</w:t>
            </w:r>
          </w:p>
        </w:tc>
        <w:tc>
          <w:tcPr>
            <w:tcW w:w="1134" w:type="dxa"/>
            <w:tcBorders>
              <w:left w:val="single" w:color="auto" w:sz="4" w:space="0"/>
              <w:right w:val="single" w:color="auto" w:sz="4" w:space="0"/>
            </w:tcBorders>
            <w:vAlign w:val="center"/>
          </w:tcPr>
          <w:p>
            <w:pPr>
              <w:pStyle w:val="30"/>
              <w:bidi w:val="0"/>
            </w:pPr>
            <w:r>
              <w:t>自然保护区</w:t>
            </w:r>
          </w:p>
        </w:tc>
        <w:tc>
          <w:tcPr>
            <w:tcW w:w="1899" w:type="dxa"/>
            <w:vMerge w:val="restart"/>
            <w:tcBorders>
              <w:left w:val="single" w:color="auto" w:sz="4" w:space="0"/>
            </w:tcBorders>
            <w:vAlign w:val="center"/>
          </w:tcPr>
          <w:p>
            <w:pPr>
              <w:pStyle w:val="30"/>
              <w:bidi w:val="0"/>
            </w:pPr>
            <w:r>
              <w:t>（GB3838-2002）III类标准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6</w:t>
            </w:r>
          </w:p>
        </w:tc>
        <w:tc>
          <w:tcPr>
            <w:tcW w:w="1671" w:type="dxa"/>
            <w:vMerge w:val="continue"/>
            <w:tcBorders>
              <w:right w:val="single" w:color="auto" w:sz="4" w:space="0"/>
            </w:tcBorders>
            <w:vAlign w:val="center"/>
          </w:tcPr>
          <w:p>
            <w:pPr>
              <w:pStyle w:val="30"/>
              <w:bidi w:val="0"/>
            </w:pPr>
          </w:p>
        </w:tc>
        <w:tc>
          <w:tcPr>
            <w:tcW w:w="965" w:type="dxa"/>
            <w:vMerge w:val="continue"/>
            <w:tcBorders>
              <w:left w:val="single" w:color="auto" w:sz="4" w:space="0"/>
            </w:tcBorders>
            <w:vAlign w:val="center"/>
          </w:tcPr>
          <w:p>
            <w:pPr>
              <w:pStyle w:val="30"/>
              <w:bidi w:val="0"/>
            </w:pPr>
          </w:p>
        </w:tc>
        <w:tc>
          <w:tcPr>
            <w:tcW w:w="2634" w:type="dxa"/>
            <w:tcBorders>
              <w:right w:val="single" w:color="auto" w:sz="4" w:space="0"/>
            </w:tcBorders>
            <w:vAlign w:val="center"/>
          </w:tcPr>
          <w:p>
            <w:pPr>
              <w:pStyle w:val="30"/>
              <w:bidi w:val="0"/>
            </w:pPr>
            <w:r>
              <w:rPr>
                <w:rFonts w:hint="eastAsia"/>
              </w:rPr>
              <w:t>扁山至市一水厂取水口上游</w:t>
            </w:r>
            <w:r>
              <w:t>1000米</w:t>
            </w:r>
          </w:p>
        </w:tc>
        <w:tc>
          <w:tcPr>
            <w:tcW w:w="1134" w:type="dxa"/>
            <w:tcBorders>
              <w:left w:val="single" w:color="auto" w:sz="4" w:space="0"/>
              <w:right w:val="single" w:color="auto" w:sz="4" w:space="0"/>
            </w:tcBorders>
            <w:vAlign w:val="center"/>
          </w:tcPr>
          <w:p>
            <w:pPr>
              <w:pStyle w:val="30"/>
              <w:bidi w:val="0"/>
            </w:pPr>
            <w:r>
              <w:rPr>
                <w:rFonts w:hint="eastAsia"/>
              </w:rPr>
              <w:t>饮用水水源保护区</w:t>
            </w:r>
          </w:p>
        </w:tc>
        <w:tc>
          <w:tcPr>
            <w:tcW w:w="1899" w:type="dxa"/>
            <w:vMerge w:val="continue"/>
            <w:tcBorders>
              <w:left w:val="single" w:color="auto" w:sz="4" w:space="0"/>
            </w:tcBorders>
            <w:vAlign w:val="center"/>
          </w:tcPr>
          <w:p>
            <w:pPr>
              <w:pStyle w:val="30"/>
              <w:bidi w:val="0"/>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7</w:t>
            </w:r>
          </w:p>
        </w:tc>
        <w:tc>
          <w:tcPr>
            <w:tcW w:w="1671" w:type="dxa"/>
            <w:vMerge w:val="continue"/>
            <w:tcBorders>
              <w:right w:val="single" w:color="auto" w:sz="4" w:space="0"/>
            </w:tcBorders>
            <w:vAlign w:val="center"/>
          </w:tcPr>
          <w:p>
            <w:pPr>
              <w:pStyle w:val="30"/>
              <w:bidi w:val="0"/>
            </w:pPr>
          </w:p>
        </w:tc>
        <w:tc>
          <w:tcPr>
            <w:tcW w:w="965" w:type="dxa"/>
            <w:vMerge w:val="continue"/>
            <w:tcBorders>
              <w:left w:val="single" w:color="auto" w:sz="4" w:space="0"/>
            </w:tcBorders>
            <w:vAlign w:val="center"/>
          </w:tcPr>
          <w:p>
            <w:pPr>
              <w:pStyle w:val="30"/>
              <w:bidi w:val="0"/>
            </w:pPr>
          </w:p>
        </w:tc>
        <w:tc>
          <w:tcPr>
            <w:tcW w:w="2634" w:type="dxa"/>
            <w:tcBorders>
              <w:right w:val="single" w:color="auto" w:sz="4" w:space="0"/>
            </w:tcBorders>
            <w:vAlign w:val="center"/>
          </w:tcPr>
          <w:p>
            <w:pPr>
              <w:pStyle w:val="30"/>
              <w:bidi w:val="0"/>
            </w:pPr>
            <w:r>
              <w:rPr>
                <w:rFonts w:hint="eastAsia"/>
              </w:rPr>
              <w:t>市一水厂取水口下游200米至洞庭渔都</w:t>
            </w:r>
          </w:p>
        </w:tc>
        <w:tc>
          <w:tcPr>
            <w:tcW w:w="1134" w:type="dxa"/>
            <w:tcBorders>
              <w:left w:val="single" w:color="auto" w:sz="4" w:space="0"/>
              <w:right w:val="single" w:color="auto" w:sz="4" w:space="0"/>
            </w:tcBorders>
            <w:vAlign w:val="center"/>
          </w:tcPr>
          <w:p>
            <w:pPr>
              <w:pStyle w:val="30"/>
              <w:bidi w:val="0"/>
            </w:pPr>
            <w:r>
              <w:rPr>
                <w:rFonts w:hint="eastAsia"/>
              </w:rPr>
              <w:t>饮用水水源保护区</w:t>
            </w:r>
          </w:p>
        </w:tc>
        <w:tc>
          <w:tcPr>
            <w:tcW w:w="1899" w:type="dxa"/>
            <w:vMerge w:val="continue"/>
            <w:tcBorders>
              <w:left w:val="single" w:color="auto" w:sz="4" w:space="0"/>
            </w:tcBorders>
            <w:vAlign w:val="center"/>
          </w:tcPr>
          <w:p>
            <w:pPr>
              <w:pStyle w:val="30"/>
              <w:bidi w:val="0"/>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8</w:t>
            </w:r>
          </w:p>
        </w:tc>
        <w:tc>
          <w:tcPr>
            <w:tcW w:w="1671" w:type="dxa"/>
            <w:vMerge w:val="continue"/>
            <w:tcBorders>
              <w:right w:val="single" w:color="auto" w:sz="4" w:space="0"/>
            </w:tcBorders>
            <w:vAlign w:val="center"/>
          </w:tcPr>
          <w:p>
            <w:pPr>
              <w:pStyle w:val="30"/>
              <w:bidi w:val="0"/>
            </w:pPr>
          </w:p>
        </w:tc>
        <w:tc>
          <w:tcPr>
            <w:tcW w:w="965" w:type="dxa"/>
            <w:vMerge w:val="continue"/>
            <w:tcBorders>
              <w:left w:val="single" w:color="auto" w:sz="4" w:space="0"/>
            </w:tcBorders>
            <w:vAlign w:val="center"/>
          </w:tcPr>
          <w:p>
            <w:pPr>
              <w:pStyle w:val="30"/>
              <w:bidi w:val="0"/>
            </w:pPr>
          </w:p>
        </w:tc>
        <w:tc>
          <w:tcPr>
            <w:tcW w:w="2634" w:type="dxa"/>
            <w:tcBorders>
              <w:right w:val="single" w:color="auto" w:sz="4" w:space="0"/>
            </w:tcBorders>
            <w:vAlign w:val="center"/>
          </w:tcPr>
          <w:p>
            <w:pPr>
              <w:pStyle w:val="30"/>
              <w:bidi w:val="0"/>
            </w:pPr>
            <w:r>
              <w:t>东洞庭湖湖体（不包括北、西、南沿岸1000米宽水域）</w:t>
            </w:r>
          </w:p>
        </w:tc>
        <w:tc>
          <w:tcPr>
            <w:tcW w:w="1134" w:type="dxa"/>
            <w:tcBorders>
              <w:left w:val="single" w:color="auto" w:sz="4" w:space="0"/>
              <w:right w:val="single" w:color="auto" w:sz="4" w:space="0"/>
            </w:tcBorders>
            <w:vAlign w:val="center"/>
          </w:tcPr>
          <w:p>
            <w:pPr>
              <w:pStyle w:val="30"/>
              <w:bidi w:val="0"/>
            </w:pPr>
            <w:r>
              <w:t>自然保护区</w:t>
            </w:r>
          </w:p>
        </w:tc>
        <w:tc>
          <w:tcPr>
            <w:tcW w:w="1899" w:type="dxa"/>
            <w:vMerge w:val="restart"/>
            <w:tcBorders>
              <w:left w:val="single" w:color="auto" w:sz="4" w:space="0"/>
            </w:tcBorders>
            <w:vAlign w:val="center"/>
          </w:tcPr>
          <w:p>
            <w:pPr>
              <w:pStyle w:val="30"/>
              <w:bidi w:val="0"/>
            </w:pPr>
            <w:r>
              <w:t>（GB3838-2002）II类标准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9</w:t>
            </w:r>
          </w:p>
        </w:tc>
        <w:tc>
          <w:tcPr>
            <w:tcW w:w="1671" w:type="dxa"/>
            <w:vMerge w:val="continue"/>
            <w:tcBorders>
              <w:right w:val="single" w:color="auto" w:sz="4" w:space="0"/>
            </w:tcBorders>
            <w:vAlign w:val="center"/>
          </w:tcPr>
          <w:p>
            <w:pPr>
              <w:pStyle w:val="30"/>
              <w:bidi w:val="0"/>
            </w:pPr>
          </w:p>
        </w:tc>
        <w:tc>
          <w:tcPr>
            <w:tcW w:w="965" w:type="dxa"/>
            <w:vMerge w:val="continue"/>
            <w:tcBorders>
              <w:left w:val="single" w:color="auto" w:sz="4" w:space="0"/>
            </w:tcBorders>
            <w:vAlign w:val="center"/>
          </w:tcPr>
          <w:p>
            <w:pPr>
              <w:pStyle w:val="30"/>
              <w:bidi w:val="0"/>
            </w:pPr>
          </w:p>
        </w:tc>
        <w:tc>
          <w:tcPr>
            <w:tcW w:w="2634" w:type="dxa"/>
            <w:tcBorders>
              <w:right w:val="single" w:color="auto" w:sz="4" w:space="0"/>
            </w:tcBorders>
            <w:vAlign w:val="center"/>
          </w:tcPr>
          <w:p>
            <w:pPr>
              <w:pStyle w:val="30"/>
              <w:bidi w:val="0"/>
            </w:pPr>
            <w:r>
              <w:rPr>
                <w:rFonts w:hint="eastAsia"/>
              </w:rPr>
              <w:t>市一水厂取水口上游1000米至下游200米</w:t>
            </w:r>
          </w:p>
        </w:tc>
        <w:tc>
          <w:tcPr>
            <w:tcW w:w="1134" w:type="dxa"/>
            <w:tcBorders>
              <w:left w:val="single" w:color="auto" w:sz="4" w:space="0"/>
              <w:right w:val="single" w:color="auto" w:sz="4" w:space="0"/>
            </w:tcBorders>
            <w:vAlign w:val="center"/>
          </w:tcPr>
          <w:p>
            <w:pPr>
              <w:pStyle w:val="30"/>
              <w:bidi w:val="0"/>
            </w:pPr>
            <w:r>
              <w:rPr>
                <w:rFonts w:hint="eastAsia"/>
              </w:rPr>
              <w:t>饮用水水源保护区</w:t>
            </w:r>
          </w:p>
        </w:tc>
        <w:tc>
          <w:tcPr>
            <w:tcW w:w="1899" w:type="dxa"/>
            <w:vMerge w:val="continue"/>
            <w:tcBorders>
              <w:left w:val="single" w:color="auto" w:sz="4" w:space="0"/>
            </w:tcBorders>
            <w:vAlign w:val="center"/>
          </w:tcPr>
          <w:p>
            <w:pPr>
              <w:pStyle w:val="30"/>
              <w:bidi w:val="0"/>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10</w:t>
            </w:r>
          </w:p>
        </w:tc>
        <w:tc>
          <w:tcPr>
            <w:tcW w:w="1671" w:type="dxa"/>
            <w:vMerge w:val="continue"/>
            <w:tcBorders>
              <w:right w:val="single" w:color="auto" w:sz="4" w:space="0"/>
            </w:tcBorders>
            <w:vAlign w:val="center"/>
          </w:tcPr>
          <w:p>
            <w:pPr>
              <w:pStyle w:val="30"/>
              <w:bidi w:val="0"/>
            </w:pPr>
          </w:p>
        </w:tc>
        <w:tc>
          <w:tcPr>
            <w:tcW w:w="3599" w:type="dxa"/>
            <w:gridSpan w:val="2"/>
            <w:tcBorders>
              <w:left w:val="single" w:color="auto" w:sz="4" w:space="0"/>
              <w:right w:val="single" w:color="auto" w:sz="4" w:space="0"/>
            </w:tcBorders>
            <w:vAlign w:val="center"/>
          </w:tcPr>
          <w:p>
            <w:pPr>
              <w:pStyle w:val="30"/>
              <w:bidi w:val="0"/>
            </w:pPr>
            <w:r>
              <w:t>濠河</w:t>
            </w:r>
          </w:p>
        </w:tc>
        <w:tc>
          <w:tcPr>
            <w:tcW w:w="1134" w:type="dxa"/>
            <w:tcBorders>
              <w:left w:val="single" w:color="auto" w:sz="4" w:space="0"/>
              <w:right w:val="single" w:color="auto" w:sz="4" w:space="0"/>
            </w:tcBorders>
            <w:vAlign w:val="center"/>
          </w:tcPr>
          <w:p>
            <w:pPr>
              <w:pStyle w:val="30"/>
              <w:bidi w:val="0"/>
            </w:pPr>
            <w:r>
              <w:rPr>
                <w:rFonts w:hint="eastAsia"/>
              </w:rPr>
              <w:t>调蓄湖</w:t>
            </w:r>
          </w:p>
        </w:tc>
        <w:tc>
          <w:tcPr>
            <w:tcW w:w="1899" w:type="dxa"/>
            <w:tcBorders>
              <w:left w:val="single" w:color="auto" w:sz="4" w:space="0"/>
            </w:tcBorders>
            <w:vAlign w:val="center"/>
          </w:tcPr>
          <w:p>
            <w:pPr>
              <w:pStyle w:val="30"/>
              <w:bidi w:val="0"/>
            </w:pPr>
            <w:r>
              <w:t>（GB3838-2002）III类标准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t>11</w:t>
            </w:r>
          </w:p>
        </w:tc>
        <w:tc>
          <w:tcPr>
            <w:tcW w:w="2636" w:type="dxa"/>
            <w:gridSpan w:val="2"/>
            <w:vAlign w:val="center"/>
          </w:tcPr>
          <w:p>
            <w:pPr>
              <w:pStyle w:val="30"/>
              <w:bidi w:val="0"/>
            </w:pPr>
            <w:r>
              <w:t>是否基本农田保护区</w:t>
            </w:r>
          </w:p>
        </w:tc>
        <w:tc>
          <w:tcPr>
            <w:tcW w:w="5667" w:type="dxa"/>
            <w:gridSpan w:val="3"/>
            <w:vAlign w:val="center"/>
          </w:tcPr>
          <w:p>
            <w:pPr>
              <w:pStyle w:val="30"/>
              <w:bidi w:val="0"/>
            </w:pPr>
            <w: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t>12</w:t>
            </w:r>
          </w:p>
        </w:tc>
        <w:tc>
          <w:tcPr>
            <w:tcW w:w="2636" w:type="dxa"/>
            <w:gridSpan w:val="2"/>
            <w:vAlign w:val="center"/>
          </w:tcPr>
          <w:p>
            <w:pPr>
              <w:pStyle w:val="30"/>
              <w:bidi w:val="0"/>
            </w:pPr>
            <w:r>
              <w:t>是否森林公园</w:t>
            </w:r>
          </w:p>
        </w:tc>
        <w:tc>
          <w:tcPr>
            <w:tcW w:w="5667" w:type="dxa"/>
            <w:gridSpan w:val="3"/>
            <w:vAlign w:val="center"/>
          </w:tcPr>
          <w:p>
            <w:pPr>
              <w:pStyle w:val="30"/>
              <w:bidi w:val="0"/>
            </w:pPr>
            <w: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t>13</w:t>
            </w:r>
          </w:p>
        </w:tc>
        <w:tc>
          <w:tcPr>
            <w:tcW w:w="2636" w:type="dxa"/>
            <w:gridSpan w:val="2"/>
            <w:vAlign w:val="center"/>
          </w:tcPr>
          <w:p>
            <w:pPr>
              <w:pStyle w:val="30"/>
              <w:bidi w:val="0"/>
            </w:pPr>
            <w:r>
              <w:t>是否生态功能保护区</w:t>
            </w:r>
          </w:p>
        </w:tc>
        <w:tc>
          <w:tcPr>
            <w:tcW w:w="5667" w:type="dxa"/>
            <w:gridSpan w:val="3"/>
            <w:vAlign w:val="center"/>
          </w:tcPr>
          <w:p>
            <w:pPr>
              <w:pStyle w:val="30"/>
              <w:bidi w:val="0"/>
            </w:pPr>
            <w:r>
              <w:rPr>
                <w:rFonts w:hint="eastAsia"/>
              </w:rPr>
              <w:t>是</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14</w:t>
            </w:r>
          </w:p>
        </w:tc>
        <w:tc>
          <w:tcPr>
            <w:tcW w:w="2636" w:type="dxa"/>
            <w:gridSpan w:val="2"/>
            <w:vAlign w:val="center"/>
          </w:tcPr>
          <w:p>
            <w:pPr>
              <w:pStyle w:val="30"/>
              <w:bidi w:val="0"/>
            </w:pPr>
            <w:r>
              <w:t>是否水土流失重点防治区</w:t>
            </w:r>
          </w:p>
        </w:tc>
        <w:tc>
          <w:tcPr>
            <w:tcW w:w="5667" w:type="dxa"/>
            <w:gridSpan w:val="3"/>
            <w:vAlign w:val="center"/>
          </w:tcPr>
          <w:p>
            <w:pPr>
              <w:pStyle w:val="30"/>
              <w:bidi w:val="0"/>
            </w:pPr>
            <w: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15</w:t>
            </w:r>
          </w:p>
        </w:tc>
        <w:tc>
          <w:tcPr>
            <w:tcW w:w="2636" w:type="dxa"/>
            <w:gridSpan w:val="2"/>
            <w:vAlign w:val="center"/>
          </w:tcPr>
          <w:p>
            <w:pPr>
              <w:pStyle w:val="30"/>
              <w:bidi w:val="0"/>
            </w:pPr>
            <w:r>
              <w:t>是否人口密集区</w:t>
            </w:r>
          </w:p>
        </w:tc>
        <w:tc>
          <w:tcPr>
            <w:tcW w:w="5667" w:type="dxa"/>
            <w:gridSpan w:val="3"/>
            <w:vAlign w:val="center"/>
          </w:tcPr>
          <w:p>
            <w:pPr>
              <w:pStyle w:val="30"/>
              <w:bidi w:val="0"/>
            </w:pPr>
            <w: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16</w:t>
            </w:r>
          </w:p>
        </w:tc>
        <w:tc>
          <w:tcPr>
            <w:tcW w:w="2636" w:type="dxa"/>
            <w:gridSpan w:val="2"/>
            <w:vAlign w:val="center"/>
          </w:tcPr>
          <w:p>
            <w:pPr>
              <w:pStyle w:val="30"/>
              <w:bidi w:val="0"/>
            </w:pPr>
            <w:r>
              <w:t>是否重点文物保护单位</w:t>
            </w:r>
          </w:p>
        </w:tc>
        <w:tc>
          <w:tcPr>
            <w:tcW w:w="5667" w:type="dxa"/>
            <w:gridSpan w:val="3"/>
            <w:vAlign w:val="center"/>
          </w:tcPr>
          <w:p>
            <w:pPr>
              <w:pStyle w:val="30"/>
              <w:bidi w:val="0"/>
            </w:pPr>
            <w: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17</w:t>
            </w:r>
          </w:p>
        </w:tc>
        <w:tc>
          <w:tcPr>
            <w:tcW w:w="2636" w:type="dxa"/>
            <w:gridSpan w:val="2"/>
            <w:vAlign w:val="center"/>
          </w:tcPr>
          <w:p>
            <w:pPr>
              <w:pStyle w:val="30"/>
              <w:bidi w:val="0"/>
            </w:pPr>
            <w:r>
              <w:t>是否三河、三湖、两控区</w:t>
            </w:r>
          </w:p>
        </w:tc>
        <w:tc>
          <w:tcPr>
            <w:tcW w:w="5667" w:type="dxa"/>
            <w:gridSpan w:val="3"/>
            <w:vAlign w:val="center"/>
          </w:tcPr>
          <w:p>
            <w:pPr>
              <w:pStyle w:val="30"/>
              <w:bidi w:val="0"/>
            </w:pPr>
            <w:r>
              <w:t>是（两控区）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18</w:t>
            </w:r>
          </w:p>
        </w:tc>
        <w:tc>
          <w:tcPr>
            <w:tcW w:w="2636" w:type="dxa"/>
            <w:gridSpan w:val="2"/>
            <w:vAlign w:val="center"/>
          </w:tcPr>
          <w:p>
            <w:pPr>
              <w:pStyle w:val="30"/>
              <w:bidi w:val="0"/>
            </w:pPr>
            <w:r>
              <w:t>是否水库库区</w:t>
            </w:r>
          </w:p>
        </w:tc>
        <w:tc>
          <w:tcPr>
            <w:tcW w:w="5667" w:type="dxa"/>
            <w:gridSpan w:val="3"/>
            <w:vAlign w:val="center"/>
          </w:tcPr>
          <w:p>
            <w:pPr>
              <w:pStyle w:val="30"/>
              <w:bidi w:val="0"/>
            </w:pPr>
            <w: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19</w:t>
            </w:r>
          </w:p>
        </w:tc>
        <w:tc>
          <w:tcPr>
            <w:tcW w:w="2636" w:type="dxa"/>
            <w:gridSpan w:val="2"/>
            <w:vAlign w:val="center"/>
          </w:tcPr>
          <w:p>
            <w:pPr>
              <w:pStyle w:val="30"/>
              <w:bidi w:val="0"/>
            </w:pPr>
            <w:r>
              <w:t>是否污水处理厂集水范围</w:t>
            </w:r>
          </w:p>
        </w:tc>
        <w:tc>
          <w:tcPr>
            <w:tcW w:w="5667" w:type="dxa"/>
            <w:gridSpan w:val="3"/>
            <w:vAlign w:val="center"/>
          </w:tcPr>
          <w:p>
            <w:pPr>
              <w:pStyle w:val="30"/>
              <w:bidi w:val="0"/>
            </w:pPr>
            <w:r>
              <w:rPr>
                <w:rFonts w:hint="eastAsia"/>
              </w:rPr>
              <w:t>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70" w:type="dxa"/>
            <w:vAlign w:val="center"/>
          </w:tcPr>
          <w:p>
            <w:pPr>
              <w:pStyle w:val="30"/>
              <w:bidi w:val="0"/>
              <w:rPr>
                <w:rFonts w:ascii="Times New Roman" w:hAnsi="Times New Roman" w:eastAsia="宋体" w:cstheme="minorBidi"/>
                <w:snapToGrid w:val="0"/>
                <w:sz w:val="21"/>
                <w:szCs w:val="24"/>
                <w:lang w:val="en-US" w:eastAsia="zh-CN" w:bidi="ar-SA"/>
              </w:rPr>
            </w:pPr>
            <w:r>
              <w:rPr>
                <w:rFonts w:hint="eastAsia"/>
              </w:rPr>
              <w:t>20</w:t>
            </w:r>
          </w:p>
        </w:tc>
        <w:tc>
          <w:tcPr>
            <w:tcW w:w="2636" w:type="dxa"/>
            <w:gridSpan w:val="2"/>
            <w:vAlign w:val="center"/>
          </w:tcPr>
          <w:p>
            <w:pPr>
              <w:pStyle w:val="30"/>
              <w:bidi w:val="0"/>
            </w:pPr>
            <w:r>
              <w:t>是否属于生态敏感</w:t>
            </w:r>
          </w:p>
          <w:p>
            <w:pPr>
              <w:pStyle w:val="30"/>
              <w:bidi w:val="0"/>
            </w:pPr>
            <w:r>
              <w:t>与脆弱区</w:t>
            </w:r>
          </w:p>
        </w:tc>
        <w:tc>
          <w:tcPr>
            <w:tcW w:w="5667" w:type="dxa"/>
            <w:gridSpan w:val="3"/>
            <w:vAlign w:val="center"/>
          </w:tcPr>
          <w:p>
            <w:pPr>
              <w:pStyle w:val="30"/>
              <w:bidi w:val="0"/>
            </w:pPr>
            <w:r>
              <w:rPr>
                <w:rFonts w:hint="eastAsia"/>
              </w:rPr>
              <w:t>是</w:t>
            </w:r>
          </w:p>
        </w:tc>
      </w:tr>
    </w:tbl>
    <w:p>
      <w:pPr>
        <w:pStyle w:val="4"/>
        <w:bidi w:val="0"/>
      </w:pPr>
      <w:bookmarkStart w:id="105" w:name="_Toc17977"/>
      <w:bookmarkStart w:id="106" w:name="_Toc21546"/>
      <w:r>
        <w:rPr>
          <w:rFonts w:hint="eastAsia"/>
        </w:rPr>
        <w:t>环境质量现状调查与评价</w:t>
      </w:r>
      <w:bookmarkEnd w:id="105"/>
      <w:bookmarkEnd w:id="106"/>
    </w:p>
    <w:p>
      <w:pPr>
        <w:pStyle w:val="2"/>
        <w:bidi w:val="0"/>
      </w:pPr>
      <w:r>
        <w:t>环境空气质量现状</w:t>
      </w:r>
    </w:p>
    <w:p>
      <w:pPr>
        <w:bidi w:val="0"/>
        <w:rPr>
          <w:u w:val="single"/>
        </w:rPr>
      </w:pPr>
      <w:r>
        <w:rPr>
          <w:rFonts w:hint="eastAsia"/>
          <w:u w:val="single"/>
        </w:rPr>
        <w:t>达标区判定</w:t>
      </w:r>
      <w:r>
        <w:rPr>
          <w:u w:val="single"/>
        </w:rPr>
        <w:t>：</w:t>
      </w:r>
    </w:p>
    <w:p>
      <w:pPr>
        <w:bidi w:val="0"/>
        <w:rPr>
          <w:u w:val="single"/>
        </w:rPr>
      </w:pPr>
      <w:r>
        <w:rPr>
          <w:u w:val="single"/>
        </w:rPr>
        <w:t>项目所在区域达标判定数据来源于岳阳市环境保护局发布的《岳阳市二〇一八年 度环境质量公报》，根据该公报，岳阳市2018年区域环境空气质量数据见下表。</w:t>
      </w:r>
    </w:p>
    <w:p>
      <w:pPr>
        <w:pStyle w:val="29"/>
        <w:bidi w:val="0"/>
        <w:rPr>
          <w:u w:val="single"/>
        </w:rPr>
      </w:pPr>
      <w:r>
        <w:rPr>
          <w:u w:val="single"/>
        </w:rPr>
        <w:t>表5.</w:t>
      </w:r>
      <w:r>
        <w:rPr>
          <w:rFonts w:hint="eastAsia"/>
          <w:u w:val="single"/>
          <w:lang w:val="en-US" w:eastAsia="zh-CN"/>
        </w:rPr>
        <w:t>2</w:t>
      </w:r>
      <w:r>
        <w:rPr>
          <w:u w:val="single"/>
        </w:rPr>
        <w:t>-1 岳阳市空气质量现状评价表</w:t>
      </w:r>
    </w:p>
    <w:tbl>
      <w:tblPr>
        <w:tblStyle w:val="21"/>
        <w:tblW w:w="929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958"/>
        <w:gridCol w:w="3545"/>
        <w:gridCol w:w="1136"/>
        <w:gridCol w:w="1312"/>
        <w:gridCol w:w="1237"/>
        <w:gridCol w:w="110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58" w:type="dxa"/>
            <w:tcBorders>
              <w:tl2br w:val="nil"/>
              <w:tr2bl w:val="nil"/>
            </w:tcBorders>
            <w:noWrap w:val="0"/>
            <w:vAlign w:val="center"/>
          </w:tcPr>
          <w:p>
            <w:pPr>
              <w:pStyle w:val="30"/>
              <w:bidi w:val="0"/>
              <w:rPr>
                <w:u w:val="single"/>
              </w:rPr>
            </w:pPr>
            <w:r>
              <w:rPr>
                <w:u w:val="single"/>
              </w:rPr>
              <w:t>污染物</w:t>
            </w:r>
          </w:p>
        </w:tc>
        <w:tc>
          <w:tcPr>
            <w:tcW w:w="3545" w:type="dxa"/>
            <w:tcBorders>
              <w:tl2br w:val="nil"/>
              <w:tr2bl w:val="nil"/>
            </w:tcBorders>
            <w:noWrap w:val="0"/>
            <w:vAlign w:val="center"/>
          </w:tcPr>
          <w:p>
            <w:pPr>
              <w:pStyle w:val="30"/>
              <w:bidi w:val="0"/>
              <w:rPr>
                <w:u w:val="single"/>
              </w:rPr>
            </w:pPr>
            <w:r>
              <w:rPr>
                <w:u w:val="single"/>
              </w:rPr>
              <w:t>年评价指标</w:t>
            </w:r>
          </w:p>
        </w:tc>
        <w:tc>
          <w:tcPr>
            <w:tcW w:w="1136" w:type="dxa"/>
            <w:tcBorders>
              <w:tl2br w:val="nil"/>
              <w:tr2bl w:val="nil"/>
            </w:tcBorders>
            <w:noWrap w:val="0"/>
            <w:vAlign w:val="center"/>
          </w:tcPr>
          <w:p>
            <w:pPr>
              <w:pStyle w:val="30"/>
              <w:bidi w:val="0"/>
              <w:rPr>
                <w:u w:val="single"/>
              </w:rPr>
            </w:pPr>
            <w:r>
              <w:rPr>
                <w:u w:val="single"/>
              </w:rPr>
              <w:t>现状浓度（μg/m³）</w:t>
            </w:r>
          </w:p>
        </w:tc>
        <w:tc>
          <w:tcPr>
            <w:tcW w:w="1312" w:type="dxa"/>
            <w:tcBorders>
              <w:tl2br w:val="nil"/>
              <w:tr2bl w:val="nil"/>
            </w:tcBorders>
            <w:noWrap w:val="0"/>
            <w:vAlign w:val="center"/>
          </w:tcPr>
          <w:p>
            <w:pPr>
              <w:pStyle w:val="30"/>
              <w:bidi w:val="0"/>
              <w:rPr>
                <w:u w:val="single"/>
              </w:rPr>
            </w:pPr>
            <w:r>
              <w:rPr>
                <w:u w:val="single"/>
              </w:rPr>
              <w:t>标准值</w:t>
            </w:r>
          </w:p>
          <w:p>
            <w:pPr>
              <w:pStyle w:val="30"/>
              <w:bidi w:val="0"/>
              <w:rPr>
                <w:u w:val="single"/>
              </w:rPr>
            </w:pPr>
            <w:r>
              <w:rPr>
                <w:u w:val="single"/>
              </w:rPr>
              <w:t>（μg/m³）</w:t>
            </w:r>
          </w:p>
        </w:tc>
        <w:tc>
          <w:tcPr>
            <w:tcW w:w="1237" w:type="dxa"/>
            <w:tcBorders>
              <w:tl2br w:val="nil"/>
              <w:tr2bl w:val="nil"/>
            </w:tcBorders>
            <w:noWrap w:val="0"/>
            <w:vAlign w:val="center"/>
          </w:tcPr>
          <w:p>
            <w:pPr>
              <w:pStyle w:val="30"/>
              <w:bidi w:val="0"/>
              <w:rPr>
                <w:u w:val="single"/>
              </w:rPr>
            </w:pPr>
            <w:r>
              <w:rPr>
                <w:u w:val="single"/>
              </w:rPr>
              <w:t>占标率/%</w:t>
            </w:r>
          </w:p>
        </w:tc>
        <w:tc>
          <w:tcPr>
            <w:tcW w:w="1102" w:type="dxa"/>
            <w:tcBorders>
              <w:tl2br w:val="nil"/>
              <w:tr2bl w:val="nil"/>
            </w:tcBorders>
            <w:noWrap w:val="0"/>
            <w:vAlign w:val="center"/>
          </w:tcPr>
          <w:p>
            <w:pPr>
              <w:pStyle w:val="30"/>
              <w:bidi w:val="0"/>
              <w:rPr>
                <w:u w:val="single"/>
              </w:rPr>
            </w:pPr>
            <w:r>
              <w:rPr>
                <w:u w:val="single"/>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58" w:type="dxa"/>
            <w:tcBorders>
              <w:tl2br w:val="nil"/>
              <w:tr2bl w:val="nil"/>
            </w:tcBorders>
            <w:noWrap w:val="0"/>
            <w:vAlign w:val="center"/>
          </w:tcPr>
          <w:p>
            <w:pPr>
              <w:pStyle w:val="30"/>
              <w:bidi w:val="0"/>
              <w:rPr>
                <w:rFonts w:hint="eastAsia" w:eastAsia="宋体"/>
                <w:u w:val="single"/>
                <w:lang w:eastAsia="zh-CN"/>
              </w:rPr>
            </w:pPr>
            <w:r>
              <w:rPr>
                <w:rFonts w:hint="eastAsia"/>
                <w:u w:val="single"/>
                <w:lang w:eastAsia="zh-CN"/>
              </w:rPr>
              <w:t>SO</w:t>
            </w:r>
            <w:r>
              <w:rPr>
                <w:rFonts w:hint="eastAsia"/>
                <w:u w:val="single"/>
                <w:vertAlign w:val="subscript"/>
                <w:lang w:eastAsia="zh-CN"/>
              </w:rPr>
              <w:t>2</w:t>
            </w:r>
          </w:p>
        </w:tc>
        <w:tc>
          <w:tcPr>
            <w:tcW w:w="3545" w:type="dxa"/>
            <w:tcBorders>
              <w:tl2br w:val="nil"/>
              <w:tr2bl w:val="nil"/>
            </w:tcBorders>
            <w:noWrap w:val="0"/>
            <w:vAlign w:val="center"/>
          </w:tcPr>
          <w:p>
            <w:pPr>
              <w:pStyle w:val="30"/>
              <w:bidi w:val="0"/>
              <w:rPr>
                <w:u w:val="single"/>
              </w:rPr>
            </w:pPr>
            <w:r>
              <w:rPr>
                <w:u w:val="single"/>
              </w:rPr>
              <w:t>年平均质量浓度</w:t>
            </w:r>
          </w:p>
        </w:tc>
        <w:tc>
          <w:tcPr>
            <w:tcW w:w="1136" w:type="dxa"/>
            <w:tcBorders>
              <w:tl2br w:val="nil"/>
              <w:tr2bl w:val="nil"/>
            </w:tcBorders>
            <w:noWrap w:val="0"/>
            <w:vAlign w:val="center"/>
          </w:tcPr>
          <w:p>
            <w:pPr>
              <w:pStyle w:val="30"/>
              <w:bidi w:val="0"/>
              <w:rPr>
                <w:u w:val="single"/>
              </w:rPr>
            </w:pPr>
            <w:r>
              <w:rPr>
                <w:u w:val="single"/>
              </w:rPr>
              <w:t>10</w:t>
            </w:r>
          </w:p>
        </w:tc>
        <w:tc>
          <w:tcPr>
            <w:tcW w:w="1312" w:type="dxa"/>
            <w:tcBorders>
              <w:tl2br w:val="nil"/>
              <w:tr2bl w:val="nil"/>
            </w:tcBorders>
            <w:noWrap w:val="0"/>
            <w:vAlign w:val="center"/>
          </w:tcPr>
          <w:p>
            <w:pPr>
              <w:pStyle w:val="30"/>
              <w:bidi w:val="0"/>
              <w:rPr>
                <w:u w:val="single"/>
              </w:rPr>
            </w:pPr>
            <w:r>
              <w:rPr>
                <w:u w:val="single"/>
              </w:rPr>
              <w:t>60</w:t>
            </w:r>
          </w:p>
        </w:tc>
        <w:tc>
          <w:tcPr>
            <w:tcW w:w="1237" w:type="dxa"/>
            <w:tcBorders>
              <w:tl2br w:val="nil"/>
              <w:tr2bl w:val="nil"/>
            </w:tcBorders>
            <w:noWrap w:val="0"/>
            <w:vAlign w:val="center"/>
          </w:tcPr>
          <w:p>
            <w:pPr>
              <w:pStyle w:val="30"/>
              <w:bidi w:val="0"/>
              <w:rPr>
                <w:u w:val="single"/>
              </w:rPr>
            </w:pPr>
            <w:r>
              <w:rPr>
                <w:u w:val="single"/>
              </w:rPr>
              <w:t>16.7</w:t>
            </w:r>
          </w:p>
        </w:tc>
        <w:tc>
          <w:tcPr>
            <w:tcW w:w="1102" w:type="dxa"/>
            <w:vMerge w:val="restart"/>
            <w:tcBorders>
              <w:tl2br w:val="nil"/>
              <w:tr2bl w:val="nil"/>
            </w:tcBorders>
            <w:noWrap w:val="0"/>
            <w:vAlign w:val="center"/>
          </w:tcPr>
          <w:p>
            <w:pPr>
              <w:pStyle w:val="30"/>
              <w:bidi w:val="0"/>
              <w:rPr>
                <w:u w:val="single"/>
              </w:rPr>
            </w:pPr>
            <w:r>
              <w:rPr>
                <w:u w:val="single"/>
              </w:rPr>
              <w:t>不达标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58" w:type="dxa"/>
            <w:tcBorders>
              <w:tl2br w:val="nil"/>
              <w:tr2bl w:val="nil"/>
            </w:tcBorders>
            <w:noWrap w:val="0"/>
            <w:vAlign w:val="center"/>
          </w:tcPr>
          <w:p>
            <w:pPr>
              <w:pStyle w:val="30"/>
              <w:bidi w:val="0"/>
              <w:rPr>
                <w:rFonts w:hint="eastAsia" w:eastAsia="宋体"/>
                <w:u w:val="single"/>
                <w:lang w:eastAsia="zh-CN"/>
              </w:rPr>
            </w:pPr>
            <w:r>
              <w:rPr>
                <w:rFonts w:hint="eastAsia"/>
                <w:u w:val="single"/>
                <w:lang w:eastAsia="zh-CN"/>
              </w:rPr>
              <w:t>NO</w:t>
            </w:r>
            <w:r>
              <w:rPr>
                <w:rFonts w:hint="eastAsia"/>
                <w:u w:val="single"/>
                <w:vertAlign w:val="subscript"/>
                <w:lang w:eastAsia="zh-CN"/>
              </w:rPr>
              <w:t>2</w:t>
            </w:r>
          </w:p>
        </w:tc>
        <w:tc>
          <w:tcPr>
            <w:tcW w:w="3545" w:type="dxa"/>
            <w:tcBorders>
              <w:tl2br w:val="nil"/>
              <w:tr2bl w:val="nil"/>
            </w:tcBorders>
            <w:noWrap w:val="0"/>
            <w:vAlign w:val="center"/>
          </w:tcPr>
          <w:p>
            <w:pPr>
              <w:pStyle w:val="30"/>
              <w:bidi w:val="0"/>
              <w:rPr>
                <w:u w:val="single"/>
              </w:rPr>
            </w:pPr>
            <w:r>
              <w:rPr>
                <w:u w:val="single"/>
              </w:rPr>
              <w:t>年平均质量浓度</w:t>
            </w:r>
          </w:p>
        </w:tc>
        <w:tc>
          <w:tcPr>
            <w:tcW w:w="1136" w:type="dxa"/>
            <w:tcBorders>
              <w:tl2br w:val="nil"/>
              <w:tr2bl w:val="nil"/>
            </w:tcBorders>
            <w:noWrap w:val="0"/>
            <w:vAlign w:val="center"/>
          </w:tcPr>
          <w:p>
            <w:pPr>
              <w:pStyle w:val="30"/>
              <w:bidi w:val="0"/>
              <w:rPr>
                <w:u w:val="single"/>
              </w:rPr>
            </w:pPr>
            <w:r>
              <w:rPr>
                <w:u w:val="single"/>
              </w:rPr>
              <w:t>23</w:t>
            </w:r>
          </w:p>
        </w:tc>
        <w:tc>
          <w:tcPr>
            <w:tcW w:w="1312" w:type="dxa"/>
            <w:tcBorders>
              <w:tl2br w:val="nil"/>
              <w:tr2bl w:val="nil"/>
            </w:tcBorders>
            <w:noWrap w:val="0"/>
            <w:vAlign w:val="center"/>
          </w:tcPr>
          <w:p>
            <w:pPr>
              <w:pStyle w:val="30"/>
              <w:bidi w:val="0"/>
              <w:rPr>
                <w:u w:val="single"/>
              </w:rPr>
            </w:pPr>
            <w:r>
              <w:rPr>
                <w:u w:val="single"/>
              </w:rPr>
              <w:t>40</w:t>
            </w:r>
          </w:p>
        </w:tc>
        <w:tc>
          <w:tcPr>
            <w:tcW w:w="1237" w:type="dxa"/>
            <w:tcBorders>
              <w:tl2br w:val="nil"/>
              <w:tr2bl w:val="nil"/>
            </w:tcBorders>
            <w:noWrap w:val="0"/>
            <w:vAlign w:val="center"/>
          </w:tcPr>
          <w:p>
            <w:pPr>
              <w:pStyle w:val="30"/>
              <w:bidi w:val="0"/>
              <w:rPr>
                <w:u w:val="single"/>
              </w:rPr>
            </w:pPr>
            <w:r>
              <w:rPr>
                <w:u w:val="single"/>
              </w:rPr>
              <w:t>57.5</w:t>
            </w:r>
          </w:p>
        </w:tc>
        <w:tc>
          <w:tcPr>
            <w:tcW w:w="1102" w:type="dxa"/>
            <w:vMerge w:val="continue"/>
            <w:tcBorders>
              <w:tl2br w:val="nil"/>
              <w:tr2bl w:val="nil"/>
            </w:tcBorders>
            <w:noWrap w:val="0"/>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58" w:type="dxa"/>
            <w:tcBorders>
              <w:tl2br w:val="nil"/>
              <w:tr2bl w:val="nil"/>
            </w:tcBorders>
            <w:noWrap w:val="0"/>
            <w:vAlign w:val="center"/>
          </w:tcPr>
          <w:p>
            <w:pPr>
              <w:pStyle w:val="30"/>
              <w:bidi w:val="0"/>
              <w:rPr>
                <w:rFonts w:hint="eastAsia" w:eastAsia="宋体"/>
                <w:u w:val="single"/>
                <w:lang w:eastAsia="zh-CN"/>
              </w:rPr>
            </w:pPr>
            <w:r>
              <w:rPr>
                <w:rFonts w:hint="eastAsia"/>
                <w:u w:val="single"/>
                <w:lang w:eastAsia="zh-CN"/>
              </w:rPr>
              <w:t>PM</w:t>
            </w:r>
            <w:r>
              <w:rPr>
                <w:rFonts w:hint="eastAsia"/>
                <w:u w:val="single"/>
                <w:vertAlign w:val="subscript"/>
                <w:lang w:eastAsia="zh-CN"/>
              </w:rPr>
              <w:t>10</w:t>
            </w:r>
          </w:p>
        </w:tc>
        <w:tc>
          <w:tcPr>
            <w:tcW w:w="3545" w:type="dxa"/>
            <w:tcBorders>
              <w:tl2br w:val="nil"/>
              <w:tr2bl w:val="nil"/>
            </w:tcBorders>
            <w:noWrap w:val="0"/>
            <w:vAlign w:val="center"/>
          </w:tcPr>
          <w:p>
            <w:pPr>
              <w:pStyle w:val="30"/>
              <w:bidi w:val="0"/>
              <w:rPr>
                <w:u w:val="single"/>
              </w:rPr>
            </w:pPr>
            <w:r>
              <w:rPr>
                <w:u w:val="single"/>
              </w:rPr>
              <w:t>年平均质量浓度</w:t>
            </w:r>
          </w:p>
        </w:tc>
        <w:tc>
          <w:tcPr>
            <w:tcW w:w="1136" w:type="dxa"/>
            <w:tcBorders>
              <w:tl2br w:val="nil"/>
              <w:tr2bl w:val="nil"/>
            </w:tcBorders>
            <w:noWrap w:val="0"/>
            <w:vAlign w:val="center"/>
          </w:tcPr>
          <w:p>
            <w:pPr>
              <w:pStyle w:val="30"/>
              <w:bidi w:val="0"/>
              <w:rPr>
                <w:u w:val="single"/>
              </w:rPr>
            </w:pPr>
            <w:r>
              <w:rPr>
                <w:u w:val="single"/>
              </w:rPr>
              <w:t>72</w:t>
            </w:r>
          </w:p>
        </w:tc>
        <w:tc>
          <w:tcPr>
            <w:tcW w:w="1312" w:type="dxa"/>
            <w:tcBorders>
              <w:tl2br w:val="nil"/>
              <w:tr2bl w:val="nil"/>
            </w:tcBorders>
            <w:noWrap w:val="0"/>
            <w:vAlign w:val="center"/>
          </w:tcPr>
          <w:p>
            <w:pPr>
              <w:pStyle w:val="30"/>
              <w:bidi w:val="0"/>
              <w:rPr>
                <w:u w:val="single"/>
              </w:rPr>
            </w:pPr>
            <w:r>
              <w:rPr>
                <w:u w:val="single"/>
              </w:rPr>
              <w:t>70</w:t>
            </w:r>
          </w:p>
        </w:tc>
        <w:tc>
          <w:tcPr>
            <w:tcW w:w="1237" w:type="dxa"/>
            <w:tcBorders>
              <w:tl2br w:val="nil"/>
              <w:tr2bl w:val="nil"/>
            </w:tcBorders>
            <w:noWrap w:val="0"/>
            <w:vAlign w:val="center"/>
          </w:tcPr>
          <w:p>
            <w:pPr>
              <w:pStyle w:val="30"/>
              <w:bidi w:val="0"/>
              <w:rPr>
                <w:u w:val="single"/>
              </w:rPr>
            </w:pPr>
            <w:r>
              <w:rPr>
                <w:u w:val="single"/>
              </w:rPr>
              <w:t>102.9</w:t>
            </w:r>
          </w:p>
        </w:tc>
        <w:tc>
          <w:tcPr>
            <w:tcW w:w="1102" w:type="dxa"/>
            <w:vMerge w:val="continue"/>
            <w:tcBorders>
              <w:tl2br w:val="nil"/>
              <w:tr2bl w:val="nil"/>
            </w:tcBorders>
            <w:noWrap w:val="0"/>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58" w:type="dxa"/>
            <w:tcBorders>
              <w:tl2br w:val="nil"/>
              <w:tr2bl w:val="nil"/>
            </w:tcBorders>
            <w:noWrap w:val="0"/>
            <w:vAlign w:val="center"/>
          </w:tcPr>
          <w:p>
            <w:pPr>
              <w:pStyle w:val="30"/>
              <w:bidi w:val="0"/>
              <w:rPr>
                <w:rFonts w:hint="eastAsia" w:eastAsia="宋体"/>
                <w:u w:val="single"/>
                <w:lang w:eastAsia="zh-CN"/>
              </w:rPr>
            </w:pPr>
            <w:r>
              <w:rPr>
                <w:rFonts w:hint="eastAsia"/>
                <w:u w:val="single"/>
                <w:lang w:eastAsia="zh-CN"/>
              </w:rPr>
              <w:t>PM</w:t>
            </w:r>
            <w:r>
              <w:rPr>
                <w:rFonts w:hint="eastAsia"/>
                <w:u w:val="single"/>
                <w:vertAlign w:val="subscript"/>
                <w:lang w:eastAsia="zh-CN"/>
              </w:rPr>
              <w:t>2.5</w:t>
            </w:r>
          </w:p>
        </w:tc>
        <w:tc>
          <w:tcPr>
            <w:tcW w:w="3545" w:type="dxa"/>
            <w:tcBorders>
              <w:tl2br w:val="nil"/>
              <w:tr2bl w:val="nil"/>
            </w:tcBorders>
            <w:noWrap w:val="0"/>
            <w:vAlign w:val="center"/>
          </w:tcPr>
          <w:p>
            <w:pPr>
              <w:pStyle w:val="30"/>
              <w:bidi w:val="0"/>
              <w:rPr>
                <w:u w:val="single"/>
              </w:rPr>
            </w:pPr>
            <w:r>
              <w:rPr>
                <w:u w:val="single"/>
              </w:rPr>
              <w:t>年平均质量浓度</w:t>
            </w:r>
          </w:p>
        </w:tc>
        <w:tc>
          <w:tcPr>
            <w:tcW w:w="1136" w:type="dxa"/>
            <w:tcBorders>
              <w:tl2br w:val="nil"/>
              <w:tr2bl w:val="nil"/>
            </w:tcBorders>
            <w:noWrap w:val="0"/>
            <w:vAlign w:val="center"/>
          </w:tcPr>
          <w:p>
            <w:pPr>
              <w:pStyle w:val="30"/>
              <w:bidi w:val="0"/>
              <w:rPr>
                <w:u w:val="single"/>
              </w:rPr>
            </w:pPr>
            <w:r>
              <w:rPr>
                <w:u w:val="single"/>
              </w:rPr>
              <w:t>45</w:t>
            </w:r>
          </w:p>
        </w:tc>
        <w:tc>
          <w:tcPr>
            <w:tcW w:w="1312" w:type="dxa"/>
            <w:tcBorders>
              <w:tl2br w:val="nil"/>
              <w:tr2bl w:val="nil"/>
            </w:tcBorders>
            <w:noWrap w:val="0"/>
            <w:vAlign w:val="center"/>
          </w:tcPr>
          <w:p>
            <w:pPr>
              <w:pStyle w:val="30"/>
              <w:bidi w:val="0"/>
              <w:rPr>
                <w:u w:val="single"/>
              </w:rPr>
            </w:pPr>
            <w:r>
              <w:rPr>
                <w:u w:val="single"/>
              </w:rPr>
              <w:t>35</w:t>
            </w:r>
          </w:p>
        </w:tc>
        <w:tc>
          <w:tcPr>
            <w:tcW w:w="1237" w:type="dxa"/>
            <w:tcBorders>
              <w:tl2br w:val="nil"/>
              <w:tr2bl w:val="nil"/>
            </w:tcBorders>
            <w:noWrap w:val="0"/>
            <w:vAlign w:val="center"/>
          </w:tcPr>
          <w:p>
            <w:pPr>
              <w:pStyle w:val="30"/>
              <w:bidi w:val="0"/>
              <w:rPr>
                <w:u w:val="single"/>
              </w:rPr>
            </w:pPr>
            <w:r>
              <w:rPr>
                <w:u w:val="single"/>
              </w:rPr>
              <w:t>128.6</w:t>
            </w:r>
          </w:p>
        </w:tc>
        <w:tc>
          <w:tcPr>
            <w:tcW w:w="1102" w:type="dxa"/>
            <w:vMerge w:val="continue"/>
            <w:tcBorders>
              <w:tl2br w:val="nil"/>
              <w:tr2bl w:val="nil"/>
            </w:tcBorders>
            <w:noWrap w:val="0"/>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58" w:type="dxa"/>
            <w:tcBorders>
              <w:tl2br w:val="nil"/>
              <w:tr2bl w:val="nil"/>
            </w:tcBorders>
            <w:noWrap w:val="0"/>
            <w:vAlign w:val="center"/>
          </w:tcPr>
          <w:p>
            <w:pPr>
              <w:pStyle w:val="30"/>
              <w:bidi w:val="0"/>
              <w:rPr>
                <w:u w:val="single"/>
              </w:rPr>
            </w:pPr>
            <w:r>
              <w:rPr>
                <w:u w:val="single"/>
              </w:rPr>
              <w:t>CO</w:t>
            </w:r>
          </w:p>
        </w:tc>
        <w:tc>
          <w:tcPr>
            <w:tcW w:w="3545" w:type="dxa"/>
            <w:tcBorders>
              <w:tl2br w:val="nil"/>
              <w:tr2bl w:val="nil"/>
            </w:tcBorders>
            <w:noWrap w:val="0"/>
            <w:vAlign w:val="center"/>
          </w:tcPr>
          <w:p>
            <w:pPr>
              <w:pStyle w:val="30"/>
              <w:bidi w:val="0"/>
              <w:rPr>
                <w:u w:val="single"/>
              </w:rPr>
            </w:pPr>
            <w:r>
              <w:rPr>
                <w:u w:val="single"/>
              </w:rPr>
              <w:t>第95百分位数日平均质量浓度</w:t>
            </w:r>
          </w:p>
        </w:tc>
        <w:tc>
          <w:tcPr>
            <w:tcW w:w="1136" w:type="dxa"/>
            <w:tcBorders>
              <w:tl2br w:val="nil"/>
              <w:tr2bl w:val="nil"/>
            </w:tcBorders>
            <w:noWrap w:val="0"/>
            <w:vAlign w:val="center"/>
          </w:tcPr>
          <w:p>
            <w:pPr>
              <w:pStyle w:val="30"/>
              <w:bidi w:val="0"/>
              <w:rPr>
                <w:u w:val="single"/>
              </w:rPr>
            </w:pPr>
            <w:r>
              <w:rPr>
                <w:u w:val="single"/>
              </w:rPr>
              <w:t>1400</w:t>
            </w:r>
          </w:p>
        </w:tc>
        <w:tc>
          <w:tcPr>
            <w:tcW w:w="1312" w:type="dxa"/>
            <w:tcBorders>
              <w:tl2br w:val="nil"/>
              <w:tr2bl w:val="nil"/>
            </w:tcBorders>
            <w:noWrap w:val="0"/>
            <w:vAlign w:val="center"/>
          </w:tcPr>
          <w:p>
            <w:pPr>
              <w:pStyle w:val="30"/>
              <w:bidi w:val="0"/>
              <w:rPr>
                <w:u w:val="single"/>
              </w:rPr>
            </w:pPr>
            <w:r>
              <w:rPr>
                <w:u w:val="single"/>
              </w:rPr>
              <w:t>4000</w:t>
            </w:r>
          </w:p>
        </w:tc>
        <w:tc>
          <w:tcPr>
            <w:tcW w:w="1237" w:type="dxa"/>
            <w:tcBorders>
              <w:tl2br w:val="nil"/>
              <w:tr2bl w:val="nil"/>
            </w:tcBorders>
            <w:noWrap w:val="0"/>
            <w:vAlign w:val="center"/>
          </w:tcPr>
          <w:p>
            <w:pPr>
              <w:pStyle w:val="30"/>
              <w:bidi w:val="0"/>
              <w:rPr>
                <w:u w:val="single"/>
              </w:rPr>
            </w:pPr>
            <w:r>
              <w:rPr>
                <w:u w:val="single"/>
              </w:rPr>
              <w:t>35.0</w:t>
            </w:r>
          </w:p>
        </w:tc>
        <w:tc>
          <w:tcPr>
            <w:tcW w:w="1102" w:type="dxa"/>
            <w:vMerge w:val="continue"/>
            <w:tcBorders>
              <w:tl2br w:val="nil"/>
              <w:tr2bl w:val="nil"/>
            </w:tcBorders>
            <w:noWrap w:val="0"/>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58" w:type="dxa"/>
            <w:tcBorders>
              <w:tl2br w:val="nil"/>
              <w:tr2bl w:val="nil"/>
            </w:tcBorders>
            <w:noWrap w:val="0"/>
            <w:vAlign w:val="center"/>
          </w:tcPr>
          <w:p>
            <w:pPr>
              <w:pStyle w:val="30"/>
              <w:bidi w:val="0"/>
              <w:rPr>
                <w:u w:val="single"/>
              </w:rPr>
            </w:pPr>
            <w:r>
              <w:rPr>
                <w:u w:val="single"/>
              </w:rPr>
              <w:t>O3</w:t>
            </w:r>
          </w:p>
        </w:tc>
        <w:tc>
          <w:tcPr>
            <w:tcW w:w="3545" w:type="dxa"/>
            <w:tcBorders>
              <w:tl2br w:val="nil"/>
              <w:tr2bl w:val="nil"/>
            </w:tcBorders>
            <w:noWrap w:val="0"/>
            <w:vAlign w:val="center"/>
          </w:tcPr>
          <w:p>
            <w:pPr>
              <w:pStyle w:val="30"/>
              <w:bidi w:val="0"/>
              <w:rPr>
                <w:u w:val="single"/>
              </w:rPr>
            </w:pPr>
            <w:r>
              <w:rPr>
                <w:u w:val="single"/>
              </w:rPr>
              <w:t>第90百分位数最大8h平均质量浓度</w:t>
            </w:r>
          </w:p>
        </w:tc>
        <w:tc>
          <w:tcPr>
            <w:tcW w:w="1136" w:type="dxa"/>
            <w:tcBorders>
              <w:tl2br w:val="nil"/>
              <w:tr2bl w:val="nil"/>
            </w:tcBorders>
            <w:noWrap w:val="0"/>
            <w:vAlign w:val="center"/>
          </w:tcPr>
          <w:p>
            <w:pPr>
              <w:pStyle w:val="30"/>
              <w:bidi w:val="0"/>
              <w:rPr>
                <w:u w:val="single"/>
              </w:rPr>
            </w:pPr>
            <w:r>
              <w:rPr>
                <w:u w:val="single"/>
              </w:rPr>
              <w:t>155</w:t>
            </w:r>
          </w:p>
        </w:tc>
        <w:tc>
          <w:tcPr>
            <w:tcW w:w="1312" w:type="dxa"/>
            <w:tcBorders>
              <w:tl2br w:val="nil"/>
              <w:tr2bl w:val="nil"/>
            </w:tcBorders>
            <w:noWrap w:val="0"/>
            <w:vAlign w:val="center"/>
          </w:tcPr>
          <w:p>
            <w:pPr>
              <w:pStyle w:val="30"/>
              <w:bidi w:val="0"/>
              <w:rPr>
                <w:u w:val="single"/>
              </w:rPr>
            </w:pPr>
            <w:r>
              <w:rPr>
                <w:u w:val="single"/>
              </w:rPr>
              <w:t>160</w:t>
            </w:r>
          </w:p>
        </w:tc>
        <w:tc>
          <w:tcPr>
            <w:tcW w:w="1237" w:type="dxa"/>
            <w:tcBorders>
              <w:tl2br w:val="nil"/>
              <w:tr2bl w:val="nil"/>
            </w:tcBorders>
            <w:noWrap w:val="0"/>
            <w:vAlign w:val="center"/>
          </w:tcPr>
          <w:p>
            <w:pPr>
              <w:pStyle w:val="30"/>
              <w:bidi w:val="0"/>
              <w:rPr>
                <w:u w:val="single"/>
              </w:rPr>
            </w:pPr>
            <w:r>
              <w:rPr>
                <w:u w:val="single"/>
              </w:rPr>
              <w:t>96.9</w:t>
            </w:r>
          </w:p>
        </w:tc>
        <w:tc>
          <w:tcPr>
            <w:tcW w:w="1102" w:type="dxa"/>
            <w:vMerge w:val="continue"/>
            <w:tcBorders>
              <w:tl2br w:val="nil"/>
              <w:tr2bl w:val="nil"/>
            </w:tcBorders>
            <w:noWrap w:val="0"/>
            <w:vAlign w:val="center"/>
          </w:tcPr>
          <w:p>
            <w:pPr>
              <w:pStyle w:val="30"/>
              <w:bidi w:val="0"/>
              <w:rPr>
                <w:u w:val="single"/>
              </w:rPr>
            </w:pPr>
          </w:p>
        </w:tc>
      </w:tr>
    </w:tbl>
    <w:p>
      <w:pPr>
        <w:bidi w:val="0"/>
        <w:rPr>
          <w:b/>
          <w:bCs/>
          <w:u w:val="single"/>
        </w:rPr>
      </w:pPr>
      <w:r>
        <w:rPr>
          <w:b/>
          <w:bCs/>
          <w:u w:val="single"/>
        </w:rPr>
        <w:t>注：《岳阳市二〇一八年度环境质量公报》未公布</w:t>
      </w:r>
      <w:r>
        <w:rPr>
          <w:rFonts w:hint="eastAsia"/>
          <w:b/>
          <w:bCs/>
          <w:u w:val="single"/>
          <w:lang w:eastAsia="zh-CN"/>
        </w:rPr>
        <w:t>SO</w:t>
      </w:r>
      <w:r>
        <w:rPr>
          <w:rFonts w:hint="eastAsia"/>
          <w:b/>
          <w:bCs/>
          <w:u w:val="single"/>
          <w:vertAlign w:val="subscript"/>
          <w:lang w:eastAsia="zh-CN"/>
        </w:rPr>
        <w:t>2</w:t>
      </w:r>
      <w:r>
        <w:rPr>
          <w:b/>
          <w:bCs/>
          <w:u w:val="single"/>
        </w:rPr>
        <w:t>、</w:t>
      </w:r>
      <w:r>
        <w:rPr>
          <w:rFonts w:hint="eastAsia"/>
          <w:b/>
          <w:bCs/>
          <w:u w:val="single"/>
          <w:lang w:eastAsia="zh-CN"/>
        </w:rPr>
        <w:t>NO</w:t>
      </w:r>
      <w:r>
        <w:rPr>
          <w:rFonts w:hint="eastAsia"/>
          <w:b/>
          <w:bCs/>
          <w:u w:val="single"/>
          <w:vertAlign w:val="subscript"/>
          <w:lang w:eastAsia="zh-CN"/>
        </w:rPr>
        <w:t>2</w:t>
      </w:r>
      <w:r>
        <w:rPr>
          <w:b/>
          <w:bCs/>
          <w:u w:val="single"/>
        </w:rPr>
        <w:t>、</w:t>
      </w:r>
      <w:r>
        <w:rPr>
          <w:rFonts w:hint="eastAsia"/>
          <w:b/>
          <w:bCs/>
          <w:u w:val="single"/>
          <w:lang w:eastAsia="zh-CN"/>
        </w:rPr>
        <w:t>PM</w:t>
      </w:r>
      <w:r>
        <w:rPr>
          <w:rFonts w:hint="eastAsia"/>
          <w:b/>
          <w:bCs/>
          <w:u w:val="single"/>
          <w:vertAlign w:val="subscript"/>
          <w:lang w:eastAsia="zh-CN"/>
        </w:rPr>
        <w:t>10</w:t>
      </w:r>
      <w:r>
        <w:rPr>
          <w:b/>
          <w:bCs/>
          <w:u w:val="single"/>
        </w:rPr>
        <w:t>、</w:t>
      </w:r>
      <w:r>
        <w:rPr>
          <w:rFonts w:hint="eastAsia"/>
          <w:b/>
          <w:bCs/>
          <w:u w:val="single"/>
          <w:lang w:eastAsia="zh-CN"/>
        </w:rPr>
        <w:t>PM</w:t>
      </w:r>
      <w:r>
        <w:rPr>
          <w:rFonts w:hint="eastAsia"/>
          <w:b/>
          <w:bCs/>
          <w:u w:val="single"/>
          <w:vertAlign w:val="subscript"/>
          <w:lang w:eastAsia="zh-CN"/>
        </w:rPr>
        <w:t>2.5</w:t>
      </w:r>
      <w:r>
        <w:rPr>
          <w:b/>
          <w:bCs/>
          <w:u w:val="single"/>
        </w:rPr>
        <w:t>相应的百分位数日平均质量浓度。</w:t>
      </w:r>
    </w:p>
    <w:p>
      <w:pPr>
        <w:bidi w:val="0"/>
        <w:rPr>
          <w:u w:val="single"/>
        </w:rPr>
      </w:pPr>
      <w:r>
        <w:rPr>
          <w:u w:val="single"/>
        </w:rPr>
        <w:t>根据《环境影响评价技术导则大气环境》（HJ2.2-2018）第6.4.1.1条―城市环境空气质量达标情况评价指标为</w:t>
      </w:r>
      <w:r>
        <w:rPr>
          <w:rFonts w:hint="eastAsia"/>
          <w:u w:val="single"/>
          <w:lang w:eastAsia="zh-CN"/>
        </w:rPr>
        <w:t>SO</w:t>
      </w:r>
      <w:r>
        <w:rPr>
          <w:rFonts w:hint="eastAsia"/>
          <w:u w:val="single"/>
          <w:vertAlign w:val="subscript"/>
          <w:lang w:eastAsia="zh-CN"/>
        </w:rPr>
        <w:t>2</w:t>
      </w:r>
      <w:r>
        <w:rPr>
          <w:u w:val="single"/>
        </w:rPr>
        <w:t>、</w:t>
      </w:r>
      <w:r>
        <w:rPr>
          <w:rFonts w:hint="eastAsia"/>
          <w:u w:val="single"/>
          <w:lang w:eastAsia="zh-CN"/>
        </w:rPr>
        <w:t>NO</w:t>
      </w:r>
      <w:r>
        <w:rPr>
          <w:rFonts w:hint="eastAsia"/>
          <w:u w:val="single"/>
          <w:vertAlign w:val="subscript"/>
          <w:lang w:eastAsia="zh-CN"/>
        </w:rPr>
        <w:t>2</w:t>
      </w:r>
      <w:r>
        <w:rPr>
          <w:u w:val="single"/>
        </w:rPr>
        <w:t>、</w:t>
      </w:r>
      <w:r>
        <w:rPr>
          <w:rFonts w:hint="eastAsia"/>
          <w:u w:val="single"/>
          <w:lang w:eastAsia="zh-CN"/>
        </w:rPr>
        <w:t>PM</w:t>
      </w:r>
      <w:r>
        <w:rPr>
          <w:rFonts w:hint="eastAsia"/>
          <w:u w:val="single"/>
          <w:vertAlign w:val="subscript"/>
          <w:lang w:eastAsia="zh-CN"/>
        </w:rPr>
        <w:t>10</w:t>
      </w:r>
      <w:r>
        <w:rPr>
          <w:u w:val="single"/>
        </w:rPr>
        <w:t>、</w:t>
      </w:r>
      <w:r>
        <w:rPr>
          <w:rFonts w:hint="eastAsia"/>
          <w:u w:val="single"/>
          <w:lang w:eastAsia="zh-CN"/>
        </w:rPr>
        <w:t>PM</w:t>
      </w:r>
      <w:r>
        <w:rPr>
          <w:rFonts w:hint="eastAsia"/>
          <w:u w:val="single"/>
          <w:vertAlign w:val="subscript"/>
          <w:lang w:eastAsia="zh-CN"/>
        </w:rPr>
        <w:t>2.5</w:t>
      </w:r>
      <w:r>
        <w:rPr>
          <w:u w:val="single"/>
        </w:rPr>
        <w:t>、CO和O3，六项污染物全部达标即为城市环境空气质量达标。故本项目所在区域2018年为环境空气质量不达标区。</w:t>
      </w:r>
    </w:p>
    <w:p>
      <w:pPr>
        <w:bidi w:val="0"/>
        <w:rPr>
          <w:u w:val="single"/>
        </w:rPr>
      </w:pPr>
      <w:r>
        <w:rPr>
          <w:u w:val="single"/>
        </w:rPr>
        <w:t>根据《湖南省污染防治攻坚战三年行动计划(2018-2020年)》的通知(湘政发〔2018〕17号)、《湖南省“蓝天保卫战”实施方案(2018-2020年)》、《岳阳经济技术开发区洞庭湖生态环境专项整治三年行动实施方案(2018-2020)》(岳经办发〔2018〕20号)等文件要求，通过调整产业结构调整、推进“散乱污”企业政治、优化能源结构调整、加快清洁能源替代利用、推动交通结构调整、加快绿色交通体系建设、加大污染治理力度等措施，区域大气污染物排放总量将大幅减少，环境空气质量将得到持续改善。</w:t>
      </w:r>
    </w:p>
    <w:p>
      <w:pPr>
        <w:bidi w:val="0"/>
        <w:rPr>
          <w:u w:val="single"/>
        </w:rPr>
      </w:pPr>
      <w:r>
        <w:rPr>
          <w:u w:val="single"/>
        </w:rPr>
        <w:t>根据《湖南省污染防治攻坚战三年行动计划(2018-2020年)》，岳阳市2020年</w:t>
      </w:r>
      <w:r>
        <w:rPr>
          <w:rFonts w:hint="eastAsia"/>
          <w:u w:val="single"/>
          <w:lang w:eastAsia="zh-CN"/>
        </w:rPr>
        <w:t>PM</w:t>
      </w:r>
      <w:r>
        <w:rPr>
          <w:rFonts w:hint="eastAsia"/>
          <w:u w:val="single"/>
          <w:vertAlign w:val="subscript"/>
          <w:lang w:eastAsia="zh-CN"/>
        </w:rPr>
        <w:t>10</w:t>
      </w:r>
      <w:r>
        <w:rPr>
          <w:u w:val="single"/>
        </w:rPr>
        <w:t>、</w:t>
      </w:r>
      <w:r>
        <w:rPr>
          <w:rFonts w:hint="eastAsia"/>
          <w:u w:val="single"/>
          <w:lang w:eastAsia="zh-CN"/>
        </w:rPr>
        <w:t>PM</w:t>
      </w:r>
      <w:r>
        <w:rPr>
          <w:rFonts w:hint="eastAsia"/>
          <w:u w:val="single"/>
          <w:vertAlign w:val="subscript"/>
          <w:lang w:eastAsia="zh-CN"/>
        </w:rPr>
        <w:t>2.5</w:t>
      </w:r>
      <w:r>
        <w:rPr>
          <w:u w:val="single"/>
        </w:rPr>
        <w:t>的浓度改善目标分别为42μg/m³和68μg/m³。</w:t>
      </w:r>
    </w:p>
    <w:p>
      <w:pPr>
        <w:pStyle w:val="2"/>
        <w:bidi w:val="0"/>
      </w:pPr>
      <w:r>
        <w:rPr>
          <w:rFonts w:hint="eastAsia"/>
        </w:rPr>
        <w:t>地表水环境质量现状</w:t>
      </w:r>
    </w:p>
    <w:p>
      <w:pPr>
        <w:bidi w:val="0"/>
        <w:rPr>
          <w:b/>
          <w:bCs/>
        </w:rPr>
      </w:pPr>
      <w:r>
        <w:rPr>
          <w:rFonts w:hint="eastAsia"/>
          <w:b/>
          <w:bCs/>
          <w:lang w:val="en-US" w:eastAsia="zh-CN"/>
        </w:rPr>
        <w:t>1、</w:t>
      </w:r>
      <w:r>
        <w:rPr>
          <w:rFonts w:hint="eastAsia"/>
          <w:b/>
          <w:bCs/>
        </w:rPr>
        <w:t>长江</w:t>
      </w:r>
    </w:p>
    <w:p>
      <w:pPr>
        <w:bidi w:val="0"/>
      </w:pPr>
      <w:r>
        <w:rPr>
          <w:rFonts w:hint="eastAsia"/>
        </w:rPr>
        <w:t>本评价收集了2018年省站长江常规监测数据，根据《湖南省主要水系地表水环境功能区划》（DB43/023-2005），长江塔市驿至黄盖湖段属于Ⅲ类水体，其地表水环境质量执行《地表水环境质量标准》（GB3838-2002）中的Ⅲ类标准。</w:t>
      </w:r>
    </w:p>
    <w:p>
      <w:pPr>
        <w:bidi w:val="0"/>
      </w:pPr>
      <w:r>
        <w:rPr>
          <w:rFonts w:hint="eastAsia"/>
        </w:rPr>
        <w:t>（1）监测断面：长江城陵矶断面、君山长江取水口断面，长江荆江口断面。</w:t>
      </w:r>
    </w:p>
    <w:p>
      <w:pPr>
        <w:bidi w:val="0"/>
      </w:pPr>
      <w:r>
        <w:rPr>
          <w:rFonts w:hint="eastAsia"/>
        </w:rPr>
        <w:t>（2）监测因子</w:t>
      </w:r>
    </w:p>
    <w:p>
      <w:pPr>
        <w:bidi w:val="0"/>
      </w:pPr>
      <w:r>
        <w:rPr>
          <w:rFonts w:hint="eastAsia"/>
        </w:rPr>
        <w:t>pH、化学需氧量、</w:t>
      </w:r>
      <w:r>
        <w:rPr>
          <w:rFonts w:hint="eastAsia"/>
          <w:lang w:eastAsia="zh-CN"/>
        </w:rPr>
        <w:t>BOD</w:t>
      </w:r>
      <w:r>
        <w:rPr>
          <w:rFonts w:hint="eastAsia"/>
          <w:vertAlign w:val="subscript"/>
          <w:lang w:eastAsia="zh-CN"/>
        </w:rPr>
        <w:t>5</w:t>
      </w:r>
      <w:r>
        <w:rPr>
          <w:rFonts w:hint="eastAsia"/>
        </w:rPr>
        <w:t>、氨氮、总磷、石油类。</w:t>
      </w:r>
    </w:p>
    <w:p>
      <w:pPr>
        <w:bidi w:val="0"/>
      </w:pPr>
      <w:r>
        <w:rPr>
          <w:rFonts w:hint="eastAsia"/>
        </w:rPr>
        <w:t>（3）监测结果</w:t>
      </w:r>
    </w:p>
    <w:p>
      <w:pPr>
        <w:bidi w:val="0"/>
      </w:pPr>
      <w:r>
        <w:rPr>
          <w:rFonts w:hint="eastAsia"/>
        </w:rPr>
        <w:t>监测及评价结果见下表。</w:t>
      </w:r>
    </w:p>
    <w:p>
      <w:pPr>
        <w:pStyle w:val="29"/>
        <w:bidi w:val="0"/>
      </w:pPr>
      <w:r>
        <w:rPr>
          <w:rFonts w:hint="eastAsia"/>
        </w:rPr>
        <w:t>表</w:t>
      </w:r>
      <w:r>
        <w:rPr>
          <w:rFonts w:hint="eastAsia"/>
          <w:lang w:val="en-US" w:eastAsia="zh-CN"/>
        </w:rPr>
        <w:t>5.2</w:t>
      </w:r>
      <w:r>
        <w:rPr>
          <w:rFonts w:hint="eastAsia"/>
        </w:rPr>
        <w:t>-</w:t>
      </w:r>
      <w:r>
        <w:rPr>
          <w:rFonts w:hint="eastAsia"/>
          <w:lang w:val="en-US" w:eastAsia="zh-CN"/>
        </w:rPr>
        <w:t>2</w:t>
      </w:r>
      <w:r>
        <w:rPr>
          <w:rFonts w:hint="eastAsia"/>
        </w:rPr>
        <w:t xml:space="preserve">  2018年长江各断面监测数据</w:t>
      </w:r>
    </w:p>
    <w:tbl>
      <w:tblPr>
        <w:tblStyle w:val="21"/>
        <w:tblW w:w="9082"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454"/>
        <w:gridCol w:w="635"/>
        <w:gridCol w:w="1075"/>
        <w:gridCol w:w="1158"/>
        <w:gridCol w:w="1335"/>
        <w:gridCol w:w="1212"/>
        <w:gridCol w:w="1113"/>
        <w:gridCol w:w="1162"/>
        <w:gridCol w:w="938"/>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b w:val="0"/>
                <w:bCs w:val="0"/>
              </w:rPr>
            </w:pPr>
            <w:r>
              <w:rPr>
                <w:rFonts w:hint="default" w:ascii="Times New Roman" w:hAnsi="Times New Roman" w:cs="Times New Roman"/>
                <w:b w:val="0"/>
                <w:bCs w:val="0"/>
              </w:rPr>
              <w:t>序号</w:t>
            </w:r>
          </w:p>
        </w:tc>
        <w:tc>
          <w:tcPr>
            <w:tcW w:w="349" w:type="pct"/>
            <w:tcBorders>
              <w:tl2br w:val="nil"/>
              <w:tr2bl w:val="nil"/>
            </w:tcBorders>
            <w:vAlign w:val="center"/>
          </w:tcPr>
          <w:p>
            <w:pPr>
              <w:pStyle w:val="30"/>
              <w:bidi w:val="0"/>
              <w:rPr>
                <w:rFonts w:hint="default" w:ascii="Times New Roman" w:hAnsi="Times New Roman" w:cs="Times New Roman"/>
                <w:b w:val="0"/>
                <w:bCs w:val="0"/>
              </w:rPr>
            </w:pPr>
            <w:r>
              <w:rPr>
                <w:rFonts w:hint="default" w:ascii="Times New Roman" w:hAnsi="Times New Roman" w:cs="Times New Roman"/>
                <w:b w:val="0"/>
                <w:bCs w:val="0"/>
              </w:rPr>
              <w:t>断面</w:t>
            </w:r>
          </w:p>
        </w:tc>
        <w:tc>
          <w:tcPr>
            <w:tcW w:w="591" w:type="pct"/>
            <w:tcBorders>
              <w:tl2br w:val="nil"/>
              <w:tr2bl w:val="nil"/>
            </w:tcBorders>
            <w:vAlign w:val="center"/>
          </w:tcPr>
          <w:p>
            <w:pPr>
              <w:pStyle w:val="30"/>
              <w:bidi w:val="0"/>
              <w:rPr>
                <w:rFonts w:hint="default" w:ascii="Times New Roman" w:hAnsi="Times New Roman" w:cs="Times New Roman"/>
                <w:b w:val="0"/>
                <w:bCs w:val="0"/>
              </w:rPr>
            </w:pPr>
            <w:r>
              <w:rPr>
                <w:rFonts w:hint="default" w:ascii="Times New Roman" w:hAnsi="Times New Roman" w:cs="Times New Roman"/>
                <w:b w:val="0"/>
                <w:bCs w:val="0"/>
              </w:rPr>
              <w:t>监测项目</w:t>
            </w:r>
          </w:p>
        </w:tc>
        <w:tc>
          <w:tcPr>
            <w:tcW w:w="637" w:type="pct"/>
            <w:tcBorders>
              <w:tl2br w:val="nil"/>
              <w:tr2bl w:val="nil"/>
            </w:tcBorders>
            <w:vAlign w:val="center"/>
          </w:tcPr>
          <w:p>
            <w:pPr>
              <w:pStyle w:val="30"/>
              <w:bidi w:val="0"/>
              <w:rPr>
                <w:rFonts w:hint="default" w:ascii="Times New Roman" w:hAnsi="Times New Roman" w:cs="Times New Roman"/>
                <w:b w:val="0"/>
                <w:bCs w:val="0"/>
              </w:rPr>
            </w:pPr>
            <w:r>
              <w:rPr>
                <w:rFonts w:hint="default" w:ascii="Times New Roman" w:hAnsi="Times New Roman" w:cs="Times New Roman"/>
                <w:b w:val="0"/>
                <w:bCs w:val="0"/>
              </w:rPr>
              <w:t>pH</w:t>
            </w:r>
          </w:p>
        </w:tc>
        <w:tc>
          <w:tcPr>
            <w:tcW w:w="734" w:type="pct"/>
            <w:tcBorders>
              <w:tl2br w:val="nil"/>
              <w:tr2bl w:val="nil"/>
            </w:tcBorders>
            <w:vAlign w:val="center"/>
          </w:tcPr>
          <w:p>
            <w:pPr>
              <w:pStyle w:val="30"/>
              <w:bidi w:val="0"/>
              <w:rPr>
                <w:rFonts w:hint="default" w:ascii="Times New Roman" w:hAnsi="Times New Roman" w:cs="Times New Roman"/>
                <w:b w:val="0"/>
                <w:bCs w:val="0"/>
              </w:rPr>
            </w:pPr>
            <w:r>
              <w:rPr>
                <w:rFonts w:hint="default" w:ascii="Times New Roman" w:hAnsi="Times New Roman" w:cs="Times New Roman"/>
                <w:b w:val="0"/>
                <w:bCs w:val="0"/>
              </w:rPr>
              <w:t>化学需氧量</w:t>
            </w:r>
          </w:p>
        </w:tc>
        <w:tc>
          <w:tcPr>
            <w:tcW w:w="667" w:type="pct"/>
            <w:tcBorders>
              <w:tl2br w:val="nil"/>
              <w:tr2bl w:val="nil"/>
            </w:tcBorders>
            <w:vAlign w:val="center"/>
          </w:tcPr>
          <w:p>
            <w:pPr>
              <w:pStyle w:val="30"/>
              <w:bidi w:val="0"/>
              <w:rPr>
                <w:rFonts w:hint="eastAsia" w:ascii="Times New Roman" w:hAnsi="Times New Roman" w:eastAsia="宋体" w:cs="Times New Roman"/>
                <w:b w:val="0"/>
                <w:bCs w:val="0"/>
                <w:lang w:eastAsia="zh-CN"/>
              </w:rPr>
            </w:pPr>
            <w:r>
              <w:rPr>
                <w:rFonts w:hint="eastAsia" w:cs="Times New Roman"/>
                <w:b w:val="0"/>
                <w:bCs w:val="0"/>
                <w:lang w:eastAsia="zh-CN"/>
              </w:rPr>
              <w:t>BOD</w:t>
            </w:r>
            <w:r>
              <w:rPr>
                <w:rFonts w:hint="eastAsia" w:cs="Times New Roman"/>
                <w:b w:val="0"/>
                <w:bCs w:val="0"/>
                <w:vertAlign w:val="subscript"/>
                <w:lang w:eastAsia="zh-CN"/>
              </w:rPr>
              <w:t>5</w:t>
            </w:r>
          </w:p>
        </w:tc>
        <w:tc>
          <w:tcPr>
            <w:tcW w:w="612" w:type="pct"/>
            <w:tcBorders>
              <w:tl2br w:val="nil"/>
              <w:tr2bl w:val="nil"/>
            </w:tcBorders>
            <w:vAlign w:val="center"/>
          </w:tcPr>
          <w:p>
            <w:pPr>
              <w:pStyle w:val="30"/>
              <w:bidi w:val="0"/>
              <w:rPr>
                <w:rFonts w:hint="default" w:ascii="Times New Roman" w:hAnsi="Times New Roman" w:cs="Times New Roman"/>
                <w:b w:val="0"/>
                <w:bCs w:val="0"/>
              </w:rPr>
            </w:pPr>
            <w:r>
              <w:rPr>
                <w:rFonts w:hint="default" w:ascii="Times New Roman" w:hAnsi="Times New Roman" w:cs="Times New Roman"/>
                <w:b w:val="0"/>
                <w:bCs w:val="0"/>
              </w:rPr>
              <w:t>氨氮</w:t>
            </w:r>
          </w:p>
        </w:tc>
        <w:tc>
          <w:tcPr>
            <w:tcW w:w="639" w:type="pct"/>
            <w:tcBorders>
              <w:tl2br w:val="nil"/>
              <w:tr2bl w:val="nil"/>
            </w:tcBorders>
            <w:vAlign w:val="center"/>
          </w:tcPr>
          <w:p>
            <w:pPr>
              <w:pStyle w:val="30"/>
              <w:bidi w:val="0"/>
              <w:rPr>
                <w:rFonts w:hint="default" w:ascii="Times New Roman" w:hAnsi="Times New Roman" w:cs="Times New Roman"/>
                <w:b w:val="0"/>
                <w:bCs w:val="0"/>
              </w:rPr>
            </w:pPr>
            <w:r>
              <w:rPr>
                <w:rFonts w:hint="default" w:ascii="Times New Roman" w:hAnsi="Times New Roman" w:cs="Times New Roman"/>
                <w:b w:val="0"/>
                <w:bCs w:val="0"/>
              </w:rPr>
              <w:t>总磷</w:t>
            </w:r>
          </w:p>
        </w:tc>
        <w:tc>
          <w:tcPr>
            <w:tcW w:w="516" w:type="pct"/>
            <w:tcBorders>
              <w:tl2br w:val="nil"/>
              <w:tr2bl w:val="nil"/>
            </w:tcBorders>
            <w:vAlign w:val="center"/>
          </w:tcPr>
          <w:p>
            <w:pPr>
              <w:pStyle w:val="30"/>
              <w:bidi w:val="0"/>
              <w:rPr>
                <w:rFonts w:hint="default" w:ascii="Times New Roman" w:hAnsi="Times New Roman" w:cs="Times New Roman"/>
                <w:b w:val="0"/>
                <w:bCs w:val="0"/>
              </w:rPr>
            </w:pPr>
            <w:r>
              <w:rPr>
                <w:rFonts w:hint="default" w:ascii="Times New Roman" w:hAnsi="Times New Roman" w:cs="Times New Roman"/>
                <w:b w:val="0"/>
                <w:bCs w:val="0"/>
              </w:rPr>
              <w:t>石油类</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1</w:t>
            </w:r>
          </w:p>
        </w:tc>
        <w:tc>
          <w:tcPr>
            <w:tcW w:w="349" w:type="pct"/>
            <w:vMerge w:val="restar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城陵矶</w:t>
            </w: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监测浓度</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7.22-8.15</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8.7-15.7</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0.03-0.27</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0.07-0.113</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2</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标准指数</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0.11-0.575</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0.435-0.785</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0.03-0.27</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0.35-0.565</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3</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标准值</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6~9</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20</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4</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1</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0.2</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5</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超标率</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6</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最大超</w:t>
            </w:r>
          </w:p>
          <w:p>
            <w:pPr>
              <w:pStyle w:val="30"/>
              <w:bidi w:val="0"/>
              <w:rPr>
                <w:rFonts w:hint="default" w:ascii="Times New Roman" w:hAnsi="Times New Roman" w:cs="Times New Roman"/>
              </w:rPr>
            </w:pPr>
            <w:r>
              <w:rPr>
                <w:rFonts w:hint="default" w:ascii="Times New Roman" w:hAnsi="Times New Roman" w:cs="Times New Roman"/>
              </w:rPr>
              <w:t>标倍数</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7</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是否达标</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8</w:t>
            </w:r>
          </w:p>
        </w:tc>
        <w:tc>
          <w:tcPr>
            <w:tcW w:w="349" w:type="pct"/>
            <w:vMerge w:val="restar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君山长江取水口</w:t>
            </w: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监测浓度</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7.08-8.12</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11.7-14.3</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0.33-3.80</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0.02-0.10</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0.06-0.14</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9</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标准指数</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0.79-0.90</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0.59-0.72</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0.083-0.95</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0.02-0.10</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0.3-0.7</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11</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超标率</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12</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最大超</w:t>
            </w:r>
          </w:p>
          <w:p>
            <w:pPr>
              <w:pStyle w:val="30"/>
              <w:bidi w:val="0"/>
              <w:rPr>
                <w:rFonts w:hint="default" w:ascii="Times New Roman" w:hAnsi="Times New Roman" w:cs="Times New Roman"/>
              </w:rPr>
            </w:pPr>
            <w:r>
              <w:rPr>
                <w:rFonts w:hint="default" w:ascii="Times New Roman" w:hAnsi="Times New Roman" w:cs="Times New Roman"/>
              </w:rPr>
              <w:t>标倍数</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13</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是否达标</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14</w:t>
            </w:r>
          </w:p>
        </w:tc>
        <w:tc>
          <w:tcPr>
            <w:tcW w:w="349" w:type="pct"/>
            <w:vMerge w:val="restar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荆江口</w:t>
            </w: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监测浓度</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7.62-8.23</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7.0-14.0</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0.4-1.4</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0.02-0.32</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0.06-0.15</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0.005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15</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标准指数</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0.85-0.91</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0.35-0.7</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0.1-0.35</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0.02-0.32</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0.3-0.75</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17</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超标率</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18</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最大超</w:t>
            </w:r>
          </w:p>
          <w:p>
            <w:pPr>
              <w:pStyle w:val="30"/>
              <w:bidi w:val="0"/>
              <w:rPr>
                <w:rFonts w:hint="default" w:ascii="Times New Roman" w:hAnsi="Times New Roman" w:cs="Times New Roman"/>
              </w:rPr>
            </w:pPr>
            <w:r>
              <w:rPr>
                <w:rFonts w:hint="default" w:ascii="Times New Roman" w:hAnsi="Times New Roman" w:cs="Times New Roman"/>
              </w:rPr>
              <w:t>标倍数</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4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19</w:t>
            </w:r>
          </w:p>
        </w:tc>
        <w:tc>
          <w:tcPr>
            <w:tcW w:w="349" w:type="pct"/>
            <w:vMerge w:val="continue"/>
            <w:tcBorders>
              <w:tl2br w:val="nil"/>
              <w:tr2bl w:val="nil"/>
            </w:tcBorders>
            <w:vAlign w:val="center"/>
          </w:tcPr>
          <w:p>
            <w:pPr>
              <w:pStyle w:val="30"/>
              <w:bidi w:val="0"/>
              <w:rPr>
                <w:rFonts w:hint="default" w:ascii="Times New Roman" w:hAnsi="Times New Roman" w:cs="Times New Roman"/>
              </w:rPr>
            </w:pPr>
          </w:p>
        </w:tc>
        <w:tc>
          <w:tcPr>
            <w:tcW w:w="591"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是否达标</w:t>
            </w:r>
          </w:p>
        </w:tc>
        <w:tc>
          <w:tcPr>
            <w:tcW w:w="63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734"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667"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612"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639"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c>
          <w:tcPr>
            <w:tcW w:w="516" w:type="pct"/>
            <w:tcBorders>
              <w:tl2br w:val="nil"/>
              <w:tr2bl w:val="nil"/>
            </w:tcBorders>
            <w:vAlign w:val="center"/>
          </w:tcPr>
          <w:p>
            <w:pPr>
              <w:pStyle w:val="30"/>
              <w:bidi w:val="0"/>
              <w:rPr>
                <w:rFonts w:hint="default" w:ascii="Times New Roman" w:hAnsi="Times New Roman" w:cs="Times New Roman"/>
              </w:rPr>
            </w:pPr>
            <w:r>
              <w:rPr>
                <w:rFonts w:hint="default" w:ascii="Times New Roman" w:hAnsi="Times New Roman" w:cs="Times New Roman"/>
              </w:rPr>
              <w:t>是</w:t>
            </w:r>
          </w:p>
        </w:tc>
      </w:tr>
    </w:tbl>
    <w:p>
      <w:pPr>
        <w:bidi w:val="0"/>
      </w:pPr>
      <w:r>
        <w:rPr>
          <w:rFonts w:hint="eastAsia"/>
        </w:rPr>
        <w:t>由上表可知：长江城陵矶、君山长江取水口断面，长江荆江口断面各监测因子均满足《地表水环境质量标准》（GB3838-2002）的Ⅲ类标准，因此长江各监测断面水质较好。</w:t>
      </w:r>
    </w:p>
    <w:p>
      <w:pPr>
        <w:spacing w:line="360" w:lineRule="auto"/>
        <w:ind w:firstLine="559" w:firstLineChars="232"/>
        <w:rPr>
          <w:b/>
          <w:sz w:val="24"/>
        </w:rPr>
      </w:pPr>
      <w:r>
        <w:rPr>
          <w:rFonts w:hint="eastAsia"/>
          <w:b/>
          <w:sz w:val="24"/>
          <w:lang w:val="en-US" w:eastAsia="zh-CN"/>
        </w:rPr>
        <w:t>2、</w:t>
      </w:r>
      <w:r>
        <w:rPr>
          <w:rFonts w:hint="eastAsia"/>
          <w:b/>
          <w:sz w:val="24"/>
        </w:rPr>
        <w:t>洞庭湖</w:t>
      </w:r>
    </w:p>
    <w:p>
      <w:pPr>
        <w:spacing w:line="360" w:lineRule="auto"/>
        <w:ind w:firstLine="556" w:firstLineChars="232"/>
        <w:rPr>
          <w:sz w:val="24"/>
        </w:rPr>
      </w:pPr>
      <w:r>
        <w:rPr>
          <w:rFonts w:hint="eastAsia"/>
          <w:sz w:val="24"/>
        </w:rPr>
        <w:t>本评价收集了2017年洞庭湖的监测数据，监测断面包括东洞庭湖断面水质。监测及评价结果见下表。</w:t>
      </w:r>
    </w:p>
    <w:p>
      <w:pPr>
        <w:pStyle w:val="29"/>
        <w:bidi w:val="0"/>
      </w:pPr>
    </w:p>
    <w:p>
      <w:pPr>
        <w:pStyle w:val="29"/>
        <w:bidi w:val="0"/>
      </w:pPr>
    </w:p>
    <w:p>
      <w:pPr>
        <w:pStyle w:val="29"/>
        <w:bidi w:val="0"/>
      </w:pPr>
    </w:p>
    <w:p>
      <w:pPr>
        <w:pStyle w:val="29"/>
        <w:bidi w:val="0"/>
      </w:pPr>
      <w:r>
        <w:t>表</w:t>
      </w:r>
      <w:r>
        <w:rPr>
          <w:rFonts w:hint="eastAsia"/>
          <w:lang w:val="en-US" w:eastAsia="zh-CN"/>
        </w:rPr>
        <w:t>5.2</w:t>
      </w:r>
      <w:r>
        <w:t>-</w:t>
      </w:r>
      <w:r>
        <w:rPr>
          <w:rFonts w:hint="eastAsia"/>
          <w:lang w:val="en-US" w:eastAsia="zh-CN"/>
        </w:rPr>
        <w:t>3</w:t>
      </w:r>
      <w:r>
        <w:t xml:space="preserve">   </w:t>
      </w:r>
      <w:r>
        <w:rPr>
          <w:rFonts w:hint="eastAsia"/>
        </w:rPr>
        <w:t>2017年</w:t>
      </w:r>
      <w:r>
        <w:t>东洞庭湖水质监测结果   单位：mg/L</w:t>
      </w:r>
    </w:p>
    <w:tbl>
      <w:tblPr>
        <w:tblStyle w:val="21"/>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29"/>
        <w:gridCol w:w="1172"/>
        <w:gridCol w:w="1577"/>
        <w:gridCol w:w="1489"/>
        <w:gridCol w:w="1463"/>
        <w:gridCol w:w="1071"/>
        <w:gridCol w:w="82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50" w:hRule="atLeast"/>
          <w:tblHeader/>
          <w:jc w:val="center"/>
        </w:trPr>
        <w:tc>
          <w:tcPr>
            <w:tcW w:w="545" w:type="pct"/>
            <w:vAlign w:val="center"/>
          </w:tcPr>
          <w:p>
            <w:pPr>
              <w:pStyle w:val="30"/>
              <w:bidi w:val="0"/>
            </w:pPr>
            <w:r>
              <w:t>采样时间</w:t>
            </w:r>
          </w:p>
        </w:tc>
        <w:tc>
          <w:tcPr>
            <w:tcW w:w="687" w:type="pct"/>
            <w:vAlign w:val="center"/>
          </w:tcPr>
          <w:p>
            <w:pPr>
              <w:pStyle w:val="30"/>
              <w:bidi w:val="0"/>
            </w:pPr>
            <w:r>
              <w:t>检测项目</w:t>
            </w:r>
          </w:p>
        </w:tc>
        <w:tc>
          <w:tcPr>
            <w:tcW w:w="925" w:type="pct"/>
            <w:vAlign w:val="center"/>
          </w:tcPr>
          <w:p>
            <w:pPr>
              <w:pStyle w:val="30"/>
              <w:bidi w:val="0"/>
            </w:pPr>
            <w:r>
              <w:t>检测结果</w:t>
            </w:r>
          </w:p>
        </w:tc>
        <w:tc>
          <w:tcPr>
            <w:tcW w:w="873" w:type="pct"/>
            <w:vAlign w:val="center"/>
          </w:tcPr>
          <w:p>
            <w:pPr>
              <w:pStyle w:val="30"/>
              <w:bidi w:val="0"/>
            </w:pPr>
            <w:r>
              <w:t>标准</w:t>
            </w:r>
          </w:p>
        </w:tc>
        <w:tc>
          <w:tcPr>
            <w:tcW w:w="858" w:type="pct"/>
            <w:vAlign w:val="center"/>
          </w:tcPr>
          <w:p>
            <w:pPr>
              <w:pStyle w:val="30"/>
              <w:bidi w:val="0"/>
            </w:pPr>
            <w:r>
              <w:t>标准指</w:t>
            </w:r>
          </w:p>
          <w:p>
            <w:pPr>
              <w:pStyle w:val="30"/>
              <w:bidi w:val="0"/>
            </w:pPr>
            <w:r>
              <w:t>数范围</w:t>
            </w:r>
          </w:p>
        </w:tc>
        <w:tc>
          <w:tcPr>
            <w:tcW w:w="628" w:type="pct"/>
            <w:vAlign w:val="center"/>
          </w:tcPr>
          <w:p>
            <w:pPr>
              <w:pStyle w:val="30"/>
              <w:bidi w:val="0"/>
            </w:pPr>
            <w:r>
              <w:t>最大超</w:t>
            </w:r>
          </w:p>
          <w:p>
            <w:pPr>
              <w:pStyle w:val="30"/>
              <w:bidi w:val="0"/>
            </w:pPr>
            <w:r>
              <w:t>标倍数</w:t>
            </w:r>
          </w:p>
        </w:tc>
        <w:tc>
          <w:tcPr>
            <w:tcW w:w="481" w:type="pct"/>
            <w:vAlign w:val="center"/>
          </w:tcPr>
          <w:p>
            <w:pPr>
              <w:pStyle w:val="30"/>
              <w:bidi w:val="0"/>
            </w:pPr>
            <w:r>
              <w:t>超标率（%）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545" w:type="pct"/>
            <w:vMerge w:val="restart"/>
            <w:vAlign w:val="center"/>
          </w:tcPr>
          <w:p>
            <w:pPr>
              <w:pStyle w:val="30"/>
              <w:bidi w:val="0"/>
            </w:pPr>
            <w:r>
              <w:t>2017年1-12月</w:t>
            </w:r>
          </w:p>
        </w:tc>
        <w:tc>
          <w:tcPr>
            <w:tcW w:w="687" w:type="pct"/>
            <w:vAlign w:val="center"/>
          </w:tcPr>
          <w:p>
            <w:pPr>
              <w:pStyle w:val="30"/>
              <w:bidi w:val="0"/>
            </w:pPr>
            <w:r>
              <w:t>pH</w:t>
            </w:r>
          </w:p>
          <w:p>
            <w:pPr>
              <w:pStyle w:val="30"/>
              <w:bidi w:val="0"/>
            </w:pPr>
            <w:r>
              <w:t>（无量纲）</w:t>
            </w:r>
          </w:p>
        </w:tc>
        <w:tc>
          <w:tcPr>
            <w:tcW w:w="925" w:type="pct"/>
            <w:vAlign w:val="center"/>
          </w:tcPr>
          <w:p>
            <w:pPr>
              <w:pStyle w:val="30"/>
              <w:bidi w:val="0"/>
            </w:pPr>
            <w:r>
              <w:t>7.41-7.80</w:t>
            </w:r>
          </w:p>
        </w:tc>
        <w:tc>
          <w:tcPr>
            <w:tcW w:w="873" w:type="pct"/>
            <w:vAlign w:val="center"/>
          </w:tcPr>
          <w:p>
            <w:pPr>
              <w:pStyle w:val="30"/>
              <w:bidi w:val="0"/>
            </w:pPr>
            <w:r>
              <w:t>6~9</w:t>
            </w:r>
          </w:p>
        </w:tc>
        <w:tc>
          <w:tcPr>
            <w:tcW w:w="858" w:type="pct"/>
            <w:vAlign w:val="center"/>
          </w:tcPr>
          <w:p>
            <w:pPr>
              <w:pStyle w:val="30"/>
              <w:bidi w:val="0"/>
            </w:pPr>
            <w:r>
              <w:rPr>
                <w:rFonts w:hint="eastAsia"/>
              </w:rPr>
              <w:t>0.82-0.86</w:t>
            </w:r>
          </w:p>
        </w:tc>
        <w:tc>
          <w:tcPr>
            <w:tcW w:w="628" w:type="pct"/>
            <w:vAlign w:val="center"/>
          </w:tcPr>
          <w:p>
            <w:pPr>
              <w:pStyle w:val="30"/>
              <w:bidi w:val="0"/>
            </w:pPr>
            <w:r>
              <w:t>0</w:t>
            </w:r>
          </w:p>
        </w:tc>
        <w:tc>
          <w:tcPr>
            <w:tcW w:w="481" w:type="pct"/>
            <w:vAlign w:val="center"/>
          </w:tcPr>
          <w:p>
            <w:pPr>
              <w:pStyle w:val="30"/>
              <w:bidi w:val="0"/>
            </w:pPr>
            <w: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545" w:type="pct"/>
            <w:vMerge w:val="continue"/>
            <w:vAlign w:val="center"/>
          </w:tcPr>
          <w:p>
            <w:pPr>
              <w:pStyle w:val="30"/>
              <w:bidi w:val="0"/>
            </w:pPr>
          </w:p>
        </w:tc>
        <w:tc>
          <w:tcPr>
            <w:tcW w:w="687" w:type="pct"/>
            <w:vAlign w:val="center"/>
          </w:tcPr>
          <w:p>
            <w:pPr>
              <w:pStyle w:val="30"/>
              <w:bidi w:val="0"/>
            </w:pPr>
            <w:r>
              <w:t>COD</w:t>
            </w:r>
          </w:p>
        </w:tc>
        <w:tc>
          <w:tcPr>
            <w:tcW w:w="925" w:type="pct"/>
            <w:vAlign w:val="center"/>
          </w:tcPr>
          <w:p>
            <w:pPr>
              <w:pStyle w:val="30"/>
              <w:bidi w:val="0"/>
            </w:pPr>
            <w:r>
              <w:t>6.67-14.00</w:t>
            </w:r>
          </w:p>
        </w:tc>
        <w:tc>
          <w:tcPr>
            <w:tcW w:w="873" w:type="pct"/>
            <w:vAlign w:val="center"/>
          </w:tcPr>
          <w:p>
            <w:pPr>
              <w:pStyle w:val="30"/>
              <w:bidi w:val="0"/>
            </w:pPr>
            <w:r>
              <w:t>20</w:t>
            </w:r>
          </w:p>
        </w:tc>
        <w:tc>
          <w:tcPr>
            <w:tcW w:w="858" w:type="pct"/>
            <w:vAlign w:val="center"/>
          </w:tcPr>
          <w:p>
            <w:pPr>
              <w:pStyle w:val="30"/>
              <w:bidi w:val="0"/>
            </w:pPr>
            <w:r>
              <w:rPr>
                <w:rFonts w:hint="eastAsia"/>
              </w:rPr>
              <w:t>0.33-0.7</w:t>
            </w:r>
          </w:p>
        </w:tc>
        <w:tc>
          <w:tcPr>
            <w:tcW w:w="628" w:type="pct"/>
            <w:vAlign w:val="center"/>
          </w:tcPr>
          <w:p>
            <w:pPr>
              <w:pStyle w:val="30"/>
              <w:bidi w:val="0"/>
            </w:pPr>
            <w:r>
              <w:t>0</w:t>
            </w:r>
          </w:p>
        </w:tc>
        <w:tc>
          <w:tcPr>
            <w:tcW w:w="481" w:type="pct"/>
            <w:vAlign w:val="center"/>
          </w:tcPr>
          <w:p>
            <w:pPr>
              <w:pStyle w:val="30"/>
              <w:bidi w:val="0"/>
            </w:pPr>
            <w: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545" w:type="pct"/>
            <w:vMerge w:val="continue"/>
            <w:vAlign w:val="center"/>
          </w:tcPr>
          <w:p>
            <w:pPr>
              <w:pStyle w:val="30"/>
              <w:bidi w:val="0"/>
            </w:pPr>
          </w:p>
        </w:tc>
        <w:tc>
          <w:tcPr>
            <w:tcW w:w="687" w:type="pct"/>
            <w:vAlign w:val="center"/>
          </w:tcPr>
          <w:p>
            <w:pPr>
              <w:pStyle w:val="30"/>
              <w:bidi w:val="0"/>
            </w:pPr>
            <w:r>
              <w:t>氨氮</w:t>
            </w:r>
          </w:p>
        </w:tc>
        <w:tc>
          <w:tcPr>
            <w:tcW w:w="925" w:type="pct"/>
            <w:vAlign w:val="center"/>
          </w:tcPr>
          <w:p>
            <w:pPr>
              <w:pStyle w:val="30"/>
              <w:bidi w:val="0"/>
            </w:pPr>
            <w:r>
              <w:t>0.0212-0.3997</w:t>
            </w:r>
          </w:p>
        </w:tc>
        <w:tc>
          <w:tcPr>
            <w:tcW w:w="873" w:type="pct"/>
            <w:vAlign w:val="center"/>
          </w:tcPr>
          <w:p>
            <w:pPr>
              <w:pStyle w:val="30"/>
              <w:bidi w:val="0"/>
            </w:pPr>
            <w:r>
              <w:t>1.0</w:t>
            </w:r>
          </w:p>
        </w:tc>
        <w:tc>
          <w:tcPr>
            <w:tcW w:w="858" w:type="pct"/>
            <w:vAlign w:val="center"/>
          </w:tcPr>
          <w:p>
            <w:pPr>
              <w:pStyle w:val="30"/>
              <w:bidi w:val="0"/>
            </w:pPr>
            <w:r>
              <w:t>0.0212-0.3997</w:t>
            </w:r>
          </w:p>
        </w:tc>
        <w:tc>
          <w:tcPr>
            <w:tcW w:w="628" w:type="pct"/>
            <w:vAlign w:val="center"/>
          </w:tcPr>
          <w:p>
            <w:pPr>
              <w:pStyle w:val="30"/>
              <w:bidi w:val="0"/>
            </w:pPr>
            <w:r>
              <w:t>0</w:t>
            </w:r>
          </w:p>
        </w:tc>
        <w:tc>
          <w:tcPr>
            <w:tcW w:w="481" w:type="pct"/>
            <w:vAlign w:val="center"/>
          </w:tcPr>
          <w:p>
            <w:pPr>
              <w:pStyle w:val="30"/>
              <w:bidi w:val="0"/>
            </w:pPr>
            <w: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545" w:type="pct"/>
            <w:vMerge w:val="continue"/>
            <w:vAlign w:val="center"/>
          </w:tcPr>
          <w:p>
            <w:pPr>
              <w:pStyle w:val="30"/>
              <w:bidi w:val="0"/>
            </w:pPr>
          </w:p>
        </w:tc>
        <w:tc>
          <w:tcPr>
            <w:tcW w:w="687" w:type="pct"/>
            <w:vAlign w:val="center"/>
          </w:tcPr>
          <w:p>
            <w:pPr>
              <w:pStyle w:val="30"/>
              <w:bidi w:val="0"/>
              <w:rPr>
                <w:rFonts w:hint="eastAsia" w:eastAsia="宋体"/>
                <w:lang w:eastAsia="zh-CN"/>
              </w:rPr>
            </w:pPr>
            <w:r>
              <w:rPr>
                <w:rFonts w:hint="eastAsia"/>
                <w:lang w:eastAsia="zh-CN"/>
              </w:rPr>
              <w:t>BOD</w:t>
            </w:r>
            <w:r>
              <w:rPr>
                <w:rFonts w:hint="eastAsia"/>
                <w:vertAlign w:val="subscript"/>
                <w:lang w:eastAsia="zh-CN"/>
              </w:rPr>
              <w:t>5</w:t>
            </w:r>
          </w:p>
        </w:tc>
        <w:tc>
          <w:tcPr>
            <w:tcW w:w="925" w:type="pct"/>
            <w:vAlign w:val="center"/>
          </w:tcPr>
          <w:p>
            <w:pPr>
              <w:pStyle w:val="30"/>
              <w:bidi w:val="0"/>
            </w:pPr>
            <w:r>
              <w:t>0.93-2.63</w:t>
            </w:r>
          </w:p>
        </w:tc>
        <w:tc>
          <w:tcPr>
            <w:tcW w:w="873" w:type="pct"/>
            <w:vAlign w:val="center"/>
          </w:tcPr>
          <w:p>
            <w:pPr>
              <w:pStyle w:val="30"/>
              <w:bidi w:val="0"/>
            </w:pPr>
            <w:r>
              <w:t>4</w:t>
            </w:r>
          </w:p>
        </w:tc>
        <w:tc>
          <w:tcPr>
            <w:tcW w:w="858" w:type="pct"/>
            <w:vAlign w:val="center"/>
          </w:tcPr>
          <w:p>
            <w:pPr>
              <w:pStyle w:val="30"/>
              <w:bidi w:val="0"/>
            </w:pPr>
            <w:r>
              <w:rPr>
                <w:rFonts w:hint="eastAsia"/>
              </w:rPr>
              <w:t>0.23-0.66</w:t>
            </w:r>
          </w:p>
        </w:tc>
        <w:tc>
          <w:tcPr>
            <w:tcW w:w="628" w:type="pct"/>
            <w:vAlign w:val="center"/>
          </w:tcPr>
          <w:p>
            <w:pPr>
              <w:pStyle w:val="30"/>
              <w:bidi w:val="0"/>
            </w:pPr>
            <w:r>
              <w:t>0</w:t>
            </w:r>
          </w:p>
        </w:tc>
        <w:tc>
          <w:tcPr>
            <w:tcW w:w="481" w:type="pct"/>
            <w:vAlign w:val="center"/>
          </w:tcPr>
          <w:p>
            <w:pPr>
              <w:pStyle w:val="30"/>
              <w:bidi w:val="0"/>
            </w:pPr>
            <w: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545" w:type="pct"/>
            <w:vMerge w:val="continue"/>
            <w:vAlign w:val="center"/>
          </w:tcPr>
          <w:p>
            <w:pPr>
              <w:pStyle w:val="30"/>
              <w:bidi w:val="0"/>
            </w:pPr>
          </w:p>
        </w:tc>
        <w:tc>
          <w:tcPr>
            <w:tcW w:w="687" w:type="pct"/>
            <w:vAlign w:val="center"/>
          </w:tcPr>
          <w:p>
            <w:pPr>
              <w:pStyle w:val="30"/>
              <w:bidi w:val="0"/>
            </w:pPr>
            <w:r>
              <w:t>总磷</w:t>
            </w:r>
          </w:p>
        </w:tc>
        <w:tc>
          <w:tcPr>
            <w:tcW w:w="925" w:type="pct"/>
            <w:vAlign w:val="center"/>
          </w:tcPr>
          <w:p>
            <w:pPr>
              <w:pStyle w:val="30"/>
              <w:bidi w:val="0"/>
            </w:pPr>
            <w:r>
              <w:t>0.045-0.113</w:t>
            </w:r>
          </w:p>
        </w:tc>
        <w:tc>
          <w:tcPr>
            <w:tcW w:w="873" w:type="pct"/>
            <w:vAlign w:val="center"/>
          </w:tcPr>
          <w:p>
            <w:pPr>
              <w:pStyle w:val="30"/>
              <w:bidi w:val="0"/>
            </w:pPr>
            <w:r>
              <w:t>0.05（湖、库）</w:t>
            </w:r>
          </w:p>
        </w:tc>
        <w:tc>
          <w:tcPr>
            <w:tcW w:w="858" w:type="pct"/>
            <w:vAlign w:val="center"/>
          </w:tcPr>
          <w:p>
            <w:pPr>
              <w:pStyle w:val="30"/>
              <w:bidi w:val="0"/>
            </w:pPr>
            <w:r>
              <w:rPr>
                <w:rFonts w:hint="eastAsia"/>
              </w:rPr>
              <w:t>0.9-2.26</w:t>
            </w:r>
          </w:p>
        </w:tc>
        <w:tc>
          <w:tcPr>
            <w:tcW w:w="628" w:type="pct"/>
            <w:vAlign w:val="center"/>
          </w:tcPr>
          <w:p>
            <w:pPr>
              <w:pStyle w:val="30"/>
              <w:bidi w:val="0"/>
            </w:pPr>
            <w:r>
              <w:t>1.26</w:t>
            </w:r>
          </w:p>
        </w:tc>
        <w:tc>
          <w:tcPr>
            <w:tcW w:w="481" w:type="pct"/>
            <w:vAlign w:val="center"/>
          </w:tcPr>
          <w:p>
            <w:pPr>
              <w:pStyle w:val="30"/>
              <w:bidi w:val="0"/>
            </w:pPr>
            <w:r>
              <w:t>83.3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545" w:type="pct"/>
            <w:vMerge w:val="continue"/>
            <w:vAlign w:val="center"/>
          </w:tcPr>
          <w:p>
            <w:pPr>
              <w:pStyle w:val="30"/>
              <w:bidi w:val="0"/>
            </w:pPr>
          </w:p>
        </w:tc>
        <w:tc>
          <w:tcPr>
            <w:tcW w:w="687" w:type="pct"/>
            <w:vAlign w:val="center"/>
          </w:tcPr>
          <w:p>
            <w:pPr>
              <w:pStyle w:val="30"/>
              <w:bidi w:val="0"/>
            </w:pPr>
            <w:r>
              <w:t>石油类</w:t>
            </w:r>
          </w:p>
        </w:tc>
        <w:tc>
          <w:tcPr>
            <w:tcW w:w="925" w:type="pct"/>
            <w:vAlign w:val="center"/>
          </w:tcPr>
          <w:p>
            <w:pPr>
              <w:pStyle w:val="30"/>
              <w:bidi w:val="0"/>
            </w:pPr>
            <w:r>
              <w:t>0.005-0.020</w:t>
            </w:r>
          </w:p>
        </w:tc>
        <w:tc>
          <w:tcPr>
            <w:tcW w:w="873" w:type="pct"/>
            <w:vAlign w:val="center"/>
          </w:tcPr>
          <w:p>
            <w:pPr>
              <w:pStyle w:val="30"/>
              <w:bidi w:val="0"/>
            </w:pPr>
            <w:r>
              <w:t>0.05</w:t>
            </w:r>
          </w:p>
        </w:tc>
        <w:tc>
          <w:tcPr>
            <w:tcW w:w="858" w:type="pct"/>
            <w:vAlign w:val="center"/>
          </w:tcPr>
          <w:p>
            <w:pPr>
              <w:pStyle w:val="30"/>
              <w:bidi w:val="0"/>
            </w:pPr>
            <w:r>
              <w:rPr>
                <w:rFonts w:hint="eastAsia"/>
              </w:rPr>
              <w:t>0.1-0.4</w:t>
            </w:r>
          </w:p>
        </w:tc>
        <w:tc>
          <w:tcPr>
            <w:tcW w:w="628" w:type="pct"/>
            <w:vAlign w:val="center"/>
          </w:tcPr>
          <w:p>
            <w:pPr>
              <w:pStyle w:val="30"/>
              <w:bidi w:val="0"/>
            </w:pPr>
            <w:r>
              <w:t>0</w:t>
            </w:r>
          </w:p>
        </w:tc>
        <w:tc>
          <w:tcPr>
            <w:tcW w:w="481" w:type="pct"/>
            <w:vAlign w:val="center"/>
          </w:tcPr>
          <w:p>
            <w:pPr>
              <w:pStyle w:val="30"/>
              <w:bidi w:val="0"/>
            </w:pPr>
            <w:r>
              <w:t>0</w:t>
            </w:r>
          </w:p>
        </w:tc>
      </w:tr>
    </w:tbl>
    <w:p>
      <w:pPr>
        <w:bidi w:val="0"/>
      </w:pPr>
      <w:r>
        <w:rPr>
          <w:rFonts w:hint="eastAsia"/>
        </w:rPr>
        <w:t>根据上述监测数据可知， 2017年东洞庭湖断面总磷超过《地表水环境质量标准》（GB3838-2002）的Ⅲ类标准，最大超标倍数为1.26，超标率为83.3%；各断面超标的主要原因为农业源污染、农村生活污水排放源、畜禽养殖污染源等。</w:t>
      </w:r>
    </w:p>
    <w:p>
      <w:pPr>
        <w:bidi w:val="0"/>
      </w:pPr>
      <w:r>
        <w:rPr>
          <w:rFonts w:hint="eastAsia"/>
        </w:rPr>
        <w:t>根据2017年岳阳市生态环境局组织编制的《岳阳市洞庭湖区污染综合整治方案》，拟从</w:t>
      </w:r>
      <w:r>
        <w:t>农村生活污水、农业面源污染、畜禽养殖污染、水产养殖污染四个方面采取治理方案和措施，并对上游污染采取相应的控制措施，以达到减轻岳阳市洞庭湖区对</w:t>
      </w:r>
      <w:r>
        <w:rPr>
          <w:rFonts w:hint="eastAsia"/>
        </w:rPr>
        <w:t>本地水体的</w:t>
      </w:r>
      <w:r>
        <w:t>污染负荷，提升东洞庭湖对上游汇入污染物的容量，逐步改善岳阳市洞庭湖区水质，并最终在</w:t>
      </w:r>
      <w:r>
        <w:rPr>
          <w:rFonts w:hint="eastAsia"/>
        </w:rPr>
        <w:t>2020年</w:t>
      </w:r>
      <w:r>
        <w:t>达到岳阳市洞庭湖区各控制断面及整体水质达到《地表水环境质量标准》（GB3838-2002）中Ⅲ类水质标准的目的。</w:t>
      </w:r>
    </w:p>
    <w:p>
      <w:pPr>
        <w:bidi w:val="0"/>
      </w:pPr>
      <w:r>
        <w:rPr>
          <w:rFonts w:hint="eastAsia"/>
        </w:rPr>
        <w:t>根据中国环境监测总站编制的《2019全国地表水水质月报》（1-4期），目前洞庭湖水质为轻度污染，污染因子以总氮为主。相信通过综合整治，目标年2020年能实现</w:t>
      </w:r>
      <w:r>
        <w:t>洞庭湖区各控制断面及整体水质达到《地表水环境质量标准》（GB3838-2002）中Ⅲ类水质标准的目的。</w:t>
      </w:r>
    </w:p>
    <w:p>
      <w:pPr>
        <w:pStyle w:val="2"/>
        <w:bidi w:val="0"/>
        <w:rPr>
          <w:rFonts w:hint="eastAsia"/>
          <w:lang w:eastAsia="zh-CN"/>
        </w:rPr>
      </w:pPr>
      <w:r>
        <w:rPr>
          <w:rFonts w:hint="eastAsia"/>
          <w:lang w:eastAsia="zh-CN"/>
        </w:rPr>
        <w:t>声环境质量</w:t>
      </w:r>
    </w:p>
    <w:p>
      <w:pPr>
        <w:bidi w:val="0"/>
        <w:rPr>
          <w:rFonts w:hint="default"/>
          <w:highlight w:val="none"/>
          <w:lang w:val="en-US" w:eastAsia="zh-CN"/>
        </w:rPr>
      </w:pPr>
      <w:r>
        <w:rPr>
          <w:rFonts w:hint="default"/>
          <w:highlight w:val="none"/>
          <w:lang w:val="en-US" w:eastAsia="zh-CN"/>
        </w:rPr>
        <w:t>为了解建设项目所在区域声环境质量现状，于20</w:t>
      </w:r>
      <w:r>
        <w:rPr>
          <w:rFonts w:hint="eastAsia"/>
          <w:highlight w:val="none"/>
          <w:lang w:val="en-US" w:eastAsia="zh-CN"/>
        </w:rPr>
        <w:t>20</w:t>
      </w:r>
      <w:r>
        <w:rPr>
          <w:rFonts w:hint="default"/>
          <w:highlight w:val="none"/>
          <w:lang w:val="en-US" w:eastAsia="zh-CN"/>
        </w:rPr>
        <w:t>年</w:t>
      </w:r>
      <w:r>
        <w:rPr>
          <w:rFonts w:hint="eastAsia"/>
          <w:highlight w:val="none"/>
          <w:lang w:val="en-US" w:eastAsia="zh-CN"/>
        </w:rPr>
        <w:t>6</w:t>
      </w:r>
      <w:r>
        <w:rPr>
          <w:rFonts w:hint="default"/>
          <w:highlight w:val="none"/>
          <w:lang w:val="en-US" w:eastAsia="zh-CN"/>
        </w:rPr>
        <w:t>月</w:t>
      </w:r>
      <w:r>
        <w:rPr>
          <w:rFonts w:hint="eastAsia"/>
          <w:highlight w:val="none"/>
          <w:lang w:val="en-US" w:eastAsia="zh-CN"/>
        </w:rPr>
        <w:t>20</w:t>
      </w:r>
      <w:r>
        <w:rPr>
          <w:rFonts w:hint="default"/>
          <w:highlight w:val="none"/>
          <w:lang w:val="en-US" w:eastAsia="zh-CN"/>
        </w:rPr>
        <w:t>~</w:t>
      </w:r>
      <w:r>
        <w:rPr>
          <w:rFonts w:hint="eastAsia"/>
          <w:highlight w:val="none"/>
          <w:lang w:val="en-US" w:eastAsia="zh-CN"/>
        </w:rPr>
        <w:t>21</w:t>
      </w:r>
      <w:r>
        <w:rPr>
          <w:rFonts w:hint="default"/>
          <w:highlight w:val="none"/>
          <w:lang w:val="en-US" w:eastAsia="zh-CN"/>
        </w:rPr>
        <w:t>日对项目所在区域进行了为期两天的声环境现状监测。</w:t>
      </w:r>
    </w:p>
    <w:p>
      <w:pPr>
        <w:bidi w:val="0"/>
        <w:rPr>
          <w:rFonts w:hint="default"/>
          <w:highlight w:val="none"/>
          <w:lang w:val="en-US" w:eastAsia="zh-CN"/>
        </w:rPr>
      </w:pPr>
      <w:r>
        <w:rPr>
          <w:rFonts w:hint="default"/>
          <w:highlight w:val="none"/>
          <w:lang w:val="en-US" w:eastAsia="zh-CN"/>
        </w:rPr>
        <w:t>监测点位：根据场地特征及敏感目标，共设置4个监测点位，见</w:t>
      </w:r>
      <w:r>
        <w:rPr>
          <w:rFonts w:hint="eastAsia"/>
          <w:highlight w:val="none"/>
          <w:lang w:val="en-US" w:eastAsia="zh-CN"/>
        </w:rPr>
        <w:t>下</w:t>
      </w:r>
      <w:r>
        <w:rPr>
          <w:rFonts w:hint="default"/>
          <w:highlight w:val="none"/>
          <w:lang w:val="en-US" w:eastAsia="zh-CN"/>
        </w:rPr>
        <w:t>表。</w:t>
      </w:r>
    </w:p>
    <w:p>
      <w:pPr>
        <w:bidi w:val="0"/>
        <w:rPr>
          <w:rFonts w:hint="default"/>
          <w:highlight w:val="none"/>
          <w:lang w:val="en-US" w:eastAsia="zh-CN"/>
        </w:rPr>
      </w:pPr>
      <w:r>
        <w:rPr>
          <w:rFonts w:hint="default"/>
          <w:highlight w:val="none"/>
          <w:lang w:val="en-US" w:eastAsia="zh-CN"/>
        </w:rPr>
        <w:t>监测因子：等效连续A声级Leq(A)。</w:t>
      </w:r>
    </w:p>
    <w:p>
      <w:pPr>
        <w:bidi w:val="0"/>
        <w:rPr>
          <w:rFonts w:hint="default"/>
          <w:highlight w:val="none"/>
          <w:lang w:val="en-US" w:eastAsia="zh-CN"/>
        </w:rPr>
      </w:pPr>
      <w:r>
        <w:rPr>
          <w:rFonts w:hint="default"/>
          <w:highlight w:val="none"/>
          <w:lang w:val="en-US" w:eastAsia="zh-CN"/>
        </w:rPr>
        <w:t>评价方法：采用实测值与评价标准比较。</w:t>
      </w:r>
    </w:p>
    <w:p>
      <w:pPr>
        <w:bidi w:val="0"/>
        <w:rPr>
          <w:rFonts w:hint="default"/>
          <w:highlight w:val="none"/>
          <w:lang w:val="en-US" w:eastAsia="zh-CN"/>
        </w:rPr>
      </w:pPr>
      <w:r>
        <w:rPr>
          <w:rFonts w:hint="default"/>
          <w:highlight w:val="none"/>
          <w:lang w:val="en-US" w:eastAsia="zh-CN"/>
        </w:rPr>
        <w:t>评价标准：执行《声环境质量标准》（GB3096-2008）</w:t>
      </w:r>
      <w:r>
        <w:rPr>
          <w:rFonts w:hint="eastAsia"/>
          <w:highlight w:val="none"/>
          <w:lang w:val="en-US" w:eastAsia="zh-CN"/>
        </w:rPr>
        <w:t>1</w:t>
      </w:r>
      <w:r>
        <w:rPr>
          <w:rFonts w:hint="default"/>
          <w:highlight w:val="none"/>
          <w:lang w:val="en-US" w:eastAsia="zh-CN"/>
        </w:rPr>
        <w:t>类标准。</w:t>
      </w:r>
    </w:p>
    <w:p>
      <w:pPr>
        <w:pStyle w:val="29"/>
        <w:bidi w:val="0"/>
        <w:rPr>
          <w:rFonts w:hint="default"/>
        </w:rPr>
      </w:pPr>
      <w:bookmarkStart w:id="107" w:name="_Ref340763147"/>
      <w:r>
        <w:rPr>
          <w:rFonts w:hint="default"/>
        </w:rPr>
        <w:t>表</w:t>
      </w:r>
      <w:bookmarkEnd w:id="107"/>
      <w:r>
        <w:rPr>
          <w:rFonts w:hint="eastAsia"/>
          <w:lang w:val="en-US" w:eastAsia="zh-CN"/>
        </w:rPr>
        <w:t>5.2</w:t>
      </w:r>
      <w:r>
        <w:rPr>
          <w:rFonts w:hint="default"/>
        </w:rPr>
        <w:t>-</w:t>
      </w:r>
      <w:r>
        <w:rPr>
          <w:rFonts w:hint="eastAsia"/>
          <w:lang w:val="en-US" w:eastAsia="zh-CN"/>
        </w:rPr>
        <w:t>4</w:t>
      </w:r>
      <w:r>
        <w:rPr>
          <w:rFonts w:hint="default"/>
        </w:rPr>
        <w:t xml:space="preserve">  声环境监测点位表</w:t>
      </w:r>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471"/>
        <w:gridCol w:w="666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exact"/>
          <w:tblHeader/>
          <w:jc w:val="center"/>
        </w:trPr>
        <w:tc>
          <w:tcPr>
            <w:tcW w:w="2471" w:type="dxa"/>
            <w:vMerge w:val="restart"/>
            <w:tcBorders>
              <w:top w:val="single" w:color="000000" w:sz="12" w:space="0"/>
              <w:left w:val="single" w:color="000000" w:sz="12" w:space="0"/>
              <w:bottom w:val="single" w:color="000000" w:sz="4" w:space="0"/>
              <w:right w:val="single" w:color="000000" w:sz="4" w:space="0"/>
            </w:tcBorders>
            <w:shd w:val="clear" w:color="auto" w:fill="auto"/>
            <w:noWrap w:val="0"/>
            <w:vAlign w:val="center"/>
          </w:tcPr>
          <w:p>
            <w:pPr>
              <w:pStyle w:val="30"/>
              <w:bidi w:val="0"/>
              <w:rPr>
                <w:rFonts w:hint="default"/>
                <w:highlight w:val="none"/>
              </w:rPr>
            </w:pPr>
            <w:r>
              <w:rPr>
                <w:rFonts w:hint="default"/>
                <w:highlight w:val="none"/>
              </w:rPr>
              <w:t>编号</w:t>
            </w:r>
          </w:p>
        </w:tc>
        <w:tc>
          <w:tcPr>
            <w:tcW w:w="6669" w:type="dxa"/>
            <w:vMerge w:val="restart"/>
            <w:tcBorders>
              <w:top w:val="single" w:color="000000" w:sz="12" w:space="0"/>
              <w:left w:val="single" w:color="000000" w:sz="4" w:space="0"/>
              <w:bottom w:val="single" w:color="000000" w:sz="4" w:space="0"/>
              <w:right w:val="single" w:color="000000" w:sz="12" w:space="0"/>
            </w:tcBorders>
            <w:shd w:val="clear" w:color="auto" w:fill="auto"/>
            <w:noWrap w:val="0"/>
            <w:vAlign w:val="center"/>
          </w:tcPr>
          <w:p>
            <w:pPr>
              <w:pStyle w:val="30"/>
              <w:bidi w:val="0"/>
              <w:rPr>
                <w:rFonts w:hint="default"/>
                <w:highlight w:val="none"/>
              </w:rPr>
            </w:pPr>
            <w:r>
              <w:rPr>
                <w:rFonts w:hint="default"/>
                <w:highlight w:val="none"/>
              </w:rPr>
              <w:t>监测点名称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 w:hRule="exact"/>
          <w:tblHeader/>
          <w:jc w:val="center"/>
        </w:trPr>
        <w:tc>
          <w:tcPr>
            <w:tcW w:w="2471" w:type="dxa"/>
            <w:vMerge w:val="continue"/>
            <w:tcBorders>
              <w:top w:val="single" w:color="000000" w:sz="4" w:space="0"/>
              <w:left w:val="single" w:color="000000" w:sz="12" w:space="0"/>
              <w:bottom w:val="single" w:color="000000" w:sz="4" w:space="0"/>
              <w:right w:val="single" w:color="000000" w:sz="4" w:space="0"/>
            </w:tcBorders>
            <w:shd w:val="clear" w:color="auto" w:fill="auto"/>
            <w:noWrap w:val="0"/>
            <w:vAlign w:val="center"/>
          </w:tcPr>
          <w:p>
            <w:pPr>
              <w:pStyle w:val="30"/>
              <w:bidi w:val="0"/>
              <w:rPr>
                <w:rFonts w:hint="default"/>
                <w:highlight w:val="none"/>
              </w:rPr>
            </w:pPr>
          </w:p>
        </w:tc>
        <w:tc>
          <w:tcPr>
            <w:tcW w:w="6669" w:type="dxa"/>
            <w:vMerge w:val="continue"/>
            <w:tcBorders>
              <w:top w:val="single" w:color="000000" w:sz="4" w:space="0"/>
              <w:left w:val="single" w:color="000000" w:sz="4" w:space="0"/>
              <w:bottom w:val="single" w:color="000000" w:sz="4" w:space="0"/>
              <w:right w:val="single" w:color="000000" w:sz="12" w:space="0"/>
            </w:tcBorders>
            <w:shd w:val="clear" w:color="auto" w:fill="auto"/>
            <w:noWrap w:val="0"/>
            <w:vAlign w:val="center"/>
          </w:tcPr>
          <w:p>
            <w:pPr>
              <w:pStyle w:val="30"/>
              <w:bidi w:val="0"/>
              <w:rPr>
                <w:rFonts w:hint="default"/>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exact"/>
          <w:jc w:val="center"/>
        </w:trPr>
        <w:tc>
          <w:tcPr>
            <w:tcW w:w="2471" w:type="dxa"/>
            <w:tcBorders>
              <w:top w:val="single" w:color="000000" w:sz="4" w:space="0"/>
              <w:left w:val="single" w:color="000000" w:sz="12" w:space="0"/>
              <w:bottom w:val="single" w:color="000000" w:sz="4" w:space="0"/>
              <w:right w:val="single" w:color="000000" w:sz="4" w:space="0"/>
            </w:tcBorders>
            <w:shd w:val="clear" w:color="auto" w:fill="auto"/>
            <w:noWrap w:val="0"/>
            <w:vAlign w:val="center"/>
          </w:tcPr>
          <w:p>
            <w:pPr>
              <w:pStyle w:val="30"/>
              <w:bidi w:val="0"/>
              <w:rPr>
                <w:rFonts w:hint="default"/>
                <w:highlight w:val="none"/>
              </w:rPr>
            </w:pPr>
            <w:r>
              <w:rPr>
                <w:rFonts w:hint="default"/>
                <w:highlight w:val="none"/>
              </w:rPr>
              <w:t>N1</w:t>
            </w:r>
          </w:p>
        </w:tc>
        <w:tc>
          <w:tcPr>
            <w:tcW w:w="6669" w:type="dxa"/>
            <w:tcBorders>
              <w:top w:val="single" w:color="000000" w:sz="4" w:space="0"/>
              <w:left w:val="single" w:color="000000" w:sz="4" w:space="0"/>
              <w:bottom w:val="single" w:color="000000" w:sz="4" w:space="0"/>
              <w:right w:val="single" w:color="000000" w:sz="12" w:space="0"/>
            </w:tcBorders>
            <w:shd w:val="clear" w:color="auto" w:fill="auto"/>
            <w:noWrap w:val="0"/>
            <w:vAlign w:val="center"/>
          </w:tcPr>
          <w:p>
            <w:pPr>
              <w:pStyle w:val="30"/>
              <w:bidi w:val="0"/>
              <w:rPr>
                <w:rFonts w:hint="default"/>
                <w:highlight w:val="none"/>
              </w:rPr>
            </w:pPr>
            <w:r>
              <w:rPr>
                <w:rFonts w:hint="default"/>
                <w:highlight w:val="none"/>
              </w:rPr>
              <w:t>场界东边界外1m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exact"/>
          <w:jc w:val="center"/>
        </w:trPr>
        <w:tc>
          <w:tcPr>
            <w:tcW w:w="2471" w:type="dxa"/>
            <w:tcBorders>
              <w:top w:val="single" w:color="000000" w:sz="4" w:space="0"/>
              <w:left w:val="single" w:color="000000" w:sz="12" w:space="0"/>
              <w:bottom w:val="single" w:color="000000" w:sz="4" w:space="0"/>
              <w:right w:val="single" w:color="000000" w:sz="4" w:space="0"/>
            </w:tcBorders>
            <w:shd w:val="clear" w:color="auto" w:fill="auto"/>
            <w:noWrap w:val="0"/>
            <w:vAlign w:val="center"/>
          </w:tcPr>
          <w:p>
            <w:pPr>
              <w:pStyle w:val="30"/>
              <w:bidi w:val="0"/>
              <w:rPr>
                <w:rFonts w:hint="default"/>
                <w:highlight w:val="none"/>
              </w:rPr>
            </w:pPr>
            <w:r>
              <w:rPr>
                <w:rFonts w:hint="default"/>
                <w:highlight w:val="none"/>
              </w:rPr>
              <w:t>N2</w:t>
            </w:r>
          </w:p>
        </w:tc>
        <w:tc>
          <w:tcPr>
            <w:tcW w:w="6669" w:type="dxa"/>
            <w:tcBorders>
              <w:top w:val="single" w:color="000000" w:sz="4" w:space="0"/>
              <w:left w:val="single" w:color="000000" w:sz="4" w:space="0"/>
              <w:bottom w:val="single" w:color="000000" w:sz="4" w:space="0"/>
              <w:right w:val="single" w:color="000000" w:sz="12" w:space="0"/>
            </w:tcBorders>
            <w:shd w:val="clear" w:color="auto" w:fill="auto"/>
            <w:noWrap w:val="0"/>
            <w:vAlign w:val="center"/>
          </w:tcPr>
          <w:p>
            <w:pPr>
              <w:pStyle w:val="30"/>
              <w:bidi w:val="0"/>
              <w:rPr>
                <w:rFonts w:hint="default"/>
                <w:highlight w:val="none"/>
              </w:rPr>
            </w:pPr>
            <w:r>
              <w:rPr>
                <w:rFonts w:hint="default"/>
                <w:highlight w:val="none"/>
              </w:rPr>
              <w:t>场界南边界外1m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exact"/>
          <w:jc w:val="center"/>
        </w:trPr>
        <w:tc>
          <w:tcPr>
            <w:tcW w:w="2471" w:type="dxa"/>
            <w:tcBorders>
              <w:top w:val="single" w:color="000000" w:sz="4" w:space="0"/>
              <w:left w:val="single" w:color="000000" w:sz="12" w:space="0"/>
              <w:bottom w:val="single" w:color="000000" w:sz="4" w:space="0"/>
              <w:right w:val="single" w:color="000000" w:sz="4" w:space="0"/>
            </w:tcBorders>
            <w:shd w:val="clear" w:color="auto" w:fill="auto"/>
            <w:noWrap w:val="0"/>
            <w:vAlign w:val="center"/>
          </w:tcPr>
          <w:p>
            <w:pPr>
              <w:pStyle w:val="30"/>
              <w:bidi w:val="0"/>
              <w:rPr>
                <w:rFonts w:hint="default"/>
                <w:highlight w:val="none"/>
              </w:rPr>
            </w:pPr>
            <w:r>
              <w:rPr>
                <w:rFonts w:hint="default"/>
                <w:highlight w:val="none"/>
              </w:rPr>
              <w:t>N3</w:t>
            </w:r>
          </w:p>
        </w:tc>
        <w:tc>
          <w:tcPr>
            <w:tcW w:w="6669" w:type="dxa"/>
            <w:tcBorders>
              <w:top w:val="single" w:color="000000" w:sz="4" w:space="0"/>
              <w:left w:val="single" w:color="000000" w:sz="4" w:space="0"/>
              <w:bottom w:val="single" w:color="000000" w:sz="4" w:space="0"/>
              <w:right w:val="single" w:color="000000" w:sz="12" w:space="0"/>
            </w:tcBorders>
            <w:shd w:val="clear" w:color="auto" w:fill="auto"/>
            <w:noWrap w:val="0"/>
            <w:vAlign w:val="center"/>
          </w:tcPr>
          <w:p>
            <w:pPr>
              <w:pStyle w:val="30"/>
              <w:bidi w:val="0"/>
              <w:rPr>
                <w:rFonts w:hint="default"/>
                <w:highlight w:val="none"/>
              </w:rPr>
            </w:pPr>
            <w:r>
              <w:rPr>
                <w:rFonts w:hint="default"/>
                <w:highlight w:val="none"/>
              </w:rPr>
              <w:t>场界西边界外1m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exact"/>
          <w:jc w:val="center"/>
        </w:trPr>
        <w:tc>
          <w:tcPr>
            <w:tcW w:w="2471" w:type="dxa"/>
            <w:tcBorders>
              <w:top w:val="single" w:color="000000" w:sz="4" w:space="0"/>
              <w:left w:val="single" w:color="000000" w:sz="12" w:space="0"/>
              <w:bottom w:val="single" w:color="000000" w:sz="12" w:space="0"/>
              <w:right w:val="single" w:color="000000" w:sz="4" w:space="0"/>
            </w:tcBorders>
            <w:shd w:val="clear" w:color="auto" w:fill="auto"/>
            <w:noWrap w:val="0"/>
            <w:vAlign w:val="center"/>
          </w:tcPr>
          <w:p>
            <w:pPr>
              <w:pStyle w:val="30"/>
              <w:bidi w:val="0"/>
              <w:rPr>
                <w:rFonts w:hint="default"/>
                <w:highlight w:val="none"/>
              </w:rPr>
            </w:pPr>
            <w:r>
              <w:rPr>
                <w:rFonts w:hint="default"/>
                <w:highlight w:val="none"/>
              </w:rPr>
              <w:t>N4</w:t>
            </w:r>
          </w:p>
        </w:tc>
        <w:tc>
          <w:tcPr>
            <w:tcW w:w="6669" w:type="dxa"/>
            <w:tcBorders>
              <w:top w:val="single" w:color="000000" w:sz="4" w:space="0"/>
              <w:left w:val="single" w:color="000000" w:sz="4" w:space="0"/>
              <w:bottom w:val="single" w:color="000000" w:sz="12" w:space="0"/>
              <w:right w:val="single" w:color="000000" w:sz="12" w:space="0"/>
            </w:tcBorders>
            <w:shd w:val="clear" w:color="auto" w:fill="auto"/>
            <w:noWrap w:val="0"/>
            <w:vAlign w:val="center"/>
          </w:tcPr>
          <w:p>
            <w:pPr>
              <w:pStyle w:val="30"/>
              <w:bidi w:val="0"/>
              <w:rPr>
                <w:rFonts w:hint="default"/>
                <w:highlight w:val="none"/>
              </w:rPr>
            </w:pPr>
            <w:r>
              <w:rPr>
                <w:rFonts w:hint="default"/>
                <w:highlight w:val="none"/>
              </w:rPr>
              <w:t>场界北边界外1m</w:t>
            </w:r>
          </w:p>
        </w:tc>
      </w:tr>
    </w:tbl>
    <w:p>
      <w:pPr>
        <w:bidi w:val="0"/>
        <w:rPr>
          <w:rFonts w:hint="default"/>
          <w:highlight w:val="none"/>
          <w:lang w:val="en-US" w:eastAsia="zh-CN"/>
        </w:rPr>
      </w:pPr>
      <w:r>
        <w:rPr>
          <w:rFonts w:hint="default"/>
          <w:highlight w:val="none"/>
          <w:lang w:val="en-US" w:eastAsia="zh-CN"/>
        </w:rPr>
        <w:t>声环境现状监测结果统计与评价分析见表</w:t>
      </w:r>
      <w:r>
        <w:rPr>
          <w:rFonts w:hint="eastAsia"/>
          <w:highlight w:val="none"/>
          <w:lang w:val="en-US" w:eastAsia="zh-CN"/>
        </w:rPr>
        <w:t>5.2</w:t>
      </w:r>
      <w:r>
        <w:rPr>
          <w:rFonts w:hint="default"/>
          <w:highlight w:val="none"/>
          <w:lang w:val="en-US" w:eastAsia="zh-CN"/>
        </w:rPr>
        <w:t>-</w:t>
      </w:r>
      <w:r>
        <w:rPr>
          <w:rFonts w:hint="eastAsia"/>
          <w:highlight w:val="none"/>
          <w:lang w:val="en-US" w:eastAsia="zh-CN"/>
        </w:rPr>
        <w:t>5</w:t>
      </w:r>
      <w:r>
        <w:rPr>
          <w:rFonts w:hint="default"/>
          <w:highlight w:val="none"/>
          <w:lang w:val="en-US" w:eastAsia="zh-CN"/>
        </w:rPr>
        <w:t>。</w:t>
      </w:r>
    </w:p>
    <w:p>
      <w:pPr>
        <w:pStyle w:val="29"/>
        <w:bidi w:val="0"/>
        <w:rPr>
          <w:rFonts w:hint="default"/>
          <w:highlight w:val="none"/>
        </w:rPr>
      </w:pPr>
      <w:bookmarkStart w:id="108" w:name="_Ref340763213"/>
      <w:r>
        <w:rPr>
          <w:rFonts w:hint="default"/>
          <w:highlight w:val="none"/>
        </w:rPr>
        <w:t>表</w:t>
      </w:r>
      <w:bookmarkEnd w:id="108"/>
      <w:r>
        <w:rPr>
          <w:rFonts w:hint="eastAsia"/>
          <w:highlight w:val="none"/>
          <w:lang w:val="en-US" w:eastAsia="zh-CN"/>
        </w:rPr>
        <w:t>5.2</w:t>
      </w:r>
      <w:r>
        <w:rPr>
          <w:rFonts w:hint="default"/>
          <w:highlight w:val="none"/>
        </w:rPr>
        <w:t>-</w:t>
      </w:r>
      <w:r>
        <w:rPr>
          <w:rFonts w:hint="eastAsia"/>
          <w:highlight w:val="none"/>
          <w:lang w:val="en-US" w:eastAsia="zh-CN"/>
        </w:rPr>
        <w:t>5</w:t>
      </w:r>
      <w:r>
        <w:rPr>
          <w:rFonts w:hint="default"/>
          <w:highlight w:val="none"/>
        </w:rPr>
        <w:t xml:space="preserve">  声环境现状质量监测结果统计与分析  （单位：dB(A)）</w:t>
      </w:r>
    </w:p>
    <w:tbl>
      <w:tblPr>
        <w:tblStyle w:val="21"/>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603"/>
        <w:gridCol w:w="1989"/>
        <w:gridCol w:w="837"/>
        <w:gridCol w:w="753"/>
        <w:gridCol w:w="958"/>
        <w:gridCol w:w="702"/>
        <w:gridCol w:w="845"/>
        <w:gridCol w:w="745"/>
        <w:gridCol w:w="963"/>
        <w:gridCol w:w="733"/>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tblHeader/>
          <w:jc w:val="center"/>
        </w:trPr>
        <w:tc>
          <w:tcPr>
            <w:tcW w:w="603" w:type="dxa"/>
            <w:vMerge w:val="restart"/>
            <w:tcBorders>
              <w:tl2br w:val="nil"/>
              <w:tr2bl w:val="nil"/>
            </w:tcBorders>
            <w:noWrap w:val="0"/>
            <w:vAlign w:val="center"/>
          </w:tcPr>
          <w:p>
            <w:pPr>
              <w:pStyle w:val="30"/>
              <w:bidi w:val="0"/>
              <w:rPr>
                <w:rFonts w:hint="default"/>
              </w:rPr>
            </w:pPr>
            <w:r>
              <w:rPr>
                <w:rFonts w:hint="default"/>
              </w:rPr>
              <w:t>编号</w:t>
            </w:r>
          </w:p>
        </w:tc>
        <w:tc>
          <w:tcPr>
            <w:tcW w:w="1989" w:type="dxa"/>
            <w:vMerge w:val="restart"/>
            <w:tcBorders>
              <w:tl2br w:val="nil"/>
              <w:tr2bl w:val="nil"/>
            </w:tcBorders>
            <w:noWrap w:val="0"/>
            <w:vAlign w:val="center"/>
          </w:tcPr>
          <w:p>
            <w:pPr>
              <w:pStyle w:val="30"/>
              <w:bidi w:val="0"/>
              <w:rPr>
                <w:rFonts w:hint="default"/>
              </w:rPr>
            </w:pPr>
            <w:r>
              <w:rPr>
                <w:rFonts w:hint="default"/>
              </w:rPr>
              <w:t>监测点位置</w:t>
            </w:r>
          </w:p>
        </w:tc>
        <w:tc>
          <w:tcPr>
            <w:tcW w:w="3250" w:type="dxa"/>
            <w:gridSpan w:val="4"/>
            <w:tcBorders>
              <w:tl2br w:val="nil"/>
              <w:tr2bl w:val="nil"/>
            </w:tcBorders>
            <w:noWrap w:val="0"/>
            <w:vAlign w:val="center"/>
          </w:tcPr>
          <w:p>
            <w:pPr>
              <w:pStyle w:val="30"/>
              <w:bidi w:val="0"/>
              <w:rPr>
                <w:rFonts w:hint="default"/>
              </w:rPr>
            </w:pPr>
            <w:r>
              <w:rPr>
                <w:rFonts w:hint="default"/>
              </w:rPr>
              <w:t>昼间</w:t>
            </w:r>
          </w:p>
        </w:tc>
        <w:tc>
          <w:tcPr>
            <w:tcW w:w="3286" w:type="dxa"/>
            <w:gridSpan w:val="4"/>
            <w:tcBorders>
              <w:tl2br w:val="nil"/>
              <w:tr2bl w:val="nil"/>
            </w:tcBorders>
            <w:noWrap w:val="0"/>
            <w:vAlign w:val="center"/>
          </w:tcPr>
          <w:p>
            <w:pPr>
              <w:pStyle w:val="30"/>
              <w:bidi w:val="0"/>
              <w:rPr>
                <w:rFonts w:hint="default"/>
              </w:rPr>
            </w:pPr>
            <w:r>
              <w:rPr>
                <w:rFonts w:hint="default"/>
              </w:rPr>
              <w:t>夜间</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tblHeader/>
          <w:jc w:val="center"/>
        </w:trPr>
        <w:tc>
          <w:tcPr>
            <w:tcW w:w="603" w:type="dxa"/>
            <w:vMerge w:val="continue"/>
            <w:tcBorders>
              <w:tl2br w:val="nil"/>
              <w:tr2bl w:val="nil"/>
            </w:tcBorders>
            <w:noWrap w:val="0"/>
            <w:vAlign w:val="center"/>
          </w:tcPr>
          <w:p>
            <w:pPr>
              <w:pStyle w:val="30"/>
              <w:bidi w:val="0"/>
              <w:rPr>
                <w:rFonts w:hint="default"/>
              </w:rPr>
            </w:pPr>
          </w:p>
        </w:tc>
        <w:tc>
          <w:tcPr>
            <w:tcW w:w="1989" w:type="dxa"/>
            <w:vMerge w:val="continue"/>
            <w:tcBorders>
              <w:tl2br w:val="nil"/>
              <w:tr2bl w:val="nil"/>
            </w:tcBorders>
            <w:noWrap w:val="0"/>
            <w:vAlign w:val="center"/>
          </w:tcPr>
          <w:p>
            <w:pPr>
              <w:pStyle w:val="30"/>
              <w:bidi w:val="0"/>
              <w:rPr>
                <w:rFonts w:hint="default"/>
              </w:rPr>
            </w:pPr>
          </w:p>
        </w:tc>
        <w:tc>
          <w:tcPr>
            <w:tcW w:w="837" w:type="dxa"/>
            <w:tcBorders>
              <w:tl2br w:val="nil"/>
              <w:tr2bl w:val="nil"/>
            </w:tcBorders>
            <w:noWrap w:val="0"/>
            <w:vAlign w:val="center"/>
          </w:tcPr>
          <w:p>
            <w:pPr>
              <w:pStyle w:val="30"/>
              <w:bidi w:val="0"/>
              <w:rPr>
                <w:rFonts w:hint="default"/>
                <w:lang w:val="en-US" w:eastAsia="zh-CN"/>
              </w:rPr>
            </w:pPr>
            <w:r>
              <w:rPr>
                <w:rFonts w:hint="eastAsia"/>
                <w:lang w:val="en-US" w:eastAsia="zh-CN"/>
              </w:rPr>
              <w:t>6.20</w:t>
            </w:r>
          </w:p>
        </w:tc>
        <w:tc>
          <w:tcPr>
            <w:tcW w:w="753" w:type="dxa"/>
            <w:tcBorders>
              <w:tl2br w:val="nil"/>
              <w:tr2bl w:val="nil"/>
            </w:tcBorders>
            <w:noWrap w:val="0"/>
            <w:vAlign w:val="center"/>
          </w:tcPr>
          <w:p>
            <w:pPr>
              <w:pStyle w:val="30"/>
              <w:bidi w:val="0"/>
              <w:rPr>
                <w:rFonts w:hint="default"/>
                <w:lang w:val="en-US" w:eastAsia="zh-CN"/>
              </w:rPr>
            </w:pPr>
            <w:r>
              <w:rPr>
                <w:rFonts w:hint="eastAsia"/>
                <w:lang w:val="en-US" w:eastAsia="zh-CN"/>
              </w:rPr>
              <w:t>6.21</w:t>
            </w:r>
          </w:p>
        </w:tc>
        <w:tc>
          <w:tcPr>
            <w:tcW w:w="958" w:type="dxa"/>
            <w:tcBorders>
              <w:tl2br w:val="nil"/>
              <w:tr2bl w:val="nil"/>
            </w:tcBorders>
            <w:noWrap w:val="0"/>
            <w:vAlign w:val="center"/>
          </w:tcPr>
          <w:p>
            <w:pPr>
              <w:pStyle w:val="30"/>
              <w:bidi w:val="0"/>
              <w:rPr>
                <w:rFonts w:hint="default"/>
              </w:rPr>
            </w:pPr>
            <w:r>
              <w:rPr>
                <w:rFonts w:hint="default"/>
              </w:rPr>
              <w:t>标准值</w:t>
            </w:r>
          </w:p>
        </w:tc>
        <w:tc>
          <w:tcPr>
            <w:tcW w:w="702" w:type="dxa"/>
            <w:tcBorders>
              <w:tl2br w:val="nil"/>
              <w:tr2bl w:val="nil"/>
            </w:tcBorders>
            <w:noWrap w:val="0"/>
            <w:vAlign w:val="center"/>
          </w:tcPr>
          <w:p>
            <w:pPr>
              <w:pStyle w:val="30"/>
              <w:bidi w:val="0"/>
              <w:rPr>
                <w:rFonts w:hint="default"/>
              </w:rPr>
            </w:pPr>
            <w:r>
              <w:rPr>
                <w:rFonts w:hint="default"/>
              </w:rPr>
              <w:t>评价结果</w:t>
            </w:r>
          </w:p>
        </w:tc>
        <w:tc>
          <w:tcPr>
            <w:tcW w:w="845" w:type="dxa"/>
            <w:tcBorders>
              <w:tl2br w:val="nil"/>
              <w:tr2bl w:val="nil"/>
            </w:tcBorders>
            <w:noWrap w:val="0"/>
            <w:vAlign w:val="center"/>
          </w:tcPr>
          <w:p>
            <w:pPr>
              <w:pStyle w:val="30"/>
              <w:bidi w:val="0"/>
              <w:rPr>
                <w:rFonts w:hint="default"/>
                <w:lang w:eastAsia="zh-CN"/>
              </w:rPr>
            </w:pPr>
            <w:r>
              <w:rPr>
                <w:rFonts w:hint="eastAsia"/>
                <w:lang w:val="en-US" w:eastAsia="zh-CN"/>
              </w:rPr>
              <w:t>6.20</w:t>
            </w:r>
          </w:p>
        </w:tc>
        <w:tc>
          <w:tcPr>
            <w:tcW w:w="745" w:type="dxa"/>
            <w:tcBorders>
              <w:tl2br w:val="nil"/>
              <w:tr2bl w:val="nil"/>
            </w:tcBorders>
            <w:noWrap w:val="0"/>
            <w:vAlign w:val="center"/>
          </w:tcPr>
          <w:p>
            <w:pPr>
              <w:pStyle w:val="30"/>
              <w:bidi w:val="0"/>
              <w:rPr>
                <w:rFonts w:hint="default"/>
                <w:lang w:eastAsia="zh-CN"/>
              </w:rPr>
            </w:pPr>
            <w:r>
              <w:rPr>
                <w:rFonts w:hint="eastAsia"/>
                <w:lang w:val="en-US" w:eastAsia="zh-CN"/>
              </w:rPr>
              <w:t>6.21</w:t>
            </w:r>
          </w:p>
        </w:tc>
        <w:tc>
          <w:tcPr>
            <w:tcW w:w="963" w:type="dxa"/>
            <w:tcBorders>
              <w:tl2br w:val="nil"/>
              <w:tr2bl w:val="nil"/>
            </w:tcBorders>
            <w:noWrap w:val="0"/>
            <w:vAlign w:val="center"/>
          </w:tcPr>
          <w:p>
            <w:pPr>
              <w:pStyle w:val="30"/>
              <w:bidi w:val="0"/>
              <w:rPr>
                <w:rFonts w:hint="default"/>
              </w:rPr>
            </w:pPr>
            <w:r>
              <w:rPr>
                <w:rFonts w:hint="default"/>
              </w:rPr>
              <w:t>标准值</w:t>
            </w:r>
          </w:p>
        </w:tc>
        <w:tc>
          <w:tcPr>
            <w:tcW w:w="733" w:type="dxa"/>
            <w:tcBorders>
              <w:tl2br w:val="nil"/>
              <w:tr2bl w:val="nil"/>
            </w:tcBorders>
            <w:noWrap w:val="0"/>
            <w:vAlign w:val="center"/>
          </w:tcPr>
          <w:p>
            <w:pPr>
              <w:pStyle w:val="30"/>
              <w:bidi w:val="0"/>
              <w:rPr>
                <w:rFonts w:hint="default"/>
              </w:rPr>
            </w:pPr>
            <w:r>
              <w:rPr>
                <w:rFonts w:hint="default"/>
              </w:rPr>
              <w:t>评价结果</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4" w:hRule="atLeast"/>
          <w:jc w:val="center"/>
        </w:trPr>
        <w:tc>
          <w:tcPr>
            <w:tcW w:w="603" w:type="dxa"/>
            <w:tcBorders>
              <w:tl2br w:val="nil"/>
              <w:tr2bl w:val="nil"/>
            </w:tcBorders>
            <w:noWrap w:val="0"/>
            <w:vAlign w:val="center"/>
          </w:tcPr>
          <w:p>
            <w:pPr>
              <w:pStyle w:val="30"/>
              <w:bidi w:val="0"/>
              <w:rPr>
                <w:rFonts w:hint="default"/>
              </w:rPr>
            </w:pPr>
            <w:r>
              <w:rPr>
                <w:rFonts w:hint="default"/>
              </w:rPr>
              <w:t>N1</w:t>
            </w:r>
          </w:p>
        </w:tc>
        <w:tc>
          <w:tcPr>
            <w:tcW w:w="1989" w:type="dxa"/>
            <w:tcBorders>
              <w:tl2br w:val="nil"/>
              <w:tr2bl w:val="nil"/>
            </w:tcBorders>
            <w:noWrap w:val="0"/>
            <w:vAlign w:val="center"/>
          </w:tcPr>
          <w:p>
            <w:pPr>
              <w:pStyle w:val="30"/>
              <w:bidi w:val="0"/>
              <w:rPr>
                <w:rFonts w:hint="default"/>
              </w:rPr>
            </w:pPr>
            <w:r>
              <w:rPr>
                <w:rFonts w:hint="default"/>
              </w:rPr>
              <w:t>场界东边界外1m</w:t>
            </w:r>
          </w:p>
        </w:tc>
        <w:tc>
          <w:tcPr>
            <w:tcW w:w="837" w:type="dxa"/>
            <w:tcBorders>
              <w:tl2br w:val="nil"/>
              <w:tr2bl w:val="nil"/>
            </w:tcBorders>
            <w:noWrap w:val="0"/>
            <w:vAlign w:val="center"/>
          </w:tcPr>
          <w:p>
            <w:pPr>
              <w:pStyle w:val="30"/>
              <w:bidi w:val="0"/>
              <w:rPr>
                <w:rFonts w:hint="default"/>
                <w:lang w:val="en-US" w:eastAsia="zh-CN"/>
              </w:rPr>
            </w:pPr>
            <w:r>
              <w:rPr>
                <w:rFonts w:hint="eastAsia"/>
                <w:lang w:val="en-US" w:eastAsia="zh-CN"/>
              </w:rPr>
              <w:t>53</w:t>
            </w:r>
          </w:p>
        </w:tc>
        <w:tc>
          <w:tcPr>
            <w:tcW w:w="753" w:type="dxa"/>
            <w:tcBorders>
              <w:tl2br w:val="nil"/>
              <w:tr2bl w:val="nil"/>
            </w:tcBorders>
            <w:noWrap w:val="0"/>
            <w:vAlign w:val="center"/>
          </w:tcPr>
          <w:p>
            <w:pPr>
              <w:pStyle w:val="30"/>
              <w:bidi w:val="0"/>
              <w:rPr>
                <w:rFonts w:hint="eastAsia"/>
                <w:lang w:eastAsia="zh-CN"/>
              </w:rPr>
            </w:pPr>
            <w:r>
              <w:rPr>
                <w:rFonts w:hint="default"/>
              </w:rPr>
              <w:t>5</w:t>
            </w:r>
            <w:r>
              <w:rPr>
                <w:rFonts w:hint="default"/>
                <w:lang w:val="en-US" w:eastAsia="zh-CN"/>
              </w:rPr>
              <w:t>3</w:t>
            </w:r>
          </w:p>
        </w:tc>
        <w:tc>
          <w:tcPr>
            <w:tcW w:w="958" w:type="dxa"/>
            <w:vMerge w:val="restart"/>
            <w:tcBorders>
              <w:tl2br w:val="nil"/>
              <w:tr2bl w:val="nil"/>
            </w:tcBorders>
            <w:noWrap w:val="0"/>
            <w:vAlign w:val="center"/>
          </w:tcPr>
          <w:p>
            <w:pPr>
              <w:pStyle w:val="30"/>
              <w:bidi w:val="0"/>
              <w:rPr>
                <w:rFonts w:hint="default"/>
                <w:lang w:val="en-US" w:eastAsia="zh-CN"/>
              </w:rPr>
            </w:pPr>
            <w:r>
              <w:rPr>
                <w:rFonts w:hint="eastAsia"/>
                <w:lang w:val="en-US" w:eastAsia="zh-CN"/>
              </w:rPr>
              <w:t>55</w:t>
            </w:r>
          </w:p>
        </w:tc>
        <w:tc>
          <w:tcPr>
            <w:tcW w:w="702" w:type="dxa"/>
            <w:tcBorders>
              <w:tl2br w:val="nil"/>
              <w:tr2bl w:val="nil"/>
            </w:tcBorders>
            <w:noWrap w:val="0"/>
            <w:vAlign w:val="center"/>
          </w:tcPr>
          <w:p>
            <w:pPr>
              <w:pStyle w:val="30"/>
              <w:bidi w:val="0"/>
              <w:rPr>
                <w:rFonts w:hint="default"/>
              </w:rPr>
            </w:pPr>
            <w:r>
              <w:rPr>
                <w:rFonts w:hint="default"/>
              </w:rPr>
              <w:t>达标</w:t>
            </w:r>
          </w:p>
        </w:tc>
        <w:tc>
          <w:tcPr>
            <w:tcW w:w="845" w:type="dxa"/>
            <w:tcBorders>
              <w:tl2br w:val="nil"/>
              <w:tr2bl w:val="nil"/>
            </w:tcBorders>
            <w:noWrap w:val="0"/>
            <w:vAlign w:val="center"/>
          </w:tcPr>
          <w:p>
            <w:pPr>
              <w:pStyle w:val="30"/>
              <w:bidi w:val="0"/>
              <w:rPr>
                <w:rFonts w:hint="default"/>
                <w:lang w:val="en-US" w:eastAsia="zh-CN"/>
              </w:rPr>
            </w:pPr>
            <w:r>
              <w:rPr>
                <w:rFonts w:hint="eastAsia"/>
                <w:lang w:val="en-US" w:eastAsia="zh-CN"/>
              </w:rPr>
              <w:t>42</w:t>
            </w:r>
          </w:p>
        </w:tc>
        <w:tc>
          <w:tcPr>
            <w:tcW w:w="745" w:type="dxa"/>
            <w:tcBorders>
              <w:tl2br w:val="nil"/>
              <w:tr2bl w:val="nil"/>
            </w:tcBorders>
            <w:noWrap w:val="0"/>
            <w:vAlign w:val="center"/>
          </w:tcPr>
          <w:p>
            <w:pPr>
              <w:pStyle w:val="30"/>
              <w:bidi w:val="0"/>
              <w:rPr>
                <w:rFonts w:hint="default"/>
                <w:lang w:val="en-US" w:eastAsia="zh-CN"/>
              </w:rPr>
            </w:pPr>
            <w:r>
              <w:rPr>
                <w:rFonts w:hint="default"/>
              </w:rPr>
              <w:t>4</w:t>
            </w:r>
            <w:r>
              <w:rPr>
                <w:rFonts w:hint="eastAsia"/>
                <w:lang w:val="en-US" w:eastAsia="zh-CN"/>
              </w:rPr>
              <w:t>3</w:t>
            </w:r>
          </w:p>
        </w:tc>
        <w:tc>
          <w:tcPr>
            <w:tcW w:w="963" w:type="dxa"/>
            <w:vMerge w:val="restart"/>
            <w:tcBorders>
              <w:tl2br w:val="nil"/>
              <w:tr2bl w:val="nil"/>
            </w:tcBorders>
            <w:noWrap w:val="0"/>
            <w:vAlign w:val="center"/>
          </w:tcPr>
          <w:p>
            <w:pPr>
              <w:pStyle w:val="30"/>
              <w:bidi w:val="0"/>
              <w:rPr>
                <w:rFonts w:hint="default"/>
                <w:lang w:val="en-US" w:eastAsia="zh-CN"/>
              </w:rPr>
            </w:pPr>
            <w:r>
              <w:rPr>
                <w:rFonts w:hint="eastAsia"/>
                <w:lang w:val="en-US" w:eastAsia="zh-CN"/>
              </w:rPr>
              <w:t>45</w:t>
            </w:r>
          </w:p>
        </w:tc>
        <w:tc>
          <w:tcPr>
            <w:tcW w:w="733" w:type="dxa"/>
            <w:tcBorders>
              <w:tl2br w:val="nil"/>
              <w:tr2bl w:val="nil"/>
            </w:tcBorders>
            <w:noWrap w:val="0"/>
            <w:vAlign w:val="center"/>
          </w:tcPr>
          <w:p>
            <w:pPr>
              <w:pStyle w:val="30"/>
              <w:bidi w:val="0"/>
              <w:rPr>
                <w:rFonts w:hint="default"/>
              </w:rPr>
            </w:pPr>
            <w:r>
              <w:rPr>
                <w:rFonts w:hint="default"/>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603" w:type="dxa"/>
            <w:tcBorders>
              <w:tl2br w:val="nil"/>
              <w:tr2bl w:val="nil"/>
            </w:tcBorders>
            <w:noWrap w:val="0"/>
            <w:vAlign w:val="center"/>
          </w:tcPr>
          <w:p>
            <w:pPr>
              <w:pStyle w:val="30"/>
              <w:bidi w:val="0"/>
              <w:rPr>
                <w:rFonts w:hint="default"/>
              </w:rPr>
            </w:pPr>
            <w:r>
              <w:rPr>
                <w:rFonts w:hint="default"/>
              </w:rPr>
              <w:t>N2</w:t>
            </w:r>
          </w:p>
        </w:tc>
        <w:tc>
          <w:tcPr>
            <w:tcW w:w="1989" w:type="dxa"/>
            <w:tcBorders>
              <w:tl2br w:val="nil"/>
              <w:tr2bl w:val="nil"/>
            </w:tcBorders>
            <w:noWrap w:val="0"/>
            <w:vAlign w:val="center"/>
          </w:tcPr>
          <w:p>
            <w:pPr>
              <w:pStyle w:val="30"/>
              <w:bidi w:val="0"/>
              <w:rPr>
                <w:rFonts w:hint="default"/>
              </w:rPr>
            </w:pPr>
            <w:r>
              <w:rPr>
                <w:rFonts w:hint="default"/>
              </w:rPr>
              <w:t>场界南边界外1m</w:t>
            </w:r>
          </w:p>
        </w:tc>
        <w:tc>
          <w:tcPr>
            <w:tcW w:w="837" w:type="dxa"/>
            <w:tcBorders>
              <w:tl2br w:val="nil"/>
              <w:tr2bl w:val="nil"/>
            </w:tcBorders>
            <w:noWrap w:val="0"/>
            <w:vAlign w:val="center"/>
          </w:tcPr>
          <w:p>
            <w:pPr>
              <w:pStyle w:val="30"/>
              <w:bidi w:val="0"/>
              <w:rPr>
                <w:rFonts w:hint="default"/>
                <w:lang w:val="en-US" w:eastAsia="zh-CN"/>
              </w:rPr>
            </w:pPr>
            <w:r>
              <w:rPr>
                <w:rFonts w:hint="eastAsia"/>
                <w:lang w:val="en-US" w:eastAsia="zh-CN"/>
              </w:rPr>
              <w:t>52</w:t>
            </w:r>
          </w:p>
        </w:tc>
        <w:tc>
          <w:tcPr>
            <w:tcW w:w="753" w:type="dxa"/>
            <w:tcBorders>
              <w:tl2br w:val="nil"/>
              <w:tr2bl w:val="nil"/>
            </w:tcBorders>
            <w:noWrap w:val="0"/>
            <w:vAlign w:val="center"/>
          </w:tcPr>
          <w:p>
            <w:pPr>
              <w:pStyle w:val="30"/>
              <w:bidi w:val="0"/>
              <w:rPr>
                <w:rFonts w:hint="eastAsia"/>
                <w:lang w:eastAsia="zh-CN"/>
              </w:rPr>
            </w:pPr>
            <w:r>
              <w:rPr>
                <w:rFonts w:hint="default"/>
              </w:rPr>
              <w:t>5</w:t>
            </w:r>
            <w:r>
              <w:rPr>
                <w:rFonts w:hint="eastAsia"/>
                <w:lang w:val="en-US" w:eastAsia="zh-CN"/>
              </w:rPr>
              <w:t>0</w:t>
            </w:r>
          </w:p>
        </w:tc>
        <w:tc>
          <w:tcPr>
            <w:tcW w:w="958" w:type="dxa"/>
            <w:vMerge w:val="continue"/>
            <w:tcBorders>
              <w:tl2br w:val="nil"/>
              <w:tr2bl w:val="nil"/>
            </w:tcBorders>
            <w:noWrap w:val="0"/>
            <w:vAlign w:val="center"/>
          </w:tcPr>
          <w:p>
            <w:pPr>
              <w:pStyle w:val="30"/>
              <w:bidi w:val="0"/>
              <w:rPr>
                <w:rFonts w:hint="default"/>
              </w:rPr>
            </w:pPr>
          </w:p>
        </w:tc>
        <w:tc>
          <w:tcPr>
            <w:tcW w:w="702" w:type="dxa"/>
            <w:tcBorders>
              <w:tl2br w:val="nil"/>
              <w:tr2bl w:val="nil"/>
            </w:tcBorders>
            <w:noWrap w:val="0"/>
            <w:vAlign w:val="center"/>
          </w:tcPr>
          <w:p>
            <w:pPr>
              <w:pStyle w:val="30"/>
              <w:bidi w:val="0"/>
              <w:rPr>
                <w:rFonts w:hint="default"/>
              </w:rPr>
            </w:pPr>
            <w:r>
              <w:rPr>
                <w:rFonts w:hint="default"/>
              </w:rPr>
              <w:t>达标</w:t>
            </w:r>
          </w:p>
        </w:tc>
        <w:tc>
          <w:tcPr>
            <w:tcW w:w="845" w:type="dxa"/>
            <w:tcBorders>
              <w:tl2br w:val="nil"/>
              <w:tr2bl w:val="nil"/>
            </w:tcBorders>
            <w:noWrap w:val="0"/>
            <w:vAlign w:val="center"/>
          </w:tcPr>
          <w:p>
            <w:pPr>
              <w:pStyle w:val="30"/>
              <w:bidi w:val="0"/>
              <w:rPr>
                <w:rFonts w:hint="eastAsia"/>
                <w:lang w:eastAsia="zh-CN"/>
              </w:rPr>
            </w:pPr>
            <w:r>
              <w:rPr>
                <w:rFonts w:hint="default"/>
              </w:rPr>
              <w:t>4</w:t>
            </w:r>
            <w:r>
              <w:rPr>
                <w:rFonts w:hint="eastAsia"/>
                <w:lang w:val="en-US" w:eastAsia="zh-CN"/>
              </w:rPr>
              <w:t>0</w:t>
            </w:r>
          </w:p>
        </w:tc>
        <w:tc>
          <w:tcPr>
            <w:tcW w:w="745" w:type="dxa"/>
            <w:tcBorders>
              <w:tl2br w:val="nil"/>
              <w:tr2bl w:val="nil"/>
            </w:tcBorders>
            <w:noWrap w:val="0"/>
            <w:vAlign w:val="center"/>
          </w:tcPr>
          <w:p>
            <w:pPr>
              <w:pStyle w:val="30"/>
              <w:bidi w:val="0"/>
              <w:rPr>
                <w:rFonts w:hint="eastAsia"/>
                <w:lang w:eastAsia="zh-CN"/>
              </w:rPr>
            </w:pPr>
            <w:r>
              <w:rPr>
                <w:rFonts w:hint="default"/>
              </w:rPr>
              <w:t>4</w:t>
            </w:r>
            <w:r>
              <w:rPr>
                <w:rFonts w:hint="eastAsia"/>
                <w:lang w:val="en-US" w:eastAsia="zh-CN"/>
              </w:rPr>
              <w:t>0</w:t>
            </w:r>
          </w:p>
        </w:tc>
        <w:tc>
          <w:tcPr>
            <w:tcW w:w="963" w:type="dxa"/>
            <w:vMerge w:val="continue"/>
            <w:tcBorders>
              <w:tl2br w:val="nil"/>
              <w:tr2bl w:val="nil"/>
            </w:tcBorders>
            <w:noWrap w:val="0"/>
            <w:vAlign w:val="center"/>
          </w:tcPr>
          <w:p>
            <w:pPr>
              <w:pStyle w:val="30"/>
              <w:bidi w:val="0"/>
              <w:rPr>
                <w:rFonts w:hint="default"/>
              </w:rPr>
            </w:pPr>
          </w:p>
        </w:tc>
        <w:tc>
          <w:tcPr>
            <w:tcW w:w="733" w:type="dxa"/>
            <w:tcBorders>
              <w:tl2br w:val="nil"/>
              <w:tr2bl w:val="nil"/>
            </w:tcBorders>
            <w:noWrap w:val="0"/>
            <w:vAlign w:val="center"/>
          </w:tcPr>
          <w:p>
            <w:pPr>
              <w:pStyle w:val="30"/>
              <w:bidi w:val="0"/>
              <w:rPr>
                <w:rFonts w:hint="default"/>
              </w:rPr>
            </w:pPr>
            <w:r>
              <w:rPr>
                <w:rFonts w:hint="default"/>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603" w:type="dxa"/>
            <w:tcBorders>
              <w:tl2br w:val="nil"/>
              <w:tr2bl w:val="nil"/>
            </w:tcBorders>
            <w:noWrap w:val="0"/>
            <w:vAlign w:val="center"/>
          </w:tcPr>
          <w:p>
            <w:pPr>
              <w:pStyle w:val="30"/>
              <w:bidi w:val="0"/>
              <w:rPr>
                <w:rFonts w:hint="default"/>
              </w:rPr>
            </w:pPr>
            <w:r>
              <w:rPr>
                <w:rFonts w:hint="default"/>
              </w:rPr>
              <w:t>N3</w:t>
            </w:r>
          </w:p>
        </w:tc>
        <w:tc>
          <w:tcPr>
            <w:tcW w:w="1989" w:type="dxa"/>
            <w:tcBorders>
              <w:tl2br w:val="nil"/>
              <w:tr2bl w:val="nil"/>
            </w:tcBorders>
            <w:noWrap w:val="0"/>
            <w:vAlign w:val="center"/>
          </w:tcPr>
          <w:p>
            <w:pPr>
              <w:pStyle w:val="30"/>
              <w:bidi w:val="0"/>
              <w:rPr>
                <w:rFonts w:hint="default"/>
              </w:rPr>
            </w:pPr>
            <w:r>
              <w:rPr>
                <w:rFonts w:hint="default"/>
              </w:rPr>
              <w:t>场界西边界外1m</w:t>
            </w:r>
          </w:p>
        </w:tc>
        <w:tc>
          <w:tcPr>
            <w:tcW w:w="837" w:type="dxa"/>
            <w:tcBorders>
              <w:tl2br w:val="nil"/>
              <w:tr2bl w:val="nil"/>
            </w:tcBorders>
            <w:noWrap w:val="0"/>
            <w:vAlign w:val="center"/>
          </w:tcPr>
          <w:p>
            <w:pPr>
              <w:pStyle w:val="30"/>
              <w:bidi w:val="0"/>
              <w:rPr>
                <w:rFonts w:hint="default"/>
                <w:lang w:val="en-US" w:eastAsia="zh-CN"/>
              </w:rPr>
            </w:pPr>
            <w:r>
              <w:rPr>
                <w:rFonts w:hint="eastAsia"/>
                <w:lang w:val="en-US" w:eastAsia="zh-CN"/>
              </w:rPr>
              <w:t>50</w:t>
            </w:r>
          </w:p>
        </w:tc>
        <w:tc>
          <w:tcPr>
            <w:tcW w:w="753" w:type="dxa"/>
            <w:tcBorders>
              <w:tl2br w:val="nil"/>
              <w:tr2bl w:val="nil"/>
            </w:tcBorders>
            <w:noWrap w:val="0"/>
            <w:vAlign w:val="center"/>
          </w:tcPr>
          <w:p>
            <w:pPr>
              <w:pStyle w:val="30"/>
              <w:bidi w:val="0"/>
              <w:rPr>
                <w:rFonts w:hint="eastAsia"/>
                <w:lang w:eastAsia="zh-CN"/>
              </w:rPr>
            </w:pPr>
            <w:r>
              <w:rPr>
                <w:rFonts w:hint="default"/>
              </w:rPr>
              <w:t>5</w:t>
            </w:r>
            <w:r>
              <w:rPr>
                <w:rFonts w:hint="eastAsia"/>
                <w:lang w:val="en-US" w:eastAsia="zh-CN"/>
              </w:rPr>
              <w:t>2</w:t>
            </w:r>
          </w:p>
        </w:tc>
        <w:tc>
          <w:tcPr>
            <w:tcW w:w="958" w:type="dxa"/>
            <w:vMerge w:val="continue"/>
            <w:tcBorders>
              <w:tl2br w:val="nil"/>
              <w:tr2bl w:val="nil"/>
            </w:tcBorders>
            <w:noWrap w:val="0"/>
            <w:vAlign w:val="center"/>
          </w:tcPr>
          <w:p>
            <w:pPr>
              <w:pStyle w:val="30"/>
              <w:bidi w:val="0"/>
              <w:rPr>
                <w:rFonts w:hint="default"/>
              </w:rPr>
            </w:pPr>
          </w:p>
        </w:tc>
        <w:tc>
          <w:tcPr>
            <w:tcW w:w="702" w:type="dxa"/>
            <w:tcBorders>
              <w:tl2br w:val="nil"/>
              <w:tr2bl w:val="nil"/>
            </w:tcBorders>
            <w:noWrap w:val="0"/>
            <w:vAlign w:val="center"/>
          </w:tcPr>
          <w:p>
            <w:pPr>
              <w:pStyle w:val="30"/>
              <w:bidi w:val="0"/>
              <w:rPr>
                <w:rFonts w:hint="default"/>
              </w:rPr>
            </w:pPr>
            <w:r>
              <w:rPr>
                <w:rFonts w:hint="default"/>
              </w:rPr>
              <w:t>达标</w:t>
            </w:r>
          </w:p>
        </w:tc>
        <w:tc>
          <w:tcPr>
            <w:tcW w:w="845" w:type="dxa"/>
            <w:tcBorders>
              <w:tl2br w:val="nil"/>
              <w:tr2bl w:val="nil"/>
            </w:tcBorders>
            <w:noWrap w:val="0"/>
            <w:vAlign w:val="center"/>
          </w:tcPr>
          <w:p>
            <w:pPr>
              <w:pStyle w:val="30"/>
              <w:bidi w:val="0"/>
              <w:rPr>
                <w:rFonts w:hint="default"/>
                <w:lang w:val="en-US" w:eastAsia="zh-CN"/>
              </w:rPr>
            </w:pPr>
            <w:r>
              <w:rPr>
                <w:rFonts w:hint="eastAsia"/>
                <w:lang w:val="en-US" w:eastAsia="zh-CN"/>
              </w:rPr>
              <w:t>39</w:t>
            </w:r>
          </w:p>
        </w:tc>
        <w:tc>
          <w:tcPr>
            <w:tcW w:w="745" w:type="dxa"/>
            <w:tcBorders>
              <w:tl2br w:val="nil"/>
              <w:tr2bl w:val="nil"/>
            </w:tcBorders>
            <w:noWrap w:val="0"/>
            <w:vAlign w:val="center"/>
          </w:tcPr>
          <w:p>
            <w:pPr>
              <w:pStyle w:val="30"/>
              <w:bidi w:val="0"/>
              <w:rPr>
                <w:rFonts w:hint="default"/>
                <w:lang w:val="en-US" w:eastAsia="zh-CN"/>
              </w:rPr>
            </w:pPr>
            <w:r>
              <w:rPr>
                <w:rFonts w:hint="eastAsia"/>
                <w:lang w:val="en-US" w:eastAsia="zh-CN"/>
              </w:rPr>
              <w:t>41</w:t>
            </w:r>
          </w:p>
        </w:tc>
        <w:tc>
          <w:tcPr>
            <w:tcW w:w="963" w:type="dxa"/>
            <w:vMerge w:val="continue"/>
            <w:tcBorders>
              <w:tl2br w:val="nil"/>
              <w:tr2bl w:val="nil"/>
            </w:tcBorders>
            <w:noWrap w:val="0"/>
            <w:vAlign w:val="center"/>
          </w:tcPr>
          <w:p>
            <w:pPr>
              <w:pStyle w:val="30"/>
              <w:bidi w:val="0"/>
              <w:rPr>
                <w:rFonts w:hint="default"/>
              </w:rPr>
            </w:pPr>
          </w:p>
        </w:tc>
        <w:tc>
          <w:tcPr>
            <w:tcW w:w="733" w:type="dxa"/>
            <w:tcBorders>
              <w:tl2br w:val="nil"/>
              <w:tr2bl w:val="nil"/>
            </w:tcBorders>
            <w:noWrap w:val="0"/>
            <w:vAlign w:val="center"/>
          </w:tcPr>
          <w:p>
            <w:pPr>
              <w:pStyle w:val="30"/>
              <w:bidi w:val="0"/>
              <w:rPr>
                <w:rFonts w:hint="default"/>
              </w:rPr>
            </w:pPr>
            <w:r>
              <w:rPr>
                <w:rFonts w:hint="default"/>
              </w:rPr>
              <w:t>达标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603" w:type="dxa"/>
            <w:tcBorders>
              <w:tl2br w:val="nil"/>
              <w:tr2bl w:val="nil"/>
            </w:tcBorders>
            <w:noWrap w:val="0"/>
            <w:vAlign w:val="center"/>
          </w:tcPr>
          <w:p>
            <w:pPr>
              <w:pStyle w:val="30"/>
              <w:bidi w:val="0"/>
              <w:rPr>
                <w:rFonts w:hint="default"/>
              </w:rPr>
            </w:pPr>
            <w:r>
              <w:rPr>
                <w:rFonts w:hint="default"/>
              </w:rPr>
              <w:t>N4</w:t>
            </w:r>
          </w:p>
        </w:tc>
        <w:tc>
          <w:tcPr>
            <w:tcW w:w="1989" w:type="dxa"/>
            <w:tcBorders>
              <w:tl2br w:val="nil"/>
              <w:tr2bl w:val="nil"/>
            </w:tcBorders>
            <w:noWrap w:val="0"/>
            <w:vAlign w:val="center"/>
          </w:tcPr>
          <w:p>
            <w:pPr>
              <w:pStyle w:val="30"/>
              <w:bidi w:val="0"/>
              <w:rPr>
                <w:rFonts w:hint="default"/>
              </w:rPr>
            </w:pPr>
            <w:r>
              <w:rPr>
                <w:rFonts w:hint="default"/>
              </w:rPr>
              <w:t>场界北边界外1m</w:t>
            </w:r>
          </w:p>
        </w:tc>
        <w:tc>
          <w:tcPr>
            <w:tcW w:w="837" w:type="dxa"/>
            <w:tcBorders>
              <w:tl2br w:val="nil"/>
              <w:tr2bl w:val="nil"/>
            </w:tcBorders>
            <w:noWrap w:val="0"/>
            <w:vAlign w:val="center"/>
          </w:tcPr>
          <w:p>
            <w:pPr>
              <w:pStyle w:val="30"/>
              <w:bidi w:val="0"/>
              <w:rPr>
                <w:rFonts w:hint="default"/>
                <w:lang w:val="en-US" w:eastAsia="zh-CN"/>
              </w:rPr>
            </w:pPr>
            <w:r>
              <w:rPr>
                <w:rFonts w:hint="eastAsia"/>
                <w:lang w:val="en-US" w:eastAsia="zh-CN"/>
              </w:rPr>
              <w:t>51</w:t>
            </w:r>
          </w:p>
        </w:tc>
        <w:tc>
          <w:tcPr>
            <w:tcW w:w="753" w:type="dxa"/>
            <w:tcBorders>
              <w:tl2br w:val="nil"/>
              <w:tr2bl w:val="nil"/>
            </w:tcBorders>
            <w:noWrap w:val="0"/>
            <w:vAlign w:val="center"/>
          </w:tcPr>
          <w:p>
            <w:pPr>
              <w:pStyle w:val="30"/>
              <w:bidi w:val="0"/>
              <w:rPr>
                <w:rFonts w:hint="default"/>
                <w:lang w:val="en-US" w:eastAsia="zh-CN"/>
              </w:rPr>
            </w:pPr>
            <w:r>
              <w:rPr>
                <w:rFonts w:hint="eastAsia"/>
                <w:lang w:val="en-US" w:eastAsia="zh-CN"/>
              </w:rPr>
              <w:t>50</w:t>
            </w:r>
          </w:p>
        </w:tc>
        <w:tc>
          <w:tcPr>
            <w:tcW w:w="958" w:type="dxa"/>
            <w:vMerge w:val="continue"/>
            <w:tcBorders>
              <w:tl2br w:val="nil"/>
              <w:tr2bl w:val="nil"/>
            </w:tcBorders>
            <w:noWrap w:val="0"/>
            <w:vAlign w:val="center"/>
          </w:tcPr>
          <w:p>
            <w:pPr>
              <w:pStyle w:val="30"/>
              <w:bidi w:val="0"/>
              <w:rPr>
                <w:rFonts w:hint="default"/>
              </w:rPr>
            </w:pPr>
          </w:p>
        </w:tc>
        <w:tc>
          <w:tcPr>
            <w:tcW w:w="702" w:type="dxa"/>
            <w:tcBorders>
              <w:tl2br w:val="nil"/>
              <w:tr2bl w:val="nil"/>
            </w:tcBorders>
            <w:noWrap w:val="0"/>
            <w:vAlign w:val="center"/>
          </w:tcPr>
          <w:p>
            <w:pPr>
              <w:pStyle w:val="30"/>
              <w:bidi w:val="0"/>
              <w:rPr>
                <w:rFonts w:hint="default"/>
              </w:rPr>
            </w:pPr>
            <w:r>
              <w:rPr>
                <w:rFonts w:hint="default"/>
              </w:rPr>
              <w:t>达标</w:t>
            </w:r>
          </w:p>
        </w:tc>
        <w:tc>
          <w:tcPr>
            <w:tcW w:w="845" w:type="dxa"/>
            <w:tcBorders>
              <w:tl2br w:val="nil"/>
              <w:tr2bl w:val="nil"/>
            </w:tcBorders>
            <w:noWrap w:val="0"/>
            <w:vAlign w:val="center"/>
          </w:tcPr>
          <w:p>
            <w:pPr>
              <w:pStyle w:val="30"/>
              <w:bidi w:val="0"/>
              <w:rPr>
                <w:rFonts w:hint="default"/>
                <w:lang w:val="en-US" w:eastAsia="zh-CN"/>
              </w:rPr>
            </w:pPr>
            <w:r>
              <w:rPr>
                <w:rFonts w:hint="eastAsia"/>
                <w:lang w:val="en-US" w:eastAsia="zh-CN"/>
              </w:rPr>
              <w:t>39</w:t>
            </w:r>
          </w:p>
        </w:tc>
        <w:tc>
          <w:tcPr>
            <w:tcW w:w="745" w:type="dxa"/>
            <w:tcBorders>
              <w:tl2br w:val="nil"/>
              <w:tr2bl w:val="nil"/>
            </w:tcBorders>
            <w:noWrap w:val="0"/>
            <w:vAlign w:val="center"/>
          </w:tcPr>
          <w:p>
            <w:pPr>
              <w:pStyle w:val="30"/>
              <w:bidi w:val="0"/>
              <w:rPr>
                <w:rFonts w:hint="default"/>
                <w:lang w:val="en-US" w:eastAsia="zh-CN"/>
              </w:rPr>
            </w:pPr>
            <w:r>
              <w:rPr>
                <w:rFonts w:hint="eastAsia"/>
                <w:lang w:val="en-US" w:eastAsia="zh-CN"/>
              </w:rPr>
              <w:t>38</w:t>
            </w:r>
          </w:p>
        </w:tc>
        <w:tc>
          <w:tcPr>
            <w:tcW w:w="963" w:type="dxa"/>
            <w:vMerge w:val="continue"/>
            <w:tcBorders>
              <w:tl2br w:val="nil"/>
              <w:tr2bl w:val="nil"/>
            </w:tcBorders>
            <w:noWrap w:val="0"/>
            <w:vAlign w:val="center"/>
          </w:tcPr>
          <w:p>
            <w:pPr>
              <w:pStyle w:val="30"/>
              <w:bidi w:val="0"/>
              <w:rPr>
                <w:rFonts w:hint="default"/>
              </w:rPr>
            </w:pPr>
          </w:p>
        </w:tc>
        <w:tc>
          <w:tcPr>
            <w:tcW w:w="733" w:type="dxa"/>
            <w:tcBorders>
              <w:tl2br w:val="nil"/>
              <w:tr2bl w:val="nil"/>
            </w:tcBorders>
            <w:noWrap w:val="0"/>
            <w:vAlign w:val="center"/>
          </w:tcPr>
          <w:p>
            <w:pPr>
              <w:pStyle w:val="30"/>
              <w:bidi w:val="0"/>
              <w:rPr>
                <w:rFonts w:hint="default"/>
              </w:rPr>
            </w:pPr>
            <w:r>
              <w:rPr>
                <w:rFonts w:hint="default"/>
              </w:rPr>
              <w:t>达标</w:t>
            </w:r>
          </w:p>
        </w:tc>
      </w:tr>
    </w:tbl>
    <w:p>
      <w:pPr>
        <w:bidi w:val="0"/>
        <w:rPr>
          <w:rFonts w:hint="default"/>
          <w:lang w:val="en-US" w:eastAsia="zh-CN"/>
        </w:rPr>
      </w:pPr>
      <w:r>
        <w:rPr>
          <w:rFonts w:hint="default"/>
          <w:lang w:val="en-US" w:eastAsia="zh-CN"/>
        </w:rPr>
        <w:t>由上表可知：项目所在地声环境质量现状监测均满足《声环境质量标准》（GB3096-2008）</w:t>
      </w:r>
      <w:r>
        <w:rPr>
          <w:rFonts w:hint="eastAsia"/>
          <w:lang w:val="en-US" w:eastAsia="zh-CN"/>
        </w:rPr>
        <w:t>1</w:t>
      </w:r>
      <w:r>
        <w:rPr>
          <w:rFonts w:hint="default"/>
          <w:lang w:val="en-US" w:eastAsia="zh-CN"/>
        </w:rPr>
        <w:t>类标准，评价区声环境质量现状满足功能区划要求。</w:t>
      </w:r>
    </w:p>
    <w:p>
      <w:pPr>
        <w:pStyle w:val="2"/>
        <w:bidi w:val="0"/>
        <w:rPr>
          <w:rFonts w:ascii="Times New Roman" w:hAnsi="Times New Roman" w:cs="Times New Roman"/>
          <w:lang w:val="en-US" w:eastAsia="zh-CN"/>
        </w:rPr>
      </w:pPr>
      <w:r>
        <w:rPr>
          <w:rFonts w:hint="eastAsia" w:ascii="Times New Roman" w:hAnsi="Times New Roman" w:cs="Times New Roman"/>
          <w:lang w:val="en-US" w:eastAsia="zh-CN"/>
        </w:rPr>
        <w:t>地下水环境质量现状</w:t>
      </w:r>
    </w:p>
    <w:p>
      <w:pPr>
        <w:bidi w:val="0"/>
      </w:pPr>
      <w:r>
        <w:rPr>
          <w:rFonts w:hint="eastAsia"/>
        </w:rPr>
        <w:t>为了解本项目所在地下水质量现状，本环评引用 《岳阳市君山工业集中区规划环境影响跟踪评价报告书》地下水监测数据，本项目所在地与岳阳市君山工业集中区地下水属于同一地下水单元，因此本项目地下水引用《岳阳市君山工业集中区规划环境影响跟踪评价报告书》地下水监测数据合理。</w:t>
      </w:r>
    </w:p>
    <w:p>
      <w:pPr>
        <w:bidi w:val="0"/>
      </w:pPr>
      <w:r>
        <w:rPr>
          <w:rFonts w:hint="eastAsia"/>
        </w:rPr>
        <w:t>（1）监测点：D1三家店村（位于路右侧8.23km）、D2五星村（位于路右侧6.36km）、D3岳华村（位于路右侧7.85km）</w:t>
      </w:r>
    </w:p>
    <w:p>
      <w:pPr>
        <w:bidi w:val="0"/>
      </w:pPr>
      <w:r>
        <w:rPr>
          <w:rFonts w:hint="eastAsia"/>
        </w:rPr>
        <w:t>（2）监测项目： pH值、硫酸盐、氯化物、硝酸盐、氨氮、耗氧量</w:t>
      </w:r>
    </w:p>
    <w:p>
      <w:pPr>
        <w:bidi w:val="0"/>
      </w:pPr>
      <w:r>
        <w:rPr>
          <w:rFonts w:hint="eastAsia"/>
        </w:rPr>
        <w:t>（3）监测频次：连续2天，每采样 1次。</w:t>
      </w:r>
    </w:p>
    <w:p>
      <w:pPr>
        <w:bidi w:val="0"/>
      </w:pPr>
      <w:r>
        <w:rPr>
          <w:rFonts w:hint="eastAsia"/>
        </w:rPr>
        <w:t>（4）执行标准：《地下水质量标准》（ GB/T 14848 -2017 ）。</w:t>
      </w:r>
    </w:p>
    <w:p>
      <w:pPr>
        <w:bidi w:val="0"/>
      </w:pPr>
      <w:r>
        <w:rPr>
          <w:rFonts w:hint="eastAsia"/>
        </w:rPr>
        <w:t>（5）监测时间：2018年6月29日-30日</w:t>
      </w:r>
    </w:p>
    <w:p>
      <w:pPr>
        <w:bidi w:val="0"/>
      </w:pPr>
      <w:r>
        <w:rPr>
          <w:rFonts w:hint="eastAsia"/>
        </w:rPr>
        <w:t>监测结果统计如表</w:t>
      </w:r>
      <w:r>
        <w:rPr>
          <w:rFonts w:hint="eastAsia"/>
          <w:lang w:val="en-US" w:eastAsia="zh-CN"/>
        </w:rPr>
        <w:t>5.2-6</w:t>
      </w:r>
      <w:r>
        <w:rPr>
          <w:rFonts w:hint="eastAsia"/>
        </w:rPr>
        <w:t>。</w:t>
      </w:r>
    </w:p>
    <w:p>
      <w:pPr>
        <w:pStyle w:val="29"/>
        <w:bidi w:val="0"/>
      </w:pPr>
      <w:r>
        <w:rPr>
          <w:rFonts w:hint="eastAsia"/>
        </w:rPr>
        <w:t>表</w:t>
      </w:r>
      <w:r>
        <w:rPr>
          <w:rFonts w:hint="eastAsia"/>
          <w:lang w:val="en-US" w:eastAsia="zh-CN"/>
        </w:rPr>
        <w:t>5.2-6</w:t>
      </w:r>
      <w:r>
        <w:rPr>
          <w:rFonts w:hint="eastAsia"/>
        </w:rPr>
        <w:t xml:space="preserve">  地下水环境质量监测结果统计表</w:t>
      </w:r>
    </w:p>
    <w:tbl>
      <w:tblPr>
        <w:tblStyle w:val="21"/>
        <w:tblW w:w="9127" w:type="dxa"/>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890"/>
        <w:gridCol w:w="671"/>
        <w:gridCol w:w="1021"/>
        <w:gridCol w:w="1231"/>
        <w:gridCol w:w="1021"/>
        <w:gridCol w:w="1231"/>
        <w:gridCol w:w="1021"/>
        <w:gridCol w:w="1231"/>
        <w:gridCol w:w="811"/>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00" w:type="pct"/>
            <w:vMerge w:val="restart"/>
            <w:tcBorders>
              <w:left w:val="single" w:color="auto" w:sz="12" w:space="0"/>
            </w:tcBorders>
            <w:vAlign w:val="center"/>
          </w:tcPr>
          <w:p>
            <w:pPr>
              <w:pStyle w:val="30"/>
              <w:bidi w:val="0"/>
            </w:pPr>
            <w:r>
              <w:t>监测</w:t>
            </w:r>
          </w:p>
          <w:p>
            <w:pPr>
              <w:pStyle w:val="30"/>
              <w:bidi w:val="0"/>
            </w:pPr>
            <w:r>
              <w:t>项目</w:t>
            </w:r>
          </w:p>
        </w:tc>
        <w:tc>
          <w:tcPr>
            <w:tcW w:w="474" w:type="pct"/>
            <w:vMerge w:val="restart"/>
            <w:vAlign w:val="center"/>
          </w:tcPr>
          <w:p>
            <w:pPr>
              <w:pStyle w:val="30"/>
              <w:bidi w:val="0"/>
            </w:pPr>
            <w:r>
              <w:t>单位</w:t>
            </w:r>
          </w:p>
        </w:tc>
        <w:tc>
          <w:tcPr>
            <w:tcW w:w="1136" w:type="pct"/>
            <w:gridSpan w:val="2"/>
            <w:vAlign w:val="center"/>
          </w:tcPr>
          <w:p>
            <w:pPr>
              <w:pStyle w:val="30"/>
              <w:bidi w:val="0"/>
            </w:pPr>
            <w:r>
              <w:t>D1</w:t>
            </w:r>
          </w:p>
        </w:tc>
        <w:tc>
          <w:tcPr>
            <w:tcW w:w="1136" w:type="pct"/>
            <w:gridSpan w:val="2"/>
            <w:vAlign w:val="center"/>
          </w:tcPr>
          <w:p>
            <w:pPr>
              <w:pStyle w:val="30"/>
              <w:bidi w:val="0"/>
            </w:pPr>
            <w:r>
              <w:t>D2</w:t>
            </w:r>
          </w:p>
        </w:tc>
        <w:tc>
          <w:tcPr>
            <w:tcW w:w="1178" w:type="pct"/>
            <w:gridSpan w:val="2"/>
            <w:vAlign w:val="center"/>
          </w:tcPr>
          <w:p>
            <w:pPr>
              <w:pStyle w:val="30"/>
              <w:bidi w:val="0"/>
            </w:pPr>
            <w:r>
              <w:t>D3</w:t>
            </w:r>
          </w:p>
        </w:tc>
        <w:tc>
          <w:tcPr>
            <w:tcW w:w="477" w:type="pct"/>
            <w:vMerge w:val="restart"/>
            <w:tcBorders>
              <w:right w:val="single" w:color="auto" w:sz="12" w:space="0"/>
            </w:tcBorders>
            <w:vAlign w:val="center"/>
          </w:tcPr>
          <w:p>
            <w:pPr>
              <w:pStyle w:val="30"/>
              <w:bidi w:val="0"/>
            </w:pPr>
            <w:r>
              <w:t>标准</w:t>
            </w:r>
          </w:p>
          <w:p>
            <w:pPr>
              <w:pStyle w:val="30"/>
              <w:bidi w:val="0"/>
            </w:pPr>
            <w:r>
              <w:t>限值</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00" w:type="pct"/>
            <w:vMerge w:val="continue"/>
            <w:tcBorders>
              <w:left w:val="single" w:color="auto" w:sz="12" w:space="0"/>
            </w:tcBorders>
            <w:vAlign w:val="center"/>
          </w:tcPr>
          <w:p>
            <w:pPr>
              <w:pStyle w:val="30"/>
              <w:bidi w:val="0"/>
            </w:pPr>
          </w:p>
        </w:tc>
        <w:tc>
          <w:tcPr>
            <w:tcW w:w="474" w:type="pct"/>
            <w:vMerge w:val="continue"/>
            <w:vAlign w:val="center"/>
          </w:tcPr>
          <w:p>
            <w:pPr>
              <w:pStyle w:val="30"/>
              <w:bidi w:val="0"/>
            </w:pPr>
          </w:p>
        </w:tc>
        <w:tc>
          <w:tcPr>
            <w:tcW w:w="578" w:type="pct"/>
            <w:vAlign w:val="center"/>
          </w:tcPr>
          <w:p>
            <w:pPr>
              <w:pStyle w:val="30"/>
              <w:bidi w:val="0"/>
            </w:pPr>
            <w:r>
              <w:t>监测值</w:t>
            </w:r>
          </w:p>
          <w:p>
            <w:pPr>
              <w:pStyle w:val="30"/>
              <w:bidi w:val="0"/>
            </w:pPr>
            <w:r>
              <w:t>范围</w:t>
            </w:r>
          </w:p>
        </w:tc>
        <w:tc>
          <w:tcPr>
            <w:tcW w:w="558" w:type="pct"/>
            <w:vAlign w:val="center"/>
          </w:tcPr>
          <w:p>
            <w:pPr>
              <w:pStyle w:val="30"/>
              <w:bidi w:val="0"/>
            </w:pPr>
            <w:r>
              <w:rPr>
                <w:rFonts w:hint="eastAsia"/>
              </w:rPr>
              <w:t>标准</w:t>
            </w:r>
          </w:p>
          <w:p>
            <w:pPr>
              <w:pStyle w:val="30"/>
              <w:bidi w:val="0"/>
            </w:pPr>
            <w:r>
              <w:t>指数</w:t>
            </w:r>
          </w:p>
        </w:tc>
        <w:tc>
          <w:tcPr>
            <w:tcW w:w="578" w:type="pct"/>
            <w:vAlign w:val="center"/>
          </w:tcPr>
          <w:p>
            <w:pPr>
              <w:pStyle w:val="30"/>
              <w:bidi w:val="0"/>
            </w:pPr>
            <w:r>
              <w:t>监测值</w:t>
            </w:r>
          </w:p>
          <w:p>
            <w:pPr>
              <w:pStyle w:val="30"/>
              <w:bidi w:val="0"/>
            </w:pPr>
            <w:r>
              <w:t>范围</w:t>
            </w:r>
          </w:p>
        </w:tc>
        <w:tc>
          <w:tcPr>
            <w:tcW w:w="558" w:type="pct"/>
            <w:vAlign w:val="center"/>
          </w:tcPr>
          <w:p>
            <w:pPr>
              <w:pStyle w:val="30"/>
              <w:bidi w:val="0"/>
            </w:pPr>
            <w:r>
              <w:rPr>
                <w:rFonts w:hint="eastAsia"/>
              </w:rPr>
              <w:t>标准</w:t>
            </w:r>
          </w:p>
          <w:p>
            <w:pPr>
              <w:pStyle w:val="30"/>
              <w:bidi w:val="0"/>
            </w:pPr>
            <w:r>
              <w:t>指数</w:t>
            </w:r>
          </w:p>
        </w:tc>
        <w:tc>
          <w:tcPr>
            <w:tcW w:w="578" w:type="pct"/>
            <w:vAlign w:val="center"/>
          </w:tcPr>
          <w:p>
            <w:pPr>
              <w:pStyle w:val="30"/>
              <w:bidi w:val="0"/>
            </w:pPr>
            <w:r>
              <w:t>监测值</w:t>
            </w:r>
          </w:p>
          <w:p>
            <w:pPr>
              <w:pStyle w:val="30"/>
              <w:bidi w:val="0"/>
            </w:pPr>
            <w:r>
              <w:t>范围</w:t>
            </w:r>
          </w:p>
        </w:tc>
        <w:tc>
          <w:tcPr>
            <w:tcW w:w="600" w:type="pct"/>
            <w:vAlign w:val="center"/>
          </w:tcPr>
          <w:p>
            <w:pPr>
              <w:pStyle w:val="30"/>
              <w:bidi w:val="0"/>
            </w:pPr>
            <w:r>
              <w:rPr>
                <w:rFonts w:hint="eastAsia"/>
              </w:rPr>
              <w:t>标准</w:t>
            </w:r>
            <w:r>
              <w:t>指数</w:t>
            </w:r>
          </w:p>
        </w:tc>
        <w:tc>
          <w:tcPr>
            <w:tcW w:w="477" w:type="pct"/>
            <w:vMerge w:val="continue"/>
            <w:tcBorders>
              <w:right w:val="single" w:color="auto" w:sz="12" w:space="0"/>
            </w:tcBorders>
            <w:vAlign w:val="center"/>
          </w:tcPr>
          <w:p>
            <w:pPr>
              <w:pStyle w:val="30"/>
              <w:bidi w:val="0"/>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00" w:type="pct"/>
            <w:tcBorders>
              <w:left w:val="single" w:color="auto" w:sz="12" w:space="0"/>
            </w:tcBorders>
            <w:vAlign w:val="center"/>
          </w:tcPr>
          <w:p>
            <w:pPr>
              <w:pStyle w:val="30"/>
              <w:bidi w:val="0"/>
            </w:pPr>
            <w:r>
              <w:t>pH</w:t>
            </w:r>
          </w:p>
        </w:tc>
        <w:tc>
          <w:tcPr>
            <w:tcW w:w="474" w:type="pct"/>
            <w:vAlign w:val="center"/>
          </w:tcPr>
          <w:p>
            <w:pPr>
              <w:pStyle w:val="30"/>
              <w:bidi w:val="0"/>
            </w:pPr>
            <w:r>
              <w:t>无量纲</w:t>
            </w:r>
          </w:p>
        </w:tc>
        <w:tc>
          <w:tcPr>
            <w:tcW w:w="578" w:type="pct"/>
            <w:vAlign w:val="center"/>
          </w:tcPr>
          <w:p>
            <w:pPr>
              <w:pStyle w:val="30"/>
              <w:bidi w:val="0"/>
            </w:pPr>
            <w:r>
              <w:t>7.</w:t>
            </w:r>
            <w:r>
              <w:rPr>
                <w:rFonts w:hint="eastAsia"/>
              </w:rPr>
              <w:t>37</w:t>
            </w:r>
            <w:r>
              <w:t>-7.</w:t>
            </w:r>
            <w:r>
              <w:rPr>
                <w:rFonts w:hint="eastAsia"/>
              </w:rPr>
              <w:t>52</w:t>
            </w:r>
          </w:p>
        </w:tc>
        <w:tc>
          <w:tcPr>
            <w:tcW w:w="558" w:type="pct"/>
            <w:vAlign w:val="center"/>
          </w:tcPr>
          <w:p>
            <w:pPr>
              <w:pStyle w:val="30"/>
              <w:bidi w:val="0"/>
            </w:pPr>
            <w:r>
              <w:rPr>
                <w:rFonts w:hint="eastAsia"/>
              </w:rPr>
              <w:t>0.25-0.35</w:t>
            </w:r>
          </w:p>
        </w:tc>
        <w:tc>
          <w:tcPr>
            <w:tcW w:w="578" w:type="pct"/>
            <w:vAlign w:val="center"/>
          </w:tcPr>
          <w:p>
            <w:pPr>
              <w:pStyle w:val="30"/>
              <w:bidi w:val="0"/>
            </w:pPr>
            <w:r>
              <w:t>7.</w:t>
            </w:r>
            <w:r>
              <w:rPr>
                <w:rFonts w:hint="eastAsia"/>
              </w:rPr>
              <w:t>44</w:t>
            </w:r>
            <w:r>
              <w:t>-7.</w:t>
            </w:r>
            <w:r>
              <w:rPr>
                <w:rFonts w:hint="eastAsia"/>
              </w:rPr>
              <w:t>57</w:t>
            </w:r>
          </w:p>
        </w:tc>
        <w:tc>
          <w:tcPr>
            <w:tcW w:w="558" w:type="pct"/>
            <w:vAlign w:val="center"/>
          </w:tcPr>
          <w:p>
            <w:pPr>
              <w:pStyle w:val="30"/>
              <w:bidi w:val="0"/>
            </w:pPr>
            <w:r>
              <w:rPr>
                <w:rFonts w:hint="eastAsia"/>
              </w:rPr>
              <w:t>0.29-0.38</w:t>
            </w:r>
          </w:p>
        </w:tc>
        <w:tc>
          <w:tcPr>
            <w:tcW w:w="578" w:type="pct"/>
            <w:vAlign w:val="center"/>
          </w:tcPr>
          <w:p>
            <w:pPr>
              <w:pStyle w:val="30"/>
              <w:bidi w:val="0"/>
            </w:pPr>
            <w:r>
              <w:t>7.</w:t>
            </w:r>
            <w:r>
              <w:rPr>
                <w:rFonts w:hint="eastAsia"/>
              </w:rPr>
              <w:t>45</w:t>
            </w:r>
            <w:r>
              <w:t>-7.5</w:t>
            </w:r>
            <w:r>
              <w:rPr>
                <w:rFonts w:hint="eastAsia"/>
              </w:rPr>
              <w:t>1</w:t>
            </w:r>
          </w:p>
        </w:tc>
        <w:tc>
          <w:tcPr>
            <w:tcW w:w="600" w:type="pct"/>
            <w:vAlign w:val="center"/>
          </w:tcPr>
          <w:p>
            <w:pPr>
              <w:pStyle w:val="30"/>
              <w:bidi w:val="0"/>
            </w:pPr>
            <w:r>
              <w:rPr>
                <w:rFonts w:hint="eastAsia"/>
              </w:rPr>
              <w:t>0.30-0.34</w:t>
            </w:r>
          </w:p>
        </w:tc>
        <w:tc>
          <w:tcPr>
            <w:tcW w:w="477" w:type="pct"/>
            <w:tcBorders>
              <w:right w:val="single" w:color="auto" w:sz="12" w:space="0"/>
            </w:tcBorders>
            <w:vAlign w:val="center"/>
          </w:tcPr>
          <w:p>
            <w:pPr>
              <w:pStyle w:val="30"/>
              <w:bidi w:val="0"/>
            </w:pPr>
            <w:r>
              <w:rPr>
                <w:rFonts w:hint="eastAsia"/>
              </w:rPr>
              <w:t>6.5-8.5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00" w:type="pct"/>
            <w:tcBorders>
              <w:left w:val="single" w:color="auto" w:sz="12" w:space="0"/>
            </w:tcBorders>
            <w:vAlign w:val="center"/>
          </w:tcPr>
          <w:p>
            <w:pPr>
              <w:pStyle w:val="30"/>
              <w:bidi w:val="0"/>
            </w:pPr>
            <w:r>
              <w:rPr>
                <w:rFonts w:hint="eastAsia"/>
              </w:rPr>
              <w:t>硫酸盐</w:t>
            </w:r>
          </w:p>
        </w:tc>
        <w:tc>
          <w:tcPr>
            <w:tcW w:w="474" w:type="pct"/>
            <w:vAlign w:val="center"/>
          </w:tcPr>
          <w:p>
            <w:pPr>
              <w:pStyle w:val="30"/>
              <w:bidi w:val="0"/>
            </w:pPr>
            <w:r>
              <w:t>mg/L</w:t>
            </w:r>
          </w:p>
        </w:tc>
        <w:tc>
          <w:tcPr>
            <w:tcW w:w="578" w:type="pct"/>
            <w:vAlign w:val="center"/>
          </w:tcPr>
          <w:p>
            <w:pPr>
              <w:pStyle w:val="30"/>
              <w:bidi w:val="0"/>
            </w:pPr>
            <w:r>
              <w:rPr>
                <w:rFonts w:hint="eastAsia"/>
              </w:rPr>
              <w:t>2.02-2.68</w:t>
            </w:r>
          </w:p>
        </w:tc>
        <w:tc>
          <w:tcPr>
            <w:tcW w:w="558" w:type="pct"/>
            <w:vAlign w:val="center"/>
          </w:tcPr>
          <w:p>
            <w:pPr>
              <w:pStyle w:val="30"/>
              <w:bidi w:val="0"/>
            </w:pPr>
            <w:r>
              <w:rPr>
                <w:rFonts w:hint="eastAsia"/>
              </w:rPr>
              <w:t>0.008-0.011</w:t>
            </w:r>
          </w:p>
        </w:tc>
        <w:tc>
          <w:tcPr>
            <w:tcW w:w="578" w:type="pct"/>
            <w:vAlign w:val="center"/>
          </w:tcPr>
          <w:p>
            <w:pPr>
              <w:pStyle w:val="30"/>
              <w:bidi w:val="0"/>
            </w:pPr>
            <w:r>
              <w:rPr>
                <w:rFonts w:hint="eastAsia"/>
              </w:rPr>
              <w:t>2.98-3.14</w:t>
            </w:r>
          </w:p>
        </w:tc>
        <w:tc>
          <w:tcPr>
            <w:tcW w:w="558" w:type="pct"/>
            <w:vAlign w:val="center"/>
          </w:tcPr>
          <w:p>
            <w:pPr>
              <w:pStyle w:val="30"/>
              <w:bidi w:val="0"/>
            </w:pPr>
            <w:r>
              <w:rPr>
                <w:rFonts w:hint="eastAsia"/>
              </w:rPr>
              <w:t>0.012-0.013</w:t>
            </w:r>
          </w:p>
        </w:tc>
        <w:tc>
          <w:tcPr>
            <w:tcW w:w="578" w:type="pct"/>
            <w:vAlign w:val="center"/>
          </w:tcPr>
          <w:p>
            <w:pPr>
              <w:pStyle w:val="30"/>
              <w:bidi w:val="0"/>
            </w:pPr>
            <w:r>
              <w:rPr>
                <w:rFonts w:hint="eastAsia"/>
              </w:rPr>
              <w:t>1.39-2.23</w:t>
            </w:r>
          </w:p>
        </w:tc>
        <w:tc>
          <w:tcPr>
            <w:tcW w:w="600" w:type="pct"/>
            <w:vAlign w:val="center"/>
          </w:tcPr>
          <w:p>
            <w:pPr>
              <w:pStyle w:val="30"/>
              <w:bidi w:val="0"/>
            </w:pPr>
            <w:r>
              <w:rPr>
                <w:rFonts w:hint="eastAsia"/>
              </w:rPr>
              <w:t>0.006-0.009</w:t>
            </w:r>
          </w:p>
        </w:tc>
        <w:tc>
          <w:tcPr>
            <w:tcW w:w="477" w:type="pct"/>
            <w:tcBorders>
              <w:right w:val="single" w:color="auto" w:sz="12" w:space="0"/>
            </w:tcBorders>
            <w:vAlign w:val="center"/>
          </w:tcPr>
          <w:p>
            <w:pPr>
              <w:pStyle w:val="30"/>
              <w:bidi w:val="0"/>
            </w:pPr>
            <w:r>
              <w:t>≤</w:t>
            </w:r>
            <w:r>
              <w:rPr>
                <w:rFonts w:hint="eastAsia"/>
              </w:rPr>
              <w:t>250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00" w:type="pct"/>
            <w:tcBorders>
              <w:left w:val="single" w:color="auto" w:sz="12" w:space="0"/>
            </w:tcBorders>
            <w:vAlign w:val="center"/>
          </w:tcPr>
          <w:p>
            <w:pPr>
              <w:pStyle w:val="30"/>
              <w:bidi w:val="0"/>
            </w:pPr>
            <w:r>
              <w:rPr>
                <w:rFonts w:hint="eastAsia"/>
              </w:rPr>
              <w:t>氯化物</w:t>
            </w:r>
          </w:p>
        </w:tc>
        <w:tc>
          <w:tcPr>
            <w:tcW w:w="474" w:type="pct"/>
            <w:vAlign w:val="center"/>
          </w:tcPr>
          <w:p>
            <w:pPr>
              <w:pStyle w:val="30"/>
              <w:bidi w:val="0"/>
            </w:pPr>
            <w:r>
              <w:t>mg/L</w:t>
            </w:r>
          </w:p>
        </w:tc>
        <w:tc>
          <w:tcPr>
            <w:tcW w:w="578" w:type="pct"/>
            <w:vAlign w:val="center"/>
          </w:tcPr>
          <w:p>
            <w:pPr>
              <w:pStyle w:val="30"/>
              <w:bidi w:val="0"/>
            </w:pPr>
            <w:r>
              <w:rPr>
                <w:rFonts w:hint="eastAsia"/>
              </w:rPr>
              <w:t>2.61-2.85</w:t>
            </w:r>
          </w:p>
        </w:tc>
        <w:tc>
          <w:tcPr>
            <w:tcW w:w="558" w:type="pct"/>
            <w:vAlign w:val="center"/>
          </w:tcPr>
          <w:p>
            <w:pPr>
              <w:pStyle w:val="30"/>
              <w:bidi w:val="0"/>
            </w:pPr>
            <w:r>
              <w:rPr>
                <w:rFonts w:hint="eastAsia"/>
              </w:rPr>
              <w:t>0.010-0.011</w:t>
            </w:r>
          </w:p>
        </w:tc>
        <w:tc>
          <w:tcPr>
            <w:tcW w:w="578" w:type="pct"/>
            <w:vAlign w:val="center"/>
          </w:tcPr>
          <w:p>
            <w:pPr>
              <w:pStyle w:val="30"/>
              <w:bidi w:val="0"/>
            </w:pPr>
            <w:r>
              <w:rPr>
                <w:rFonts w:hint="eastAsia"/>
              </w:rPr>
              <w:t>3.22-3.68</w:t>
            </w:r>
          </w:p>
        </w:tc>
        <w:tc>
          <w:tcPr>
            <w:tcW w:w="558" w:type="pct"/>
            <w:vAlign w:val="center"/>
          </w:tcPr>
          <w:p>
            <w:pPr>
              <w:pStyle w:val="30"/>
              <w:bidi w:val="0"/>
            </w:pPr>
            <w:r>
              <w:rPr>
                <w:rFonts w:hint="eastAsia"/>
              </w:rPr>
              <w:t>0.013-0.015</w:t>
            </w:r>
          </w:p>
        </w:tc>
        <w:tc>
          <w:tcPr>
            <w:tcW w:w="578" w:type="pct"/>
            <w:vAlign w:val="center"/>
          </w:tcPr>
          <w:p>
            <w:pPr>
              <w:pStyle w:val="30"/>
              <w:bidi w:val="0"/>
            </w:pPr>
            <w:r>
              <w:rPr>
                <w:rFonts w:hint="eastAsia"/>
              </w:rPr>
              <w:t>3.25-4.02</w:t>
            </w:r>
          </w:p>
        </w:tc>
        <w:tc>
          <w:tcPr>
            <w:tcW w:w="600" w:type="pct"/>
            <w:vAlign w:val="center"/>
          </w:tcPr>
          <w:p>
            <w:pPr>
              <w:pStyle w:val="30"/>
              <w:bidi w:val="0"/>
            </w:pPr>
            <w:r>
              <w:rPr>
                <w:rFonts w:hint="eastAsia"/>
              </w:rPr>
              <w:t>0.013-</w:t>
            </w:r>
          </w:p>
          <w:p>
            <w:pPr>
              <w:pStyle w:val="30"/>
              <w:bidi w:val="0"/>
            </w:pPr>
            <w:r>
              <w:rPr>
                <w:rFonts w:hint="eastAsia"/>
              </w:rPr>
              <w:t>0.016</w:t>
            </w:r>
          </w:p>
        </w:tc>
        <w:tc>
          <w:tcPr>
            <w:tcW w:w="477" w:type="pct"/>
            <w:tcBorders>
              <w:right w:val="single" w:color="auto" w:sz="12" w:space="0"/>
            </w:tcBorders>
            <w:vAlign w:val="center"/>
          </w:tcPr>
          <w:p>
            <w:pPr>
              <w:pStyle w:val="30"/>
              <w:bidi w:val="0"/>
            </w:pPr>
            <w:r>
              <w:t>≤</w:t>
            </w:r>
            <w:r>
              <w:rPr>
                <w:rFonts w:hint="eastAsia"/>
              </w:rPr>
              <w:t>250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00" w:type="pct"/>
            <w:tcBorders>
              <w:left w:val="single" w:color="auto" w:sz="12" w:space="0"/>
            </w:tcBorders>
            <w:vAlign w:val="center"/>
          </w:tcPr>
          <w:p>
            <w:pPr>
              <w:pStyle w:val="30"/>
              <w:bidi w:val="0"/>
            </w:pPr>
            <w:r>
              <w:rPr>
                <w:rFonts w:hint="eastAsia"/>
              </w:rPr>
              <w:t>硝酸盐</w:t>
            </w:r>
          </w:p>
        </w:tc>
        <w:tc>
          <w:tcPr>
            <w:tcW w:w="474" w:type="pct"/>
            <w:vAlign w:val="center"/>
          </w:tcPr>
          <w:p>
            <w:pPr>
              <w:pStyle w:val="30"/>
              <w:bidi w:val="0"/>
            </w:pPr>
            <w:r>
              <w:t>mg/L</w:t>
            </w:r>
          </w:p>
        </w:tc>
        <w:tc>
          <w:tcPr>
            <w:tcW w:w="578" w:type="pct"/>
            <w:vAlign w:val="center"/>
          </w:tcPr>
          <w:p>
            <w:pPr>
              <w:pStyle w:val="30"/>
              <w:bidi w:val="0"/>
            </w:pPr>
            <w:r>
              <w:rPr>
                <w:rFonts w:hint="eastAsia"/>
              </w:rPr>
              <w:t>1.12-1.35</w:t>
            </w:r>
          </w:p>
        </w:tc>
        <w:tc>
          <w:tcPr>
            <w:tcW w:w="558" w:type="pct"/>
            <w:vAlign w:val="center"/>
          </w:tcPr>
          <w:p>
            <w:pPr>
              <w:pStyle w:val="30"/>
              <w:bidi w:val="0"/>
            </w:pPr>
            <w:r>
              <w:rPr>
                <w:rFonts w:hint="eastAsia"/>
              </w:rPr>
              <w:t>0.056-</w:t>
            </w:r>
          </w:p>
          <w:p>
            <w:pPr>
              <w:pStyle w:val="30"/>
              <w:bidi w:val="0"/>
            </w:pPr>
            <w:r>
              <w:rPr>
                <w:rFonts w:hint="eastAsia"/>
              </w:rPr>
              <w:t>0.068</w:t>
            </w:r>
          </w:p>
        </w:tc>
        <w:tc>
          <w:tcPr>
            <w:tcW w:w="578" w:type="pct"/>
            <w:vAlign w:val="center"/>
          </w:tcPr>
          <w:p>
            <w:pPr>
              <w:pStyle w:val="30"/>
              <w:bidi w:val="0"/>
            </w:pPr>
            <w:r>
              <w:rPr>
                <w:rFonts w:hint="eastAsia"/>
              </w:rPr>
              <w:t>0.98-1.03</w:t>
            </w:r>
          </w:p>
        </w:tc>
        <w:tc>
          <w:tcPr>
            <w:tcW w:w="558" w:type="pct"/>
            <w:vAlign w:val="center"/>
          </w:tcPr>
          <w:p>
            <w:pPr>
              <w:pStyle w:val="30"/>
              <w:bidi w:val="0"/>
            </w:pPr>
            <w:r>
              <w:rPr>
                <w:rFonts w:hint="eastAsia"/>
              </w:rPr>
              <w:t>0.049-0.052</w:t>
            </w:r>
          </w:p>
        </w:tc>
        <w:tc>
          <w:tcPr>
            <w:tcW w:w="578" w:type="pct"/>
            <w:vAlign w:val="center"/>
          </w:tcPr>
          <w:p>
            <w:pPr>
              <w:pStyle w:val="30"/>
              <w:bidi w:val="0"/>
            </w:pPr>
            <w:r>
              <w:rPr>
                <w:rFonts w:hint="eastAsia"/>
              </w:rPr>
              <w:t>1.57-1.69</w:t>
            </w:r>
          </w:p>
        </w:tc>
        <w:tc>
          <w:tcPr>
            <w:tcW w:w="600" w:type="pct"/>
            <w:vAlign w:val="center"/>
          </w:tcPr>
          <w:p>
            <w:pPr>
              <w:pStyle w:val="30"/>
              <w:bidi w:val="0"/>
            </w:pPr>
            <w:r>
              <w:rPr>
                <w:rFonts w:hint="eastAsia"/>
              </w:rPr>
              <w:t>0.079-</w:t>
            </w:r>
          </w:p>
          <w:p>
            <w:pPr>
              <w:pStyle w:val="30"/>
              <w:bidi w:val="0"/>
            </w:pPr>
            <w:r>
              <w:rPr>
                <w:rFonts w:hint="eastAsia"/>
              </w:rPr>
              <w:t>0.085</w:t>
            </w:r>
          </w:p>
        </w:tc>
        <w:tc>
          <w:tcPr>
            <w:tcW w:w="477" w:type="pct"/>
            <w:tcBorders>
              <w:right w:val="single" w:color="auto" w:sz="12" w:space="0"/>
            </w:tcBorders>
            <w:vAlign w:val="center"/>
          </w:tcPr>
          <w:p>
            <w:pPr>
              <w:pStyle w:val="30"/>
              <w:bidi w:val="0"/>
            </w:pPr>
            <w:r>
              <w:t>≤</w:t>
            </w:r>
            <w:r>
              <w:rPr>
                <w:rFonts w:hint="eastAsia"/>
              </w:rPr>
              <w:t>20.0</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00" w:type="pct"/>
            <w:tcBorders>
              <w:left w:val="single" w:color="auto" w:sz="12" w:space="0"/>
            </w:tcBorders>
            <w:vAlign w:val="center"/>
          </w:tcPr>
          <w:p>
            <w:pPr>
              <w:pStyle w:val="30"/>
              <w:bidi w:val="0"/>
            </w:pPr>
            <w:r>
              <w:t>氨氮</w:t>
            </w:r>
          </w:p>
        </w:tc>
        <w:tc>
          <w:tcPr>
            <w:tcW w:w="474" w:type="pct"/>
            <w:vAlign w:val="center"/>
          </w:tcPr>
          <w:p>
            <w:pPr>
              <w:pStyle w:val="30"/>
              <w:bidi w:val="0"/>
            </w:pPr>
            <w:r>
              <w:t>mg/L</w:t>
            </w:r>
          </w:p>
        </w:tc>
        <w:tc>
          <w:tcPr>
            <w:tcW w:w="578" w:type="pct"/>
            <w:vAlign w:val="center"/>
          </w:tcPr>
          <w:p>
            <w:pPr>
              <w:pStyle w:val="30"/>
              <w:bidi w:val="0"/>
            </w:pPr>
            <w:r>
              <w:rPr>
                <w:rFonts w:hint="eastAsia"/>
              </w:rPr>
              <w:t>0.193-</w:t>
            </w:r>
          </w:p>
          <w:p>
            <w:pPr>
              <w:pStyle w:val="30"/>
              <w:bidi w:val="0"/>
            </w:pPr>
            <w:r>
              <w:rPr>
                <w:rFonts w:hint="eastAsia"/>
              </w:rPr>
              <w:t>0.208</w:t>
            </w:r>
          </w:p>
        </w:tc>
        <w:tc>
          <w:tcPr>
            <w:tcW w:w="558" w:type="pct"/>
            <w:vAlign w:val="center"/>
          </w:tcPr>
          <w:p>
            <w:pPr>
              <w:pStyle w:val="30"/>
              <w:bidi w:val="0"/>
            </w:pPr>
            <w:r>
              <w:rPr>
                <w:rFonts w:hint="eastAsia"/>
              </w:rPr>
              <w:t>0.386-0.416</w:t>
            </w:r>
          </w:p>
        </w:tc>
        <w:tc>
          <w:tcPr>
            <w:tcW w:w="578" w:type="pct"/>
            <w:vAlign w:val="center"/>
          </w:tcPr>
          <w:p>
            <w:pPr>
              <w:pStyle w:val="30"/>
              <w:bidi w:val="0"/>
            </w:pPr>
            <w:r>
              <w:rPr>
                <w:rFonts w:hint="eastAsia"/>
              </w:rPr>
              <w:t>0.116-</w:t>
            </w:r>
          </w:p>
          <w:p>
            <w:pPr>
              <w:pStyle w:val="30"/>
              <w:bidi w:val="0"/>
            </w:pPr>
            <w:r>
              <w:rPr>
                <w:rFonts w:hint="eastAsia"/>
              </w:rPr>
              <w:t>0.139</w:t>
            </w:r>
          </w:p>
        </w:tc>
        <w:tc>
          <w:tcPr>
            <w:tcW w:w="558" w:type="pct"/>
            <w:vAlign w:val="center"/>
          </w:tcPr>
          <w:p>
            <w:pPr>
              <w:pStyle w:val="30"/>
              <w:bidi w:val="0"/>
            </w:pPr>
            <w:r>
              <w:rPr>
                <w:rFonts w:hint="eastAsia"/>
              </w:rPr>
              <w:t>0.232-</w:t>
            </w:r>
          </w:p>
          <w:p>
            <w:pPr>
              <w:pStyle w:val="30"/>
              <w:bidi w:val="0"/>
            </w:pPr>
            <w:r>
              <w:rPr>
                <w:rFonts w:hint="eastAsia"/>
              </w:rPr>
              <w:t>0.278</w:t>
            </w:r>
          </w:p>
        </w:tc>
        <w:tc>
          <w:tcPr>
            <w:tcW w:w="578" w:type="pct"/>
            <w:vAlign w:val="center"/>
          </w:tcPr>
          <w:p>
            <w:pPr>
              <w:pStyle w:val="30"/>
              <w:bidi w:val="0"/>
            </w:pPr>
            <w:r>
              <w:rPr>
                <w:rFonts w:hint="eastAsia"/>
              </w:rPr>
              <w:t>0.072-</w:t>
            </w:r>
          </w:p>
          <w:p>
            <w:pPr>
              <w:pStyle w:val="30"/>
              <w:bidi w:val="0"/>
            </w:pPr>
            <w:r>
              <w:rPr>
                <w:rFonts w:hint="eastAsia"/>
              </w:rPr>
              <w:t>0.105</w:t>
            </w:r>
          </w:p>
        </w:tc>
        <w:tc>
          <w:tcPr>
            <w:tcW w:w="600" w:type="pct"/>
            <w:vAlign w:val="center"/>
          </w:tcPr>
          <w:p>
            <w:pPr>
              <w:pStyle w:val="30"/>
              <w:bidi w:val="0"/>
            </w:pPr>
            <w:r>
              <w:rPr>
                <w:rFonts w:hint="eastAsia"/>
              </w:rPr>
              <w:t>0.144-0.21</w:t>
            </w:r>
          </w:p>
        </w:tc>
        <w:tc>
          <w:tcPr>
            <w:tcW w:w="477" w:type="pct"/>
            <w:tcBorders>
              <w:right w:val="single" w:color="auto" w:sz="12" w:space="0"/>
            </w:tcBorders>
            <w:vAlign w:val="center"/>
          </w:tcPr>
          <w:p>
            <w:pPr>
              <w:pStyle w:val="30"/>
              <w:bidi w:val="0"/>
            </w:pPr>
            <w:r>
              <w:t>≤0.5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00" w:type="pct"/>
            <w:tcBorders>
              <w:left w:val="single" w:color="auto" w:sz="12" w:space="0"/>
            </w:tcBorders>
            <w:vAlign w:val="center"/>
          </w:tcPr>
          <w:p>
            <w:pPr>
              <w:pStyle w:val="30"/>
              <w:bidi w:val="0"/>
            </w:pPr>
            <w:r>
              <w:t>耗氧量</w:t>
            </w:r>
          </w:p>
        </w:tc>
        <w:tc>
          <w:tcPr>
            <w:tcW w:w="474" w:type="pct"/>
            <w:vAlign w:val="center"/>
          </w:tcPr>
          <w:p>
            <w:pPr>
              <w:pStyle w:val="30"/>
              <w:bidi w:val="0"/>
            </w:pPr>
            <w:r>
              <w:t>mg/L</w:t>
            </w:r>
          </w:p>
        </w:tc>
        <w:tc>
          <w:tcPr>
            <w:tcW w:w="578" w:type="pct"/>
            <w:vAlign w:val="center"/>
          </w:tcPr>
          <w:p>
            <w:pPr>
              <w:pStyle w:val="30"/>
              <w:bidi w:val="0"/>
            </w:pPr>
            <w:r>
              <w:rPr>
                <w:rFonts w:hint="eastAsia"/>
              </w:rPr>
              <w:t>0.38-0.4</w:t>
            </w:r>
          </w:p>
        </w:tc>
        <w:tc>
          <w:tcPr>
            <w:tcW w:w="558" w:type="pct"/>
            <w:vAlign w:val="center"/>
          </w:tcPr>
          <w:p>
            <w:pPr>
              <w:pStyle w:val="30"/>
              <w:bidi w:val="0"/>
            </w:pPr>
            <w:r>
              <w:rPr>
                <w:rFonts w:hint="eastAsia"/>
              </w:rPr>
              <w:t>0.127-0.133</w:t>
            </w:r>
          </w:p>
        </w:tc>
        <w:tc>
          <w:tcPr>
            <w:tcW w:w="578" w:type="pct"/>
            <w:vAlign w:val="center"/>
          </w:tcPr>
          <w:p>
            <w:pPr>
              <w:pStyle w:val="30"/>
              <w:bidi w:val="0"/>
            </w:pPr>
            <w:r>
              <w:rPr>
                <w:rFonts w:hint="eastAsia"/>
              </w:rPr>
              <w:t>0.95-1</w:t>
            </w:r>
          </w:p>
        </w:tc>
        <w:tc>
          <w:tcPr>
            <w:tcW w:w="558" w:type="pct"/>
            <w:vAlign w:val="center"/>
          </w:tcPr>
          <w:p>
            <w:pPr>
              <w:pStyle w:val="30"/>
              <w:bidi w:val="0"/>
            </w:pPr>
            <w:r>
              <w:rPr>
                <w:rFonts w:hint="eastAsia"/>
              </w:rPr>
              <w:t>0.317-0.333</w:t>
            </w:r>
          </w:p>
        </w:tc>
        <w:tc>
          <w:tcPr>
            <w:tcW w:w="578" w:type="pct"/>
            <w:vAlign w:val="center"/>
          </w:tcPr>
          <w:p>
            <w:pPr>
              <w:pStyle w:val="30"/>
              <w:bidi w:val="0"/>
            </w:pPr>
            <w:r>
              <w:rPr>
                <w:rFonts w:hint="eastAsia"/>
              </w:rPr>
              <w:t>0.53-0.62</w:t>
            </w:r>
          </w:p>
        </w:tc>
        <w:tc>
          <w:tcPr>
            <w:tcW w:w="600" w:type="pct"/>
            <w:vAlign w:val="center"/>
          </w:tcPr>
          <w:p>
            <w:pPr>
              <w:pStyle w:val="30"/>
              <w:bidi w:val="0"/>
            </w:pPr>
            <w:r>
              <w:rPr>
                <w:rFonts w:hint="eastAsia"/>
              </w:rPr>
              <w:t>0.177-0.207</w:t>
            </w:r>
          </w:p>
        </w:tc>
        <w:tc>
          <w:tcPr>
            <w:tcW w:w="477" w:type="pct"/>
            <w:tcBorders>
              <w:right w:val="single" w:color="auto" w:sz="12" w:space="0"/>
            </w:tcBorders>
            <w:vAlign w:val="center"/>
          </w:tcPr>
          <w:p>
            <w:pPr>
              <w:pStyle w:val="30"/>
              <w:bidi w:val="0"/>
            </w:pPr>
            <w:r>
              <w:t>≤3.0</w:t>
            </w:r>
          </w:p>
        </w:tc>
      </w:tr>
    </w:tbl>
    <w:p>
      <w:pPr>
        <w:bidi w:val="0"/>
      </w:pPr>
      <w:r>
        <w:rPr>
          <w:rFonts w:hint="eastAsia"/>
        </w:rPr>
        <w:t>监测结果表明：项目建设地地下水环境质量</w:t>
      </w:r>
      <w:r>
        <w:t>达到《地</w:t>
      </w:r>
      <w:r>
        <w:rPr>
          <w:rFonts w:hint="eastAsia"/>
        </w:rPr>
        <w:t>下</w:t>
      </w:r>
      <w:r>
        <w:t>水质量标准》</w:t>
      </w:r>
      <w:r>
        <w:rPr>
          <w:rFonts w:hint="eastAsia"/>
        </w:rPr>
        <w:t>（</w:t>
      </w:r>
      <w:r>
        <w:t>GB</w:t>
      </w:r>
      <w:r>
        <w:rPr>
          <w:rFonts w:hint="eastAsia"/>
        </w:rPr>
        <w:t>/T 1484</w:t>
      </w:r>
      <w:r>
        <w:t>8-</w:t>
      </w:r>
      <w:r>
        <w:rPr>
          <w:rFonts w:hint="eastAsia"/>
        </w:rPr>
        <w:t>2017）</w:t>
      </w:r>
      <w:r>
        <w:t>中</w:t>
      </w:r>
      <w:r>
        <w:rPr>
          <w:rFonts w:hint="eastAsia"/>
        </w:rPr>
        <w:t>Ⅲ</w:t>
      </w:r>
      <w:r>
        <w:t>类</w:t>
      </w:r>
      <w:r>
        <w:rPr>
          <w:rFonts w:hint="eastAsia"/>
        </w:rPr>
        <w:t>水质</w:t>
      </w:r>
      <w:r>
        <w:t>标准</w:t>
      </w:r>
      <w:r>
        <w:rPr>
          <w:rFonts w:hint="eastAsia"/>
        </w:rPr>
        <w:t>，地下水环境质量良好</w:t>
      </w:r>
      <w:r>
        <w:t>。</w:t>
      </w:r>
    </w:p>
    <w:p>
      <w:pPr>
        <w:pStyle w:val="4"/>
        <w:bidi w:val="0"/>
      </w:pPr>
      <w:bookmarkStart w:id="109" w:name="_Toc14885"/>
      <w:bookmarkStart w:id="110" w:name="_Toc18266"/>
      <w:r>
        <w:t>环境保护目标</w:t>
      </w:r>
      <w:bookmarkEnd w:id="109"/>
      <w:bookmarkEnd w:id="110"/>
    </w:p>
    <w:p>
      <w:pPr>
        <w:bidi w:val="0"/>
        <w:rPr>
          <w:rFonts w:hint="eastAsia"/>
          <w:u w:val="single"/>
          <w:lang w:eastAsia="zh-CN"/>
        </w:rPr>
      </w:pPr>
      <w:r>
        <w:rPr>
          <w:rFonts w:hint="eastAsia"/>
          <w:u w:val="single"/>
          <w:lang w:eastAsia="zh-CN"/>
        </w:rPr>
        <w:t>由于项目建设内容未发生改变，仅为临时堆场变更，堆场周边环保目标，详见下表。</w:t>
      </w:r>
    </w:p>
    <w:p>
      <w:pPr>
        <w:pStyle w:val="29"/>
        <w:bidi w:val="0"/>
        <w:rPr>
          <w:u w:val="single"/>
        </w:rPr>
      </w:pPr>
      <w:bookmarkStart w:id="111" w:name="OLE_LINK27"/>
      <w:r>
        <w:rPr>
          <w:u w:val="single"/>
        </w:rPr>
        <w:t>表</w:t>
      </w:r>
      <w:r>
        <w:rPr>
          <w:rFonts w:hint="eastAsia"/>
          <w:u w:val="single"/>
          <w:lang w:val="en-US" w:eastAsia="zh-CN"/>
        </w:rPr>
        <w:t>5.</w:t>
      </w:r>
      <w:r>
        <w:rPr>
          <w:u w:val="single"/>
        </w:rPr>
        <w:t>3-</w:t>
      </w:r>
      <w:r>
        <w:rPr>
          <w:rFonts w:hint="eastAsia"/>
          <w:u w:val="single"/>
          <w:lang w:val="en-US" w:eastAsia="zh-CN"/>
        </w:rPr>
        <w:t>1</w:t>
      </w:r>
      <w:r>
        <w:rPr>
          <w:rFonts w:hint="eastAsia"/>
          <w:u w:val="single"/>
        </w:rPr>
        <w:t xml:space="preserve">  本项目</w:t>
      </w:r>
      <w:r>
        <w:rPr>
          <w:u w:val="single"/>
        </w:rPr>
        <w:t>周边主要环境保护目标示意表</w:t>
      </w:r>
    </w:p>
    <w:tbl>
      <w:tblPr>
        <w:tblStyle w:val="21"/>
        <w:tblW w:w="963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1138"/>
        <w:gridCol w:w="1544"/>
        <w:gridCol w:w="1545"/>
        <w:gridCol w:w="1433"/>
        <w:gridCol w:w="27"/>
        <w:gridCol w:w="1403"/>
        <w:gridCol w:w="254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580" w:hRule="atLeast"/>
          <w:jc w:val="center"/>
        </w:trPr>
        <w:tc>
          <w:tcPr>
            <w:tcW w:w="1138" w:type="dxa"/>
            <w:tcBorders>
              <w:tl2br w:val="nil"/>
              <w:tr2bl w:val="nil"/>
            </w:tcBorders>
            <w:vAlign w:val="center"/>
          </w:tcPr>
          <w:p>
            <w:pPr>
              <w:pStyle w:val="30"/>
              <w:bidi w:val="0"/>
              <w:rPr>
                <w:u w:val="single"/>
              </w:rPr>
            </w:pPr>
            <w:r>
              <w:rPr>
                <w:u w:val="single"/>
              </w:rPr>
              <w:t>要素</w:t>
            </w:r>
          </w:p>
        </w:tc>
        <w:tc>
          <w:tcPr>
            <w:tcW w:w="3089" w:type="dxa"/>
            <w:gridSpan w:val="2"/>
            <w:tcBorders>
              <w:tl2br w:val="nil"/>
              <w:tr2bl w:val="nil"/>
            </w:tcBorders>
            <w:vAlign w:val="center"/>
          </w:tcPr>
          <w:p>
            <w:pPr>
              <w:pStyle w:val="30"/>
              <w:bidi w:val="0"/>
              <w:rPr>
                <w:u w:val="single"/>
              </w:rPr>
            </w:pPr>
            <w:r>
              <w:rPr>
                <w:u w:val="single"/>
              </w:rPr>
              <w:t>保护目标</w:t>
            </w:r>
          </w:p>
        </w:tc>
        <w:tc>
          <w:tcPr>
            <w:tcW w:w="1433" w:type="dxa"/>
            <w:tcBorders>
              <w:tl2br w:val="nil"/>
              <w:tr2bl w:val="nil"/>
            </w:tcBorders>
            <w:vAlign w:val="center"/>
          </w:tcPr>
          <w:p>
            <w:pPr>
              <w:pStyle w:val="30"/>
              <w:bidi w:val="0"/>
              <w:rPr>
                <w:u w:val="single"/>
              </w:rPr>
            </w:pPr>
            <w:r>
              <w:rPr>
                <w:u w:val="single"/>
              </w:rPr>
              <w:t>与红线距离</w:t>
            </w:r>
            <w:r>
              <w:rPr>
                <w:rFonts w:hint="eastAsia"/>
                <w:u w:val="single"/>
              </w:rPr>
              <w:t>（m）</w:t>
            </w:r>
          </w:p>
        </w:tc>
        <w:tc>
          <w:tcPr>
            <w:tcW w:w="1430" w:type="dxa"/>
            <w:gridSpan w:val="2"/>
            <w:tcBorders>
              <w:tl2br w:val="nil"/>
              <w:tr2bl w:val="nil"/>
            </w:tcBorders>
            <w:vAlign w:val="center"/>
          </w:tcPr>
          <w:p>
            <w:pPr>
              <w:pStyle w:val="30"/>
              <w:bidi w:val="0"/>
              <w:rPr>
                <w:u w:val="single"/>
              </w:rPr>
            </w:pPr>
            <w:r>
              <w:rPr>
                <w:u w:val="single"/>
              </w:rPr>
              <w:t>性质/规模</w:t>
            </w:r>
          </w:p>
        </w:tc>
        <w:tc>
          <w:tcPr>
            <w:tcW w:w="2548" w:type="dxa"/>
            <w:tcBorders>
              <w:tl2br w:val="nil"/>
              <w:tr2bl w:val="nil"/>
            </w:tcBorders>
            <w:vAlign w:val="center"/>
          </w:tcPr>
          <w:p>
            <w:pPr>
              <w:pStyle w:val="30"/>
              <w:bidi w:val="0"/>
              <w:rPr>
                <w:u w:val="single"/>
              </w:rPr>
            </w:pPr>
            <w:r>
              <w:rPr>
                <w:u w:val="single"/>
              </w:rPr>
              <w:t>保护级别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1138" w:type="dxa"/>
            <w:tcBorders>
              <w:tl2br w:val="nil"/>
              <w:tr2bl w:val="nil"/>
            </w:tcBorders>
            <w:vAlign w:val="center"/>
          </w:tcPr>
          <w:p>
            <w:pPr>
              <w:pStyle w:val="30"/>
              <w:bidi w:val="0"/>
              <w:rPr>
                <w:u w:val="single"/>
              </w:rPr>
            </w:pPr>
            <w:r>
              <w:rPr>
                <w:u w:val="single"/>
              </w:rPr>
              <w:t>大气环境</w:t>
            </w:r>
          </w:p>
          <w:p>
            <w:pPr>
              <w:pStyle w:val="30"/>
              <w:bidi w:val="0"/>
              <w:rPr>
                <w:u w:val="single"/>
              </w:rPr>
            </w:pPr>
            <w:r>
              <w:rPr>
                <w:u w:val="single"/>
              </w:rPr>
              <w:t>声环境</w:t>
            </w:r>
          </w:p>
        </w:tc>
        <w:tc>
          <w:tcPr>
            <w:tcW w:w="5952" w:type="dxa"/>
            <w:gridSpan w:val="5"/>
            <w:tcBorders>
              <w:tl2br w:val="nil"/>
              <w:tr2bl w:val="nil"/>
            </w:tcBorders>
            <w:vAlign w:val="center"/>
          </w:tcPr>
          <w:p>
            <w:pPr>
              <w:pStyle w:val="30"/>
              <w:bidi w:val="0"/>
              <w:rPr>
                <w:u w:val="single"/>
              </w:rPr>
            </w:pPr>
            <w:r>
              <w:rPr>
                <w:rFonts w:hint="eastAsia"/>
                <w:u w:val="single"/>
                <w:lang w:eastAsia="zh-CN"/>
              </w:rPr>
              <w:t>无</w:t>
            </w:r>
          </w:p>
        </w:tc>
        <w:tc>
          <w:tcPr>
            <w:tcW w:w="2548" w:type="dxa"/>
            <w:tcBorders>
              <w:tl2br w:val="nil"/>
              <w:tr2bl w:val="nil"/>
            </w:tcBorders>
            <w:vAlign w:val="center"/>
          </w:tcPr>
          <w:p>
            <w:pPr>
              <w:pStyle w:val="30"/>
              <w:bidi w:val="0"/>
              <w:rPr>
                <w:u w:val="single"/>
              </w:rPr>
            </w:pPr>
            <w:r>
              <w:rPr>
                <w:u w:val="single"/>
              </w:rPr>
              <w:t>《环境空气质量标准》（GB3095-2012）中</w:t>
            </w:r>
            <w:r>
              <w:rPr>
                <w:rFonts w:hint="eastAsia"/>
                <w:u w:val="single"/>
              </w:rPr>
              <w:t>一</w:t>
            </w:r>
            <w:r>
              <w:rPr>
                <w:u w:val="single"/>
              </w:rPr>
              <w:t>级标准，《声环境质量标准》（GB3096-2008）2类标准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55" w:hRule="atLeast"/>
          <w:jc w:val="center"/>
        </w:trPr>
        <w:tc>
          <w:tcPr>
            <w:tcW w:w="1138" w:type="dxa"/>
            <w:vMerge w:val="restart"/>
            <w:tcBorders>
              <w:tl2br w:val="nil"/>
              <w:tr2bl w:val="nil"/>
            </w:tcBorders>
            <w:vAlign w:val="center"/>
          </w:tcPr>
          <w:p>
            <w:pPr>
              <w:pStyle w:val="30"/>
              <w:bidi w:val="0"/>
              <w:rPr>
                <w:u w:val="single"/>
              </w:rPr>
            </w:pPr>
            <w:r>
              <w:rPr>
                <w:u w:val="single"/>
              </w:rPr>
              <w:t>地面水</w:t>
            </w:r>
          </w:p>
          <w:p>
            <w:pPr>
              <w:pStyle w:val="30"/>
              <w:bidi w:val="0"/>
              <w:rPr>
                <w:u w:val="single"/>
              </w:rPr>
            </w:pPr>
            <w:r>
              <w:rPr>
                <w:u w:val="single"/>
              </w:rPr>
              <w:t>环境</w:t>
            </w:r>
          </w:p>
        </w:tc>
        <w:tc>
          <w:tcPr>
            <w:tcW w:w="3089" w:type="dxa"/>
            <w:gridSpan w:val="2"/>
            <w:tcBorders>
              <w:tl2br w:val="nil"/>
              <w:tr2bl w:val="nil"/>
            </w:tcBorders>
            <w:vAlign w:val="center"/>
          </w:tcPr>
          <w:p>
            <w:pPr>
              <w:pStyle w:val="30"/>
              <w:bidi w:val="0"/>
              <w:rPr>
                <w:u w:val="single"/>
              </w:rPr>
            </w:pPr>
            <w:r>
              <w:rPr>
                <w:rFonts w:hint="eastAsia"/>
                <w:u w:val="single"/>
              </w:rPr>
              <w:t>长江</w:t>
            </w:r>
          </w:p>
        </w:tc>
        <w:tc>
          <w:tcPr>
            <w:tcW w:w="1433" w:type="dxa"/>
            <w:tcBorders>
              <w:tl2br w:val="nil"/>
              <w:tr2bl w:val="nil"/>
            </w:tcBorders>
            <w:vAlign w:val="center"/>
          </w:tcPr>
          <w:p>
            <w:pPr>
              <w:pStyle w:val="30"/>
              <w:bidi w:val="0"/>
              <w:rPr>
                <w:u w:val="single"/>
              </w:rPr>
            </w:pPr>
            <w:r>
              <w:rPr>
                <w:u w:val="single"/>
              </w:rPr>
              <w:t>相临</w:t>
            </w:r>
          </w:p>
        </w:tc>
        <w:tc>
          <w:tcPr>
            <w:tcW w:w="1430" w:type="dxa"/>
            <w:gridSpan w:val="2"/>
            <w:tcBorders>
              <w:tl2br w:val="nil"/>
              <w:tr2bl w:val="nil"/>
            </w:tcBorders>
            <w:vAlign w:val="center"/>
          </w:tcPr>
          <w:p>
            <w:pPr>
              <w:pStyle w:val="30"/>
              <w:bidi w:val="0"/>
              <w:rPr>
                <w:u w:val="single"/>
              </w:rPr>
            </w:pPr>
            <w:r>
              <w:rPr>
                <w:rFonts w:hint="eastAsia"/>
                <w:u w:val="single"/>
              </w:rPr>
              <w:t>大河</w:t>
            </w:r>
          </w:p>
        </w:tc>
        <w:tc>
          <w:tcPr>
            <w:tcW w:w="2548" w:type="dxa"/>
            <w:vMerge w:val="restart"/>
            <w:tcBorders>
              <w:tl2br w:val="nil"/>
              <w:tr2bl w:val="nil"/>
            </w:tcBorders>
            <w:vAlign w:val="center"/>
          </w:tcPr>
          <w:p>
            <w:pPr>
              <w:pStyle w:val="30"/>
              <w:bidi w:val="0"/>
              <w:rPr>
                <w:u w:val="single"/>
              </w:rPr>
            </w:pPr>
            <w:r>
              <w:rPr>
                <w:u w:val="single"/>
              </w:rPr>
              <w:t>GB3838-2002</w:t>
            </w:r>
          </w:p>
          <w:p>
            <w:pPr>
              <w:pStyle w:val="30"/>
              <w:bidi w:val="0"/>
              <w:rPr>
                <w:u w:val="single"/>
              </w:rPr>
            </w:pPr>
            <w:r>
              <w:rPr>
                <w:rFonts w:hint="eastAsia"/>
                <w:u w:val="single"/>
              </w:rPr>
              <w:t>Ⅲ</w:t>
            </w:r>
            <w:r>
              <w:rPr>
                <w:u w:val="single"/>
              </w:rPr>
              <w:t>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405" w:hRule="atLeast"/>
          <w:jc w:val="center"/>
        </w:trPr>
        <w:tc>
          <w:tcPr>
            <w:tcW w:w="1138" w:type="dxa"/>
            <w:vMerge w:val="continue"/>
            <w:tcBorders>
              <w:tl2br w:val="nil"/>
              <w:tr2bl w:val="nil"/>
            </w:tcBorders>
            <w:vAlign w:val="center"/>
          </w:tcPr>
          <w:p>
            <w:pPr>
              <w:pStyle w:val="30"/>
              <w:bidi w:val="0"/>
              <w:rPr>
                <w:u w:val="single"/>
              </w:rPr>
            </w:pPr>
          </w:p>
        </w:tc>
        <w:tc>
          <w:tcPr>
            <w:tcW w:w="3089" w:type="dxa"/>
            <w:gridSpan w:val="2"/>
            <w:tcBorders>
              <w:tl2br w:val="nil"/>
              <w:tr2bl w:val="nil"/>
            </w:tcBorders>
            <w:vAlign w:val="center"/>
          </w:tcPr>
          <w:p>
            <w:pPr>
              <w:pStyle w:val="30"/>
              <w:bidi w:val="0"/>
              <w:rPr>
                <w:u w:val="single"/>
              </w:rPr>
            </w:pPr>
            <w:r>
              <w:rPr>
                <w:u w:val="single"/>
              </w:rPr>
              <w:t>濠河</w:t>
            </w:r>
          </w:p>
        </w:tc>
        <w:tc>
          <w:tcPr>
            <w:tcW w:w="1433" w:type="dxa"/>
            <w:tcBorders>
              <w:tl2br w:val="nil"/>
              <w:tr2bl w:val="nil"/>
            </w:tcBorders>
            <w:vAlign w:val="center"/>
          </w:tcPr>
          <w:p>
            <w:pPr>
              <w:pStyle w:val="30"/>
              <w:bidi w:val="0"/>
              <w:rPr>
                <w:rFonts w:hint="default" w:eastAsia="宋体"/>
                <w:u w:val="single"/>
                <w:lang w:val="en-US" w:eastAsia="zh-CN"/>
              </w:rPr>
            </w:pPr>
            <w:r>
              <w:rPr>
                <w:rFonts w:hint="eastAsia"/>
                <w:u w:val="single"/>
                <w:lang w:val="en-US" w:eastAsia="zh-CN"/>
              </w:rPr>
              <w:t>4500</w:t>
            </w:r>
          </w:p>
        </w:tc>
        <w:tc>
          <w:tcPr>
            <w:tcW w:w="1430" w:type="dxa"/>
            <w:gridSpan w:val="2"/>
            <w:tcBorders>
              <w:tl2br w:val="nil"/>
              <w:tr2bl w:val="nil"/>
            </w:tcBorders>
            <w:vAlign w:val="center"/>
          </w:tcPr>
          <w:p>
            <w:pPr>
              <w:pStyle w:val="30"/>
              <w:bidi w:val="0"/>
              <w:rPr>
                <w:u w:val="single"/>
              </w:rPr>
            </w:pPr>
            <w:r>
              <w:rPr>
                <w:rFonts w:hint="eastAsia"/>
                <w:u w:val="single"/>
              </w:rPr>
              <w:t>小湖</w:t>
            </w:r>
          </w:p>
        </w:tc>
        <w:tc>
          <w:tcPr>
            <w:tcW w:w="2548" w:type="dxa"/>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1138" w:type="dxa"/>
            <w:vMerge w:val="continue"/>
            <w:tcBorders>
              <w:tl2br w:val="nil"/>
              <w:tr2bl w:val="nil"/>
            </w:tcBorders>
            <w:vAlign w:val="center"/>
          </w:tcPr>
          <w:p>
            <w:pPr>
              <w:pStyle w:val="30"/>
              <w:bidi w:val="0"/>
              <w:rPr>
                <w:u w:val="single"/>
              </w:rPr>
            </w:pPr>
          </w:p>
        </w:tc>
        <w:tc>
          <w:tcPr>
            <w:tcW w:w="3089" w:type="dxa"/>
            <w:gridSpan w:val="2"/>
            <w:tcBorders>
              <w:tl2br w:val="nil"/>
              <w:tr2bl w:val="nil"/>
            </w:tcBorders>
            <w:vAlign w:val="center"/>
          </w:tcPr>
          <w:p>
            <w:pPr>
              <w:pStyle w:val="30"/>
              <w:bidi w:val="0"/>
              <w:rPr>
                <w:u w:val="single"/>
              </w:rPr>
            </w:pPr>
            <w:r>
              <w:rPr>
                <w:u w:val="single"/>
              </w:rPr>
              <w:t>东洞庭湖</w:t>
            </w:r>
          </w:p>
        </w:tc>
        <w:tc>
          <w:tcPr>
            <w:tcW w:w="1433" w:type="dxa"/>
            <w:tcBorders>
              <w:tl2br w:val="nil"/>
              <w:tr2bl w:val="nil"/>
            </w:tcBorders>
            <w:vAlign w:val="center"/>
          </w:tcPr>
          <w:p>
            <w:pPr>
              <w:pStyle w:val="30"/>
              <w:bidi w:val="0"/>
              <w:rPr>
                <w:rFonts w:hint="default" w:eastAsia="宋体"/>
                <w:u w:val="single"/>
                <w:lang w:val="en-US" w:eastAsia="zh-CN"/>
              </w:rPr>
            </w:pPr>
            <w:r>
              <w:rPr>
                <w:rFonts w:hint="eastAsia"/>
                <w:u w:val="single"/>
                <w:lang w:val="en-US" w:eastAsia="zh-CN"/>
              </w:rPr>
              <w:t>4200</w:t>
            </w:r>
          </w:p>
        </w:tc>
        <w:tc>
          <w:tcPr>
            <w:tcW w:w="1430" w:type="dxa"/>
            <w:gridSpan w:val="2"/>
            <w:tcBorders>
              <w:tl2br w:val="nil"/>
              <w:tr2bl w:val="nil"/>
            </w:tcBorders>
            <w:vAlign w:val="center"/>
          </w:tcPr>
          <w:p>
            <w:pPr>
              <w:pStyle w:val="30"/>
              <w:bidi w:val="0"/>
              <w:rPr>
                <w:u w:val="single"/>
              </w:rPr>
            </w:pPr>
            <w:r>
              <w:rPr>
                <w:rFonts w:hint="eastAsia"/>
                <w:u w:val="single"/>
              </w:rPr>
              <w:t>大湖</w:t>
            </w:r>
          </w:p>
        </w:tc>
        <w:tc>
          <w:tcPr>
            <w:tcW w:w="2548" w:type="dxa"/>
            <w:tcBorders>
              <w:tl2br w:val="nil"/>
              <w:tr2bl w:val="nil"/>
            </w:tcBorders>
            <w:vAlign w:val="center"/>
          </w:tcPr>
          <w:p>
            <w:pPr>
              <w:pStyle w:val="30"/>
              <w:bidi w:val="0"/>
              <w:rPr>
                <w:u w:val="single"/>
              </w:rPr>
            </w:pPr>
            <w:r>
              <w:rPr>
                <w:u w:val="single"/>
              </w:rPr>
              <w:t>GB3838-2002</w:t>
            </w:r>
          </w:p>
          <w:p>
            <w:pPr>
              <w:pStyle w:val="30"/>
              <w:bidi w:val="0"/>
              <w:rPr>
                <w:u w:val="single"/>
              </w:rPr>
            </w:pPr>
            <w:r>
              <w:rPr>
                <w:rFonts w:hint="eastAsia"/>
                <w:u w:val="single"/>
              </w:rPr>
              <w:t>Ⅱ、Ⅲ</w:t>
            </w:r>
            <w:r>
              <w:rPr>
                <w:u w:val="single"/>
              </w:rPr>
              <w:t>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1138" w:type="dxa"/>
            <w:tcBorders>
              <w:tl2br w:val="nil"/>
              <w:tr2bl w:val="nil"/>
            </w:tcBorders>
            <w:vAlign w:val="center"/>
          </w:tcPr>
          <w:p>
            <w:pPr>
              <w:pStyle w:val="30"/>
              <w:bidi w:val="0"/>
              <w:rPr>
                <w:u w:val="single"/>
              </w:rPr>
            </w:pPr>
            <w:r>
              <w:rPr>
                <w:u w:val="single"/>
              </w:rPr>
              <w:t>地下水</w:t>
            </w:r>
          </w:p>
          <w:p>
            <w:pPr>
              <w:pStyle w:val="30"/>
              <w:bidi w:val="0"/>
              <w:rPr>
                <w:u w:val="single"/>
              </w:rPr>
            </w:pPr>
            <w:r>
              <w:rPr>
                <w:u w:val="single"/>
              </w:rPr>
              <w:t>环境</w:t>
            </w:r>
          </w:p>
        </w:tc>
        <w:tc>
          <w:tcPr>
            <w:tcW w:w="3089" w:type="dxa"/>
            <w:gridSpan w:val="2"/>
            <w:tcBorders>
              <w:tl2br w:val="nil"/>
              <w:tr2bl w:val="nil"/>
            </w:tcBorders>
            <w:vAlign w:val="center"/>
          </w:tcPr>
          <w:p>
            <w:pPr>
              <w:pStyle w:val="30"/>
              <w:bidi w:val="0"/>
              <w:rPr>
                <w:u w:val="single"/>
              </w:rPr>
            </w:pPr>
            <w:r>
              <w:rPr>
                <w:rFonts w:hint="eastAsia"/>
                <w:u w:val="single"/>
              </w:rPr>
              <w:t>-</w:t>
            </w:r>
          </w:p>
        </w:tc>
        <w:tc>
          <w:tcPr>
            <w:tcW w:w="5411" w:type="dxa"/>
            <w:gridSpan w:val="4"/>
            <w:tcBorders>
              <w:tl2br w:val="nil"/>
              <w:tr2bl w:val="nil"/>
            </w:tcBorders>
            <w:vAlign w:val="center"/>
          </w:tcPr>
          <w:p>
            <w:pPr>
              <w:pStyle w:val="30"/>
              <w:bidi w:val="0"/>
              <w:rPr>
                <w:u w:val="single"/>
              </w:rPr>
            </w:pPr>
            <w:r>
              <w:rPr>
                <w:rFonts w:hint="eastAsia"/>
                <w:u w:val="single"/>
              </w:rPr>
              <w:t>GB/T 14848-2017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1138" w:type="dxa"/>
            <w:vMerge w:val="restart"/>
            <w:tcBorders>
              <w:tl2br w:val="nil"/>
              <w:tr2bl w:val="nil"/>
            </w:tcBorders>
            <w:vAlign w:val="center"/>
          </w:tcPr>
          <w:p>
            <w:pPr>
              <w:pStyle w:val="30"/>
              <w:bidi w:val="0"/>
              <w:rPr>
                <w:u w:val="single"/>
              </w:rPr>
            </w:pPr>
            <w:r>
              <w:rPr>
                <w:u w:val="single"/>
              </w:rPr>
              <w:t>生态</w:t>
            </w:r>
          </w:p>
          <w:p>
            <w:pPr>
              <w:pStyle w:val="30"/>
              <w:bidi w:val="0"/>
              <w:rPr>
                <w:u w:val="single"/>
              </w:rPr>
            </w:pPr>
            <w:r>
              <w:rPr>
                <w:u w:val="single"/>
              </w:rPr>
              <w:t>环境</w:t>
            </w:r>
          </w:p>
        </w:tc>
        <w:tc>
          <w:tcPr>
            <w:tcW w:w="3089" w:type="dxa"/>
            <w:gridSpan w:val="2"/>
            <w:tcBorders>
              <w:tl2br w:val="nil"/>
              <w:tr2bl w:val="nil"/>
            </w:tcBorders>
            <w:vAlign w:val="center"/>
          </w:tcPr>
          <w:p>
            <w:pPr>
              <w:pStyle w:val="30"/>
              <w:bidi w:val="0"/>
              <w:rPr>
                <w:u w:val="single"/>
              </w:rPr>
            </w:pPr>
            <w:r>
              <w:rPr>
                <w:rFonts w:hint="eastAsia"/>
                <w:u w:val="single"/>
              </w:rPr>
              <w:t>市一水厂</w:t>
            </w:r>
          </w:p>
          <w:p>
            <w:pPr>
              <w:pStyle w:val="30"/>
              <w:bidi w:val="0"/>
              <w:rPr>
                <w:u w:val="single"/>
              </w:rPr>
            </w:pPr>
            <w:r>
              <w:rPr>
                <w:rFonts w:hint="eastAsia"/>
                <w:u w:val="single"/>
              </w:rPr>
              <w:t>取水口</w:t>
            </w:r>
          </w:p>
        </w:tc>
        <w:tc>
          <w:tcPr>
            <w:tcW w:w="1460" w:type="dxa"/>
            <w:gridSpan w:val="2"/>
            <w:tcBorders>
              <w:tl2br w:val="nil"/>
              <w:tr2bl w:val="nil"/>
            </w:tcBorders>
            <w:vAlign w:val="center"/>
          </w:tcPr>
          <w:p>
            <w:pPr>
              <w:pStyle w:val="30"/>
              <w:bidi w:val="0"/>
              <w:rPr>
                <w:rFonts w:hint="default" w:eastAsia="宋体"/>
                <w:u w:val="single"/>
                <w:lang w:val="en-US" w:eastAsia="zh-CN"/>
              </w:rPr>
            </w:pPr>
            <w:r>
              <w:rPr>
                <w:rFonts w:hint="eastAsia"/>
                <w:u w:val="single"/>
              </w:rPr>
              <w:t>4</w:t>
            </w:r>
            <w:r>
              <w:rPr>
                <w:rFonts w:hint="eastAsia"/>
                <w:u w:val="single"/>
                <w:lang w:val="en-US" w:eastAsia="zh-CN"/>
              </w:rPr>
              <w:t>300</w:t>
            </w:r>
          </w:p>
        </w:tc>
        <w:tc>
          <w:tcPr>
            <w:tcW w:w="1403" w:type="dxa"/>
            <w:tcBorders>
              <w:tl2br w:val="nil"/>
              <w:tr2bl w:val="nil"/>
            </w:tcBorders>
            <w:vAlign w:val="center"/>
          </w:tcPr>
          <w:p>
            <w:pPr>
              <w:pStyle w:val="30"/>
              <w:bidi w:val="0"/>
              <w:rPr>
                <w:u w:val="single"/>
              </w:rPr>
            </w:pPr>
            <w:r>
              <w:rPr>
                <w:rFonts w:hint="eastAsia"/>
                <w:u w:val="single"/>
              </w:rPr>
              <w:t>饮用水水</w:t>
            </w:r>
          </w:p>
          <w:p>
            <w:pPr>
              <w:pStyle w:val="30"/>
              <w:bidi w:val="0"/>
              <w:rPr>
                <w:u w:val="single"/>
              </w:rPr>
            </w:pPr>
            <w:r>
              <w:rPr>
                <w:rFonts w:hint="eastAsia"/>
                <w:u w:val="single"/>
              </w:rPr>
              <w:t>源保护区</w:t>
            </w:r>
          </w:p>
        </w:tc>
        <w:tc>
          <w:tcPr>
            <w:tcW w:w="2548" w:type="dxa"/>
            <w:tcBorders>
              <w:tl2br w:val="nil"/>
              <w:tr2bl w:val="nil"/>
            </w:tcBorders>
            <w:vAlign w:val="center"/>
          </w:tcPr>
          <w:p>
            <w:pPr>
              <w:pStyle w:val="30"/>
              <w:bidi w:val="0"/>
              <w:rPr>
                <w:u w:val="single"/>
              </w:rPr>
            </w:pPr>
            <w:r>
              <w:rPr>
                <w:u w:val="single"/>
              </w:rPr>
              <w:t>GB3838-2002</w:t>
            </w:r>
          </w:p>
          <w:p>
            <w:pPr>
              <w:pStyle w:val="30"/>
              <w:bidi w:val="0"/>
              <w:rPr>
                <w:u w:val="single"/>
              </w:rPr>
            </w:pPr>
            <w:r>
              <w:rPr>
                <w:rFonts w:hint="eastAsia"/>
                <w:u w:val="single"/>
              </w:rPr>
              <w:t>Ⅱ、Ⅲ</w:t>
            </w:r>
            <w:r>
              <w:rPr>
                <w:u w:val="single"/>
              </w:rPr>
              <w:t>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1138" w:type="dxa"/>
            <w:vMerge w:val="continue"/>
            <w:tcBorders>
              <w:tl2br w:val="nil"/>
              <w:tr2bl w:val="nil"/>
            </w:tcBorders>
            <w:vAlign w:val="center"/>
          </w:tcPr>
          <w:p>
            <w:pPr>
              <w:pStyle w:val="30"/>
              <w:bidi w:val="0"/>
              <w:rPr>
                <w:u w:val="single"/>
              </w:rPr>
            </w:pPr>
          </w:p>
        </w:tc>
        <w:tc>
          <w:tcPr>
            <w:tcW w:w="1544" w:type="dxa"/>
            <w:vMerge w:val="restart"/>
            <w:tcBorders>
              <w:tl2br w:val="nil"/>
              <w:tr2bl w:val="nil"/>
            </w:tcBorders>
            <w:vAlign w:val="center"/>
          </w:tcPr>
          <w:p>
            <w:pPr>
              <w:pStyle w:val="30"/>
              <w:bidi w:val="0"/>
              <w:rPr>
                <w:u w:val="single"/>
              </w:rPr>
            </w:pPr>
            <w:r>
              <w:rPr>
                <w:rFonts w:hint="eastAsia"/>
                <w:u w:val="single"/>
              </w:rPr>
              <w:t>湖南东洞庭湖国家级自然保护区核心区</w:t>
            </w:r>
          </w:p>
        </w:tc>
        <w:tc>
          <w:tcPr>
            <w:tcW w:w="1545" w:type="dxa"/>
            <w:tcBorders>
              <w:tl2br w:val="nil"/>
              <w:tr2bl w:val="nil"/>
            </w:tcBorders>
            <w:vAlign w:val="center"/>
          </w:tcPr>
          <w:p>
            <w:pPr>
              <w:pStyle w:val="30"/>
              <w:bidi w:val="0"/>
              <w:rPr>
                <w:u w:val="single"/>
              </w:rPr>
            </w:pPr>
            <w:r>
              <w:rPr>
                <w:rFonts w:hint="eastAsia"/>
                <w:u w:val="single"/>
              </w:rPr>
              <w:t>缓冲区</w:t>
            </w:r>
          </w:p>
        </w:tc>
        <w:tc>
          <w:tcPr>
            <w:tcW w:w="1460" w:type="dxa"/>
            <w:gridSpan w:val="2"/>
            <w:tcBorders>
              <w:tl2br w:val="nil"/>
              <w:tr2bl w:val="nil"/>
            </w:tcBorders>
            <w:vAlign w:val="center"/>
          </w:tcPr>
          <w:p>
            <w:pPr>
              <w:pStyle w:val="30"/>
              <w:bidi w:val="0"/>
              <w:rPr>
                <w:rFonts w:hint="default" w:eastAsia="宋体"/>
                <w:u w:val="single"/>
                <w:lang w:val="en-US" w:eastAsia="zh-CN"/>
              </w:rPr>
            </w:pPr>
            <w:r>
              <w:rPr>
                <w:rFonts w:hint="eastAsia"/>
                <w:u w:val="single"/>
                <w:lang w:val="en-US" w:eastAsia="zh-CN"/>
              </w:rPr>
              <w:t>4190</w:t>
            </w:r>
          </w:p>
        </w:tc>
        <w:tc>
          <w:tcPr>
            <w:tcW w:w="1403" w:type="dxa"/>
            <w:vMerge w:val="restart"/>
            <w:tcBorders>
              <w:tl2br w:val="nil"/>
              <w:tr2bl w:val="nil"/>
            </w:tcBorders>
            <w:vAlign w:val="center"/>
          </w:tcPr>
          <w:p>
            <w:pPr>
              <w:pStyle w:val="30"/>
              <w:bidi w:val="0"/>
              <w:rPr>
                <w:u w:val="single"/>
              </w:rPr>
            </w:pPr>
            <w:r>
              <w:rPr>
                <w:rFonts w:hint="eastAsia"/>
                <w:u w:val="single"/>
              </w:rPr>
              <w:t>省级自然</w:t>
            </w:r>
          </w:p>
          <w:p>
            <w:pPr>
              <w:pStyle w:val="30"/>
              <w:bidi w:val="0"/>
              <w:rPr>
                <w:u w:val="single"/>
              </w:rPr>
            </w:pPr>
            <w:r>
              <w:rPr>
                <w:rFonts w:hint="eastAsia"/>
                <w:u w:val="single"/>
              </w:rPr>
              <w:t>保护区</w:t>
            </w:r>
          </w:p>
        </w:tc>
        <w:tc>
          <w:tcPr>
            <w:tcW w:w="2548" w:type="dxa"/>
            <w:vMerge w:val="restart"/>
            <w:tcBorders>
              <w:tl2br w:val="nil"/>
              <w:tr2bl w:val="nil"/>
            </w:tcBorders>
            <w:vAlign w:val="center"/>
          </w:tcPr>
          <w:p>
            <w:pPr>
              <w:pStyle w:val="30"/>
              <w:bidi w:val="0"/>
              <w:rPr>
                <w:u w:val="single"/>
              </w:rPr>
            </w:pPr>
            <w:r>
              <w:rPr>
                <w:rFonts w:hint="eastAsia"/>
                <w:u w:val="single"/>
              </w:rPr>
              <w:t>岳阳市东洞庭湖国家级自然保护区条例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563" w:hRule="atLeast"/>
          <w:jc w:val="center"/>
        </w:trPr>
        <w:tc>
          <w:tcPr>
            <w:tcW w:w="1138" w:type="dxa"/>
            <w:vMerge w:val="continue"/>
            <w:tcBorders>
              <w:tl2br w:val="nil"/>
              <w:tr2bl w:val="nil"/>
            </w:tcBorders>
            <w:vAlign w:val="center"/>
          </w:tcPr>
          <w:p>
            <w:pPr>
              <w:pStyle w:val="30"/>
              <w:bidi w:val="0"/>
              <w:rPr>
                <w:u w:val="single"/>
              </w:rPr>
            </w:pPr>
          </w:p>
        </w:tc>
        <w:tc>
          <w:tcPr>
            <w:tcW w:w="1544" w:type="dxa"/>
            <w:vMerge w:val="continue"/>
            <w:tcBorders>
              <w:tl2br w:val="nil"/>
              <w:tr2bl w:val="nil"/>
            </w:tcBorders>
            <w:vAlign w:val="center"/>
          </w:tcPr>
          <w:p>
            <w:pPr>
              <w:pStyle w:val="30"/>
              <w:bidi w:val="0"/>
              <w:rPr>
                <w:u w:val="single"/>
              </w:rPr>
            </w:pPr>
          </w:p>
        </w:tc>
        <w:tc>
          <w:tcPr>
            <w:tcW w:w="1545" w:type="dxa"/>
            <w:tcBorders>
              <w:tl2br w:val="nil"/>
              <w:tr2bl w:val="nil"/>
            </w:tcBorders>
            <w:vAlign w:val="center"/>
          </w:tcPr>
          <w:p>
            <w:pPr>
              <w:pStyle w:val="30"/>
              <w:bidi w:val="0"/>
              <w:rPr>
                <w:u w:val="single"/>
              </w:rPr>
            </w:pPr>
            <w:r>
              <w:rPr>
                <w:rFonts w:hint="eastAsia"/>
                <w:u w:val="single"/>
              </w:rPr>
              <w:t>核心区</w:t>
            </w:r>
          </w:p>
        </w:tc>
        <w:tc>
          <w:tcPr>
            <w:tcW w:w="1460" w:type="dxa"/>
            <w:gridSpan w:val="2"/>
            <w:tcBorders>
              <w:tl2br w:val="nil"/>
              <w:tr2bl w:val="nil"/>
            </w:tcBorders>
            <w:vAlign w:val="center"/>
          </w:tcPr>
          <w:p>
            <w:pPr>
              <w:pStyle w:val="30"/>
              <w:bidi w:val="0"/>
              <w:rPr>
                <w:rFonts w:hint="default" w:eastAsia="宋体"/>
                <w:u w:val="single"/>
                <w:lang w:val="en-US" w:eastAsia="zh-CN"/>
              </w:rPr>
            </w:pPr>
            <w:r>
              <w:rPr>
                <w:rFonts w:hint="eastAsia"/>
                <w:u w:val="single"/>
                <w:lang w:val="en-US" w:eastAsia="zh-CN"/>
              </w:rPr>
              <w:t>9500</w:t>
            </w:r>
          </w:p>
        </w:tc>
        <w:tc>
          <w:tcPr>
            <w:tcW w:w="1403" w:type="dxa"/>
            <w:vMerge w:val="continue"/>
            <w:tcBorders>
              <w:tl2br w:val="nil"/>
              <w:tr2bl w:val="nil"/>
            </w:tcBorders>
            <w:vAlign w:val="center"/>
          </w:tcPr>
          <w:p>
            <w:pPr>
              <w:pStyle w:val="30"/>
              <w:bidi w:val="0"/>
              <w:rPr>
                <w:u w:val="single"/>
              </w:rPr>
            </w:pPr>
          </w:p>
        </w:tc>
        <w:tc>
          <w:tcPr>
            <w:tcW w:w="2548" w:type="dxa"/>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1138" w:type="dxa"/>
            <w:vMerge w:val="continue"/>
            <w:tcBorders>
              <w:tl2br w:val="nil"/>
              <w:tr2bl w:val="nil"/>
            </w:tcBorders>
            <w:vAlign w:val="center"/>
          </w:tcPr>
          <w:p>
            <w:pPr>
              <w:pStyle w:val="30"/>
              <w:bidi w:val="0"/>
              <w:rPr>
                <w:u w:val="single"/>
              </w:rPr>
            </w:pPr>
          </w:p>
        </w:tc>
        <w:tc>
          <w:tcPr>
            <w:tcW w:w="1544" w:type="dxa"/>
            <w:vMerge w:val="continue"/>
            <w:tcBorders>
              <w:tl2br w:val="nil"/>
              <w:tr2bl w:val="nil"/>
            </w:tcBorders>
            <w:vAlign w:val="center"/>
          </w:tcPr>
          <w:p>
            <w:pPr>
              <w:pStyle w:val="30"/>
              <w:bidi w:val="0"/>
              <w:rPr>
                <w:u w:val="single"/>
              </w:rPr>
            </w:pPr>
          </w:p>
        </w:tc>
        <w:tc>
          <w:tcPr>
            <w:tcW w:w="1545" w:type="dxa"/>
            <w:tcBorders>
              <w:tl2br w:val="nil"/>
              <w:tr2bl w:val="nil"/>
            </w:tcBorders>
            <w:vAlign w:val="center"/>
          </w:tcPr>
          <w:p>
            <w:pPr>
              <w:pStyle w:val="30"/>
              <w:bidi w:val="0"/>
              <w:rPr>
                <w:u w:val="single"/>
              </w:rPr>
            </w:pPr>
            <w:r>
              <w:rPr>
                <w:rFonts w:hint="eastAsia"/>
                <w:u w:val="single"/>
              </w:rPr>
              <w:t>实验区</w:t>
            </w:r>
          </w:p>
        </w:tc>
        <w:tc>
          <w:tcPr>
            <w:tcW w:w="1460" w:type="dxa"/>
            <w:gridSpan w:val="2"/>
            <w:tcBorders>
              <w:tl2br w:val="nil"/>
              <w:tr2bl w:val="nil"/>
            </w:tcBorders>
            <w:vAlign w:val="center"/>
          </w:tcPr>
          <w:p>
            <w:pPr>
              <w:pStyle w:val="30"/>
              <w:bidi w:val="0"/>
              <w:rPr>
                <w:rFonts w:hint="eastAsia" w:eastAsia="宋体"/>
                <w:u w:val="single"/>
                <w:lang w:val="en-US" w:eastAsia="zh-CN"/>
              </w:rPr>
            </w:pPr>
            <w:r>
              <w:rPr>
                <w:rFonts w:hint="eastAsia"/>
                <w:u w:val="single"/>
                <w:lang w:val="en-US" w:eastAsia="zh-CN"/>
              </w:rPr>
              <w:t>相邻</w:t>
            </w:r>
          </w:p>
        </w:tc>
        <w:tc>
          <w:tcPr>
            <w:tcW w:w="1403" w:type="dxa"/>
            <w:vMerge w:val="continue"/>
            <w:tcBorders>
              <w:tl2br w:val="nil"/>
              <w:tr2bl w:val="nil"/>
            </w:tcBorders>
            <w:vAlign w:val="center"/>
          </w:tcPr>
          <w:p>
            <w:pPr>
              <w:pStyle w:val="30"/>
              <w:bidi w:val="0"/>
              <w:rPr>
                <w:u w:val="single"/>
              </w:rPr>
            </w:pPr>
          </w:p>
        </w:tc>
        <w:tc>
          <w:tcPr>
            <w:tcW w:w="2548" w:type="dxa"/>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1167" w:hRule="atLeast"/>
          <w:jc w:val="center"/>
        </w:trPr>
        <w:tc>
          <w:tcPr>
            <w:tcW w:w="1138" w:type="dxa"/>
            <w:vMerge w:val="continue"/>
            <w:tcBorders>
              <w:tl2br w:val="nil"/>
              <w:tr2bl w:val="nil"/>
            </w:tcBorders>
            <w:vAlign w:val="center"/>
          </w:tcPr>
          <w:p>
            <w:pPr>
              <w:pStyle w:val="30"/>
              <w:bidi w:val="0"/>
              <w:rPr>
                <w:u w:val="single"/>
              </w:rPr>
            </w:pPr>
          </w:p>
        </w:tc>
        <w:tc>
          <w:tcPr>
            <w:tcW w:w="1544" w:type="dxa"/>
            <w:vMerge w:val="restart"/>
            <w:tcBorders>
              <w:tl2br w:val="nil"/>
              <w:tr2bl w:val="nil"/>
            </w:tcBorders>
            <w:vAlign w:val="center"/>
          </w:tcPr>
          <w:p>
            <w:pPr>
              <w:pStyle w:val="30"/>
              <w:bidi w:val="0"/>
              <w:rPr>
                <w:u w:val="single"/>
              </w:rPr>
            </w:pPr>
            <w:r>
              <w:rPr>
                <w:rFonts w:hint="eastAsia"/>
                <w:u w:val="single"/>
              </w:rPr>
              <w:t>东洞庭湖鲤、鲫、黄颡国家级水产种质资源保护区</w:t>
            </w:r>
          </w:p>
        </w:tc>
        <w:tc>
          <w:tcPr>
            <w:tcW w:w="1545" w:type="dxa"/>
            <w:tcBorders>
              <w:tl2br w:val="nil"/>
              <w:tr2bl w:val="nil"/>
            </w:tcBorders>
            <w:vAlign w:val="center"/>
          </w:tcPr>
          <w:p>
            <w:pPr>
              <w:pStyle w:val="30"/>
              <w:bidi w:val="0"/>
              <w:rPr>
                <w:u w:val="single"/>
              </w:rPr>
            </w:pPr>
            <w:r>
              <w:rPr>
                <w:rFonts w:hint="eastAsia"/>
                <w:u w:val="single"/>
              </w:rPr>
              <w:t>实验区</w:t>
            </w:r>
          </w:p>
        </w:tc>
        <w:tc>
          <w:tcPr>
            <w:tcW w:w="1460" w:type="dxa"/>
            <w:gridSpan w:val="2"/>
            <w:tcBorders>
              <w:tl2br w:val="nil"/>
              <w:tr2bl w:val="nil"/>
            </w:tcBorders>
            <w:vAlign w:val="center"/>
          </w:tcPr>
          <w:p>
            <w:pPr>
              <w:pStyle w:val="30"/>
              <w:bidi w:val="0"/>
              <w:rPr>
                <w:u w:val="single"/>
              </w:rPr>
            </w:pPr>
            <w:r>
              <w:rPr>
                <w:rFonts w:hint="eastAsia"/>
                <w:u w:val="single"/>
                <w:lang w:val="en-US" w:eastAsia="zh-CN"/>
              </w:rPr>
              <w:t>57</w:t>
            </w:r>
            <w:r>
              <w:rPr>
                <w:rFonts w:hint="eastAsia"/>
                <w:u w:val="single"/>
              </w:rPr>
              <w:t>00</w:t>
            </w:r>
          </w:p>
        </w:tc>
        <w:tc>
          <w:tcPr>
            <w:tcW w:w="1403" w:type="dxa"/>
            <w:vMerge w:val="restart"/>
            <w:tcBorders>
              <w:tl2br w:val="nil"/>
              <w:tr2bl w:val="nil"/>
            </w:tcBorders>
          </w:tcPr>
          <w:p>
            <w:pPr>
              <w:pStyle w:val="30"/>
              <w:bidi w:val="0"/>
              <w:rPr>
                <w:u w:val="single"/>
              </w:rPr>
            </w:pPr>
            <w:r>
              <w:rPr>
                <w:rFonts w:hint="eastAsia"/>
                <w:u w:val="single"/>
              </w:rPr>
              <w:t>国家级水产种质资源保护区</w:t>
            </w:r>
          </w:p>
        </w:tc>
        <w:tc>
          <w:tcPr>
            <w:tcW w:w="2548" w:type="dxa"/>
            <w:vMerge w:val="restart"/>
            <w:tcBorders>
              <w:tl2br w:val="nil"/>
              <w:tr2bl w:val="nil"/>
            </w:tcBorders>
            <w:vAlign w:val="center"/>
          </w:tcPr>
          <w:p>
            <w:pPr>
              <w:pStyle w:val="30"/>
              <w:bidi w:val="0"/>
              <w:rPr>
                <w:u w:val="single"/>
              </w:rPr>
            </w:pPr>
            <w:r>
              <w:rPr>
                <w:rFonts w:hint="eastAsia"/>
                <w:u w:val="single"/>
              </w:rPr>
              <w:t>水产种质资源保护区管理条例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90" w:hRule="atLeast"/>
          <w:jc w:val="center"/>
        </w:trPr>
        <w:tc>
          <w:tcPr>
            <w:tcW w:w="1138" w:type="dxa"/>
            <w:vMerge w:val="continue"/>
            <w:tcBorders>
              <w:tl2br w:val="nil"/>
              <w:tr2bl w:val="nil"/>
            </w:tcBorders>
            <w:vAlign w:val="center"/>
          </w:tcPr>
          <w:p>
            <w:pPr>
              <w:pStyle w:val="30"/>
              <w:bidi w:val="0"/>
              <w:rPr>
                <w:u w:val="single"/>
              </w:rPr>
            </w:pPr>
          </w:p>
        </w:tc>
        <w:tc>
          <w:tcPr>
            <w:tcW w:w="1544" w:type="dxa"/>
            <w:vMerge w:val="continue"/>
            <w:tcBorders>
              <w:tl2br w:val="nil"/>
              <w:tr2bl w:val="nil"/>
            </w:tcBorders>
            <w:vAlign w:val="center"/>
          </w:tcPr>
          <w:p>
            <w:pPr>
              <w:pStyle w:val="30"/>
              <w:bidi w:val="0"/>
              <w:rPr>
                <w:u w:val="single"/>
              </w:rPr>
            </w:pPr>
          </w:p>
        </w:tc>
        <w:tc>
          <w:tcPr>
            <w:tcW w:w="1545" w:type="dxa"/>
            <w:tcBorders>
              <w:tl2br w:val="nil"/>
              <w:tr2bl w:val="nil"/>
            </w:tcBorders>
            <w:vAlign w:val="center"/>
          </w:tcPr>
          <w:p>
            <w:pPr>
              <w:pStyle w:val="30"/>
              <w:bidi w:val="0"/>
              <w:rPr>
                <w:u w:val="single"/>
              </w:rPr>
            </w:pPr>
            <w:r>
              <w:rPr>
                <w:rFonts w:hint="eastAsia"/>
                <w:u w:val="single"/>
              </w:rPr>
              <w:t>30核心区</w:t>
            </w:r>
          </w:p>
        </w:tc>
        <w:tc>
          <w:tcPr>
            <w:tcW w:w="1460" w:type="dxa"/>
            <w:gridSpan w:val="2"/>
            <w:tcBorders>
              <w:tl2br w:val="nil"/>
              <w:tr2bl w:val="nil"/>
            </w:tcBorders>
            <w:vAlign w:val="center"/>
          </w:tcPr>
          <w:p>
            <w:pPr>
              <w:pStyle w:val="30"/>
              <w:bidi w:val="0"/>
              <w:rPr>
                <w:u w:val="single"/>
              </w:rPr>
            </w:pPr>
            <w:r>
              <w:rPr>
                <w:rFonts w:hint="eastAsia"/>
                <w:u w:val="single"/>
                <w:lang w:val="en-US" w:eastAsia="zh-CN"/>
              </w:rPr>
              <w:t>63</w:t>
            </w:r>
            <w:r>
              <w:rPr>
                <w:rFonts w:hint="eastAsia"/>
                <w:u w:val="single"/>
              </w:rPr>
              <w:t>00</w:t>
            </w:r>
          </w:p>
        </w:tc>
        <w:tc>
          <w:tcPr>
            <w:tcW w:w="1403" w:type="dxa"/>
            <w:vMerge w:val="continue"/>
            <w:tcBorders>
              <w:tl2br w:val="nil"/>
              <w:tr2bl w:val="nil"/>
            </w:tcBorders>
          </w:tcPr>
          <w:p>
            <w:pPr>
              <w:pStyle w:val="30"/>
              <w:bidi w:val="0"/>
              <w:rPr>
                <w:u w:val="single"/>
              </w:rPr>
            </w:pPr>
          </w:p>
        </w:tc>
        <w:tc>
          <w:tcPr>
            <w:tcW w:w="2548" w:type="dxa"/>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1138" w:type="dxa"/>
            <w:vMerge w:val="continue"/>
            <w:tcBorders>
              <w:tl2br w:val="nil"/>
              <w:tr2bl w:val="nil"/>
            </w:tcBorders>
            <w:vAlign w:val="center"/>
          </w:tcPr>
          <w:p>
            <w:pPr>
              <w:pStyle w:val="30"/>
              <w:bidi w:val="0"/>
              <w:rPr>
                <w:u w:val="single"/>
              </w:rPr>
            </w:pPr>
          </w:p>
        </w:tc>
        <w:tc>
          <w:tcPr>
            <w:tcW w:w="1544" w:type="dxa"/>
            <w:tcBorders>
              <w:tl2br w:val="nil"/>
              <w:tr2bl w:val="nil"/>
            </w:tcBorders>
            <w:vAlign w:val="center"/>
          </w:tcPr>
          <w:p>
            <w:pPr>
              <w:pStyle w:val="30"/>
              <w:bidi w:val="0"/>
              <w:rPr>
                <w:u w:val="single"/>
              </w:rPr>
            </w:pPr>
            <w:r>
              <w:rPr>
                <w:rFonts w:hint="eastAsia"/>
                <w:u w:val="single"/>
              </w:rPr>
              <w:t>湖南东洞庭湖国家级自然保护区实验区</w:t>
            </w:r>
          </w:p>
        </w:tc>
        <w:tc>
          <w:tcPr>
            <w:tcW w:w="1545" w:type="dxa"/>
            <w:tcBorders>
              <w:tl2br w:val="nil"/>
              <w:tr2bl w:val="nil"/>
            </w:tcBorders>
            <w:vAlign w:val="center"/>
          </w:tcPr>
          <w:p>
            <w:pPr>
              <w:pStyle w:val="30"/>
              <w:bidi w:val="0"/>
              <w:rPr>
                <w:u w:val="single"/>
              </w:rPr>
            </w:pPr>
            <w:r>
              <w:rPr>
                <w:rFonts w:hint="eastAsia"/>
                <w:u w:val="single"/>
              </w:rPr>
              <w:t>保护区区界以内缓冲区以外的广大区域，包括采桑湖、团湖、方台湖、南湖、芭蕉湖等在内的垸内湖泊和农业用地</w:t>
            </w:r>
          </w:p>
        </w:tc>
        <w:tc>
          <w:tcPr>
            <w:tcW w:w="1460" w:type="dxa"/>
            <w:gridSpan w:val="2"/>
            <w:tcBorders>
              <w:tl2br w:val="nil"/>
              <w:tr2bl w:val="nil"/>
            </w:tcBorders>
            <w:vAlign w:val="center"/>
          </w:tcPr>
          <w:p>
            <w:pPr>
              <w:pStyle w:val="30"/>
              <w:bidi w:val="0"/>
              <w:rPr>
                <w:u w:val="single"/>
              </w:rPr>
            </w:pPr>
            <w:r>
              <w:rPr>
                <w:rFonts w:hint="eastAsia"/>
                <w:u w:val="single"/>
              </w:rPr>
              <w:t>0</w:t>
            </w:r>
          </w:p>
        </w:tc>
        <w:tc>
          <w:tcPr>
            <w:tcW w:w="1403" w:type="dxa"/>
            <w:vMerge w:val="continue"/>
            <w:tcBorders>
              <w:tl2br w:val="nil"/>
              <w:tr2bl w:val="nil"/>
            </w:tcBorders>
          </w:tcPr>
          <w:p>
            <w:pPr>
              <w:pStyle w:val="30"/>
              <w:bidi w:val="0"/>
              <w:rPr>
                <w:u w:val="single"/>
              </w:rPr>
            </w:pPr>
          </w:p>
        </w:tc>
        <w:tc>
          <w:tcPr>
            <w:tcW w:w="2548" w:type="dxa"/>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1138" w:type="dxa"/>
            <w:vMerge w:val="continue"/>
            <w:tcBorders>
              <w:tl2br w:val="nil"/>
              <w:tr2bl w:val="nil"/>
            </w:tcBorders>
            <w:vAlign w:val="center"/>
          </w:tcPr>
          <w:p>
            <w:pPr>
              <w:pStyle w:val="30"/>
              <w:bidi w:val="0"/>
              <w:rPr>
                <w:u w:val="single"/>
              </w:rPr>
            </w:pPr>
          </w:p>
        </w:tc>
        <w:tc>
          <w:tcPr>
            <w:tcW w:w="3089" w:type="dxa"/>
            <w:gridSpan w:val="2"/>
            <w:tcBorders>
              <w:tl2br w:val="nil"/>
              <w:tr2bl w:val="nil"/>
            </w:tcBorders>
            <w:vAlign w:val="center"/>
          </w:tcPr>
          <w:p>
            <w:pPr>
              <w:pStyle w:val="30"/>
              <w:bidi w:val="0"/>
              <w:rPr>
                <w:u w:val="single"/>
              </w:rPr>
            </w:pPr>
            <w:r>
              <w:rPr>
                <w:rFonts w:hint="eastAsia"/>
                <w:u w:val="single"/>
              </w:rPr>
              <w:t>植被、土壤、林地</w:t>
            </w:r>
          </w:p>
        </w:tc>
        <w:tc>
          <w:tcPr>
            <w:tcW w:w="1460" w:type="dxa"/>
            <w:gridSpan w:val="2"/>
            <w:tcBorders>
              <w:tl2br w:val="nil"/>
              <w:tr2bl w:val="nil"/>
            </w:tcBorders>
            <w:vAlign w:val="center"/>
          </w:tcPr>
          <w:p>
            <w:pPr>
              <w:pStyle w:val="30"/>
              <w:bidi w:val="0"/>
              <w:rPr>
                <w:u w:val="single"/>
              </w:rPr>
            </w:pPr>
            <w:r>
              <w:rPr>
                <w:rFonts w:hint="eastAsia"/>
                <w:u w:val="single"/>
              </w:rPr>
              <w:t>200范围内</w:t>
            </w:r>
          </w:p>
        </w:tc>
        <w:tc>
          <w:tcPr>
            <w:tcW w:w="1403" w:type="dxa"/>
            <w:tcBorders>
              <w:tl2br w:val="nil"/>
              <w:tr2bl w:val="nil"/>
            </w:tcBorders>
            <w:vAlign w:val="center"/>
          </w:tcPr>
          <w:p>
            <w:pPr>
              <w:pStyle w:val="30"/>
              <w:bidi w:val="0"/>
              <w:rPr>
                <w:u w:val="single"/>
              </w:rPr>
            </w:pPr>
          </w:p>
        </w:tc>
        <w:tc>
          <w:tcPr>
            <w:tcW w:w="2548" w:type="dxa"/>
            <w:tcBorders>
              <w:tl2br w:val="nil"/>
              <w:tr2bl w:val="nil"/>
            </w:tcBorders>
            <w:vAlign w:val="center"/>
          </w:tcPr>
          <w:p>
            <w:pPr>
              <w:pStyle w:val="30"/>
              <w:bidi w:val="0"/>
              <w:rPr>
                <w:u w:val="single"/>
              </w:rPr>
            </w:pPr>
            <w:r>
              <w:rPr>
                <w:rFonts w:hint="eastAsia"/>
                <w:u w:val="single"/>
              </w:rPr>
              <w:t>尽量少占及不占</w:t>
            </w:r>
          </w:p>
        </w:tc>
      </w:tr>
    </w:tbl>
    <w:p>
      <w:pPr>
        <w:bidi w:val="0"/>
        <w:rPr>
          <w:rFonts w:hint="eastAsia"/>
          <w:lang w:eastAsia="zh-CN"/>
        </w:rPr>
      </w:pPr>
      <w:r>
        <w:rPr>
          <w:rFonts w:hint="eastAsia"/>
          <w:lang w:eastAsia="zh-CN"/>
        </w:rPr>
        <w:t>项目堆场位置变化后，位于路段起始段，总运输路线于变更前一致，因此环保目标未发生改变，详见下表。</w:t>
      </w:r>
    </w:p>
    <w:p>
      <w:pPr>
        <w:pStyle w:val="29"/>
        <w:bidi w:val="0"/>
        <w:rPr>
          <w:u w:val="single"/>
        </w:rPr>
      </w:pPr>
      <w:r>
        <w:rPr>
          <w:u w:val="single"/>
        </w:rPr>
        <w:t>表</w:t>
      </w:r>
      <w:r>
        <w:rPr>
          <w:rFonts w:hint="eastAsia"/>
          <w:u w:val="single"/>
          <w:lang w:val="en-US" w:eastAsia="zh-CN"/>
        </w:rPr>
        <w:t>5.</w:t>
      </w:r>
      <w:r>
        <w:rPr>
          <w:u w:val="single"/>
        </w:rPr>
        <w:t>3-</w:t>
      </w:r>
      <w:bookmarkStart w:id="112" w:name="OLE_LINK5"/>
      <w:r>
        <w:rPr>
          <w:rFonts w:hint="eastAsia"/>
          <w:u w:val="single"/>
          <w:lang w:val="en-US" w:eastAsia="zh-CN"/>
        </w:rPr>
        <w:t>1</w:t>
      </w:r>
      <w:r>
        <w:rPr>
          <w:rFonts w:hint="eastAsia"/>
          <w:u w:val="single"/>
        </w:rPr>
        <w:t xml:space="preserve">  本项目</w:t>
      </w:r>
      <w:r>
        <w:rPr>
          <w:rFonts w:hint="eastAsia"/>
          <w:u w:val="single"/>
          <w:lang w:eastAsia="zh-CN"/>
        </w:rPr>
        <w:t>运输路线</w:t>
      </w:r>
      <w:r>
        <w:rPr>
          <w:u w:val="single"/>
        </w:rPr>
        <w:t>周边主要环境保护目标示意表</w:t>
      </w:r>
      <w:bookmarkEnd w:id="112"/>
    </w:p>
    <w:tbl>
      <w:tblPr>
        <w:tblStyle w:val="21"/>
        <w:tblW w:w="963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28" w:type="dxa"/>
          <w:bottom w:w="0" w:type="dxa"/>
          <w:right w:w="28" w:type="dxa"/>
        </w:tblCellMar>
      </w:tblPr>
      <w:tblGrid>
        <w:gridCol w:w="898"/>
        <w:gridCol w:w="1391"/>
        <w:gridCol w:w="1339"/>
        <w:gridCol w:w="6"/>
        <w:gridCol w:w="1375"/>
        <w:gridCol w:w="8"/>
        <w:gridCol w:w="1217"/>
        <w:gridCol w:w="29"/>
        <w:gridCol w:w="1566"/>
        <w:gridCol w:w="6"/>
        <w:gridCol w:w="180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trHeight w:val="1095" w:hRule="atLeast"/>
          <w:jc w:val="center"/>
        </w:trPr>
        <w:tc>
          <w:tcPr>
            <w:tcW w:w="466" w:type="pct"/>
            <w:tcBorders>
              <w:tl2br w:val="nil"/>
              <w:tr2bl w:val="nil"/>
            </w:tcBorders>
            <w:vAlign w:val="center"/>
          </w:tcPr>
          <w:p>
            <w:pPr>
              <w:pStyle w:val="30"/>
              <w:bidi w:val="0"/>
              <w:rPr>
                <w:u w:val="single"/>
              </w:rPr>
            </w:pPr>
            <w:r>
              <w:rPr>
                <w:u w:val="single"/>
              </w:rPr>
              <w:t>要素</w:t>
            </w:r>
          </w:p>
        </w:tc>
        <w:tc>
          <w:tcPr>
            <w:tcW w:w="1418" w:type="pct"/>
            <w:gridSpan w:val="3"/>
            <w:tcBorders>
              <w:tl2br w:val="nil"/>
              <w:tr2bl w:val="nil"/>
            </w:tcBorders>
            <w:vAlign w:val="center"/>
          </w:tcPr>
          <w:p>
            <w:pPr>
              <w:pStyle w:val="30"/>
              <w:bidi w:val="0"/>
              <w:rPr>
                <w:u w:val="single"/>
              </w:rPr>
            </w:pPr>
            <w:r>
              <w:rPr>
                <w:u w:val="single"/>
              </w:rPr>
              <w:t>保护目标</w:t>
            </w:r>
          </w:p>
        </w:tc>
        <w:tc>
          <w:tcPr>
            <w:tcW w:w="713" w:type="pct"/>
            <w:tcBorders>
              <w:tl2br w:val="nil"/>
              <w:tr2bl w:val="nil"/>
            </w:tcBorders>
            <w:vAlign w:val="center"/>
          </w:tcPr>
          <w:p>
            <w:pPr>
              <w:pStyle w:val="30"/>
              <w:bidi w:val="0"/>
              <w:rPr>
                <w:u w:val="single"/>
              </w:rPr>
            </w:pPr>
            <w:r>
              <w:rPr>
                <w:u w:val="single"/>
              </w:rPr>
              <w:t>方位</w:t>
            </w:r>
          </w:p>
        </w:tc>
        <w:tc>
          <w:tcPr>
            <w:tcW w:w="635" w:type="pct"/>
            <w:gridSpan w:val="2"/>
            <w:tcBorders>
              <w:tl2br w:val="nil"/>
              <w:tr2bl w:val="nil"/>
            </w:tcBorders>
            <w:vAlign w:val="center"/>
          </w:tcPr>
          <w:p>
            <w:pPr>
              <w:pStyle w:val="30"/>
              <w:bidi w:val="0"/>
              <w:rPr>
                <w:u w:val="single"/>
              </w:rPr>
            </w:pPr>
            <w:r>
              <w:rPr>
                <w:u w:val="single"/>
              </w:rPr>
              <w:t>与</w:t>
            </w:r>
            <w:r>
              <w:rPr>
                <w:rFonts w:hint="eastAsia"/>
                <w:u w:val="single"/>
                <w:lang w:eastAsia="zh-CN"/>
              </w:rPr>
              <w:t>路线</w:t>
            </w:r>
            <w:r>
              <w:rPr>
                <w:u w:val="single"/>
              </w:rPr>
              <w:t>距离</w:t>
            </w:r>
            <w:r>
              <w:rPr>
                <w:rFonts w:hint="eastAsia"/>
                <w:u w:val="single"/>
              </w:rPr>
              <w:t>（m）</w:t>
            </w:r>
          </w:p>
        </w:tc>
        <w:tc>
          <w:tcPr>
            <w:tcW w:w="827" w:type="pct"/>
            <w:gridSpan w:val="2"/>
            <w:tcBorders>
              <w:tl2br w:val="nil"/>
              <w:tr2bl w:val="nil"/>
            </w:tcBorders>
            <w:vAlign w:val="center"/>
          </w:tcPr>
          <w:p>
            <w:pPr>
              <w:pStyle w:val="30"/>
              <w:bidi w:val="0"/>
              <w:rPr>
                <w:u w:val="single"/>
              </w:rPr>
            </w:pPr>
            <w:r>
              <w:rPr>
                <w:u w:val="single"/>
              </w:rPr>
              <w:t>性质/规模</w:t>
            </w:r>
          </w:p>
        </w:tc>
        <w:tc>
          <w:tcPr>
            <w:tcW w:w="937" w:type="pct"/>
            <w:gridSpan w:val="2"/>
            <w:tcBorders>
              <w:tl2br w:val="nil"/>
              <w:tr2bl w:val="nil"/>
            </w:tcBorders>
            <w:vAlign w:val="center"/>
          </w:tcPr>
          <w:p>
            <w:pPr>
              <w:pStyle w:val="30"/>
              <w:bidi w:val="0"/>
              <w:rPr>
                <w:u w:val="single"/>
              </w:rPr>
            </w:pPr>
            <w:r>
              <w:rPr>
                <w:u w:val="single"/>
              </w:rPr>
              <w:t>保护级别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restart"/>
            <w:tcBorders>
              <w:tl2br w:val="nil"/>
              <w:tr2bl w:val="nil"/>
            </w:tcBorders>
            <w:vAlign w:val="center"/>
          </w:tcPr>
          <w:p>
            <w:pPr>
              <w:pStyle w:val="30"/>
              <w:bidi w:val="0"/>
              <w:rPr>
                <w:u w:val="single"/>
              </w:rPr>
            </w:pPr>
            <w:r>
              <w:rPr>
                <w:u w:val="single"/>
              </w:rPr>
              <w:t>声环境</w:t>
            </w:r>
          </w:p>
        </w:tc>
        <w:tc>
          <w:tcPr>
            <w:tcW w:w="1418" w:type="pct"/>
            <w:gridSpan w:val="3"/>
            <w:tcBorders>
              <w:tl2br w:val="nil"/>
              <w:tr2bl w:val="nil"/>
            </w:tcBorders>
            <w:vAlign w:val="center"/>
          </w:tcPr>
          <w:p>
            <w:pPr>
              <w:pStyle w:val="30"/>
              <w:bidi w:val="0"/>
              <w:rPr>
                <w:u w:val="single"/>
              </w:rPr>
            </w:pPr>
            <w:r>
              <w:rPr>
                <w:rFonts w:hint="eastAsia"/>
                <w:u w:val="single"/>
              </w:rPr>
              <w:t>1矮围电排站西侧</w:t>
            </w:r>
          </w:p>
          <w:p>
            <w:pPr>
              <w:pStyle w:val="30"/>
              <w:bidi w:val="0"/>
              <w:rPr>
                <w:u w:val="single"/>
              </w:rPr>
            </w:pPr>
            <w:r>
              <w:rPr>
                <w:rFonts w:hint="eastAsia"/>
                <w:u w:val="single"/>
              </w:rPr>
              <w:t>及南侧居民点</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rPr>
              <w:t>5</w:t>
            </w:r>
            <w:r>
              <w:rPr>
                <w:rFonts w:hint="eastAsia"/>
                <w:u w:val="single"/>
                <w:lang w:val="en-US" w:eastAsia="zh-CN"/>
              </w:rPr>
              <w:t>2</w:t>
            </w:r>
            <w:r>
              <w:rPr>
                <w:rFonts w:hint="eastAsia"/>
                <w:u w:val="single"/>
              </w:rPr>
              <w:t>-200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/约12户</w:t>
            </w:r>
          </w:p>
        </w:tc>
        <w:tc>
          <w:tcPr>
            <w:tcW w:w="937" w:type="pct"/>
            <w:gridSpan w:val="2"/>
            <w:vMerge w:val="restart"/>
            <w:tcBorders>
              <w:tl2br w:val="nil"/>
              <w:tr2bl w:val="nil"/>
            </w:tcBorders>
            <w:vAlign w:val="center"/>
          </w:tcPr>
          <w:p>
            <w:pPr>
              <w:pStyle w:val="30"/>
              <w:bidi w:val="0"/>
              <w:rPr>
                <w:u w:val="single"/>
              </w:rPr>
            </w:pPr>
            <w:r>
              <w:rPr>
                <w:u w:val="single"/>
              </w:rPr>
              <w:t>《环境空气质</w:t>
            </w:r>
          </w:p>
          <w:p>
            <w:pPr>
              <w:pStyle w:val="30"/>
              <w:bidi w:val="0"/>
              <w:rPr>
                <w:u w:val="single"/>
              </w:rPr>
            </w:pPr>
            <w:r>
              <w:rPr>
                <w:u w:val="single"/>
              </w:rPr>
              <w:t>量标准》</w:t>
            </w:r>
          </w:p>
          <w:p>
            <w:pPr>
              <w:pStyle w:val="30"/>
              <w:bidi w:val="0"/>
              <w:rPr>
                <w:u w:val="single"/>
              </w:rPr>
            </w:pPr>
            <w:r>
              <w:rPr>
                <w:u w:val="single"/>
              </w:rPr>
              <w:t>（GB3095</w:t>
            </w:r>
          </w:p>
          <w:p>
            <w:pPr>
              <w:pStyle w:val="30"/>
              <w:bidi w:val="0"/>
              <w:rPr>
                <w:u w:val="single"/>
              </w:rPr>
            </w:pPr>
            <w:r>
              <w:rPr>
                <w:u w:val="single"/>
              </w:rPr>
              <w:t>-2012）中</w:t>
            </w:r>
            <w:r>
              <w:rPr>
                <w:rFonts w:hint="eastAsia"/>
                <w:u w:val="single"/>
              </w:rPr>
              <w:t>一</w:t>
            </w:r>
            <w:r>
              <w:rPr>
                <w:u w:val="single"/>
              </w:rPr>
              <w:t>级</w:t>
            </w:r>
          </w:p>
          <w:p>
            <w:pPr>
              <w:pStyle w:val="30"/>
              <w:bidi w:val="0"/>
              <w:rPr>
                <w:u w:val="single"/>
              </w:rPr>
            </w:pPr>
            <w:r>
              <w:rPr>
                <w:u w:val="single"/>
              </w:rPr>
              <w:t>标准，</w:t>
            </w:r>
          </w:p>
          <w:p>
            <w:pPr>
              <w:pStyle w:val="30"/>
              <w:bidi w:val="0"/>
              <w:rPr>
                <w:u w:val="single"/>
              </w:rPr>
            </w:pPr>
            <w:r>
              <w:rPr>
                <w:u w:val="single"/>
              </w:rPr>
              <w:t>《声环境质量</w:t>
            </w:r>
          </w:p>
          <w:p>
            <w:pPr>
              <w:pStyle w:val="30"/>
              <w:bidi w:val="0"/>
              <w:rPr>
                <w:u w:val="single"/>
              </w:rPr>
            </w:pPr>
            <w:r>
              <w:rPr>
                <w:u w:val="single"/>
              </w:rPr>
              <w:t>标准》（GB3096</w:t>
            </w:r>
          </w:p>
          <w:p>
            <w:pPr>
              <w:pStyle w:val="30"/>
              <w:bidi w:val="0"/>
              <w:rPr>
                <w:u w:val="single"/>
              </w:rPr>
            </w:pPr>
            <w:r>
              <w:rPr>
                <w:u w:val="single"/>
              </w:rPr>
              <w:t>-2008）2类标准，</w:t>
            </w:r>
          </w:p>
          <w:p>
            <w:pPr>
              <w:pStyle w:val="30"/>
              <w:bidi w:val="0"/>
              <w:rPr>
                <w:u w:val="single"/>
              </w:rPr>
            </w:pPr>
            <w:r>
              <w:rPr>
                <w:rFonts w:hint="eastAsia"/>
                <w:u w:val="single"/>
              </w:rPr>
              <w:t>本项目及杭瑞</w:t>
            </w:r>
          </w:p>
          <w:p>
            <w:pPr>
              <w:pStyle w:val="30"/>
              <w:bidi w:val="0"/>
              <w:rPr>
                <w:u w:val="single"/>
              </w:rPr>
            </w:pPr>
            <w:r>
              <w:rPr>
                <w:rFonts w:hint="eastAsia"/>
                <w:u w:val="single"/>
              </w:rPr>
              <w:t>高速路两侧</w:t>
            </w:r>
          </w:p>
          <w:p>
            <w:pPr>
              <w:pStyle w:val="30"/>
              <w:bidi w:val="0"/>
              <w:rPr>
                <w:u w:val="single"/>
              </w:rPr>
            </w:pPr>
            <w:r>
              <w:rPr>
                <w:rFonts w:hint="eastAsia"/>
                <w:u w:val="single"/>
              </w:rPr>
              <w:t>35m范围内</w:t>
            </w:r>
          </w:p>
          <w:p>
            <w:pPr>
              <w:pStyle w:val="30"/>
              <w:bidi w:val="0"/>
              <w:rPr>
                <w:u w:val="single"/>
              </w:rPr>
            </w:pPr>
            <w:r>
              <w:rPr>
                <w:rFonts w:hint="eastAsia"/>
                <w:u w:val="single"/>
              </w:rPr>
              <w:t>执行</w:t>
            </w:r>
          </w:p>
          <w:p>
            <w:pPr>
              <w:pStyle w:val="30"/>
              <w:bidi w:val="0"/>
              <w:rPr>
                <w:u w:val="single"/>
              </w:rPr>
            </w:pPr>
            <w:r>
              <w:rPr>
                <w:u w:val="single"/>
              </w:rPr>
              <w:t>《声环境质量</w:t>
            </w:r>
          </w:p>
          <w:p>
            <w:pPr>
              <w:pStyle w:val="30"/>
              <w:bidi w:val="0"/>
              <w:rPr>
                <w:u w:val="single"/>
              </w:rPr>
            </w:pPr>
            <w:r>
              <w:rPr>
                <w:u w:val="single"/>
              </w:rPr>
              <w:t>标准》（GB3096</w:t>
            </w:r>
          </w:p>
          <w:p>
            <w:pPr>
              <w:pStyle w:val="30"/>
              <w:bidi w:val="0"/>
              <w:rPr>
                <w:u w:val="single"/>
              </w:rPr>
            </w:pPr>
            <w:r>
              <w:rPr>
                <w:u w:val="single"/>
              </w:rPr>
              <w:t>-2008）</w:t>
            </w:r>
            <w:r>
              <w:rPr>
                <w:rFonts w:hint="eastAsia"/>
                <w:u w:val="single"/>
              </w:rPr>
              <w:t>4a</w:t>
            </w:r>
            <w:r>
              <w:rPr>
                <w:u w:val="single"/>
              </w:rPr>
              <w:t>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2景明农贸市场北</w:t>
            </w:r>
          </w:p>
          <w:p>
            <w:pPr>
              <w:pStyle w:val="30"/>
              <w:bidi w:val="0"/>
              <w:rPr>
                <w:u w:val="single"/>
              </w:rPr>
            </w:pPr>
            <w:r>
              <w:rPr>
                <w:rFonts w:hint="eastAsia"/>
                <w:u w:val="single"/>
              </w:rPr>
              <w:t>侧居民点</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rFonts w:hint="eastAsia" w:eastAsia="宋体"/>
                <w:u w:val="single"/>
                <w:lang w:eastAsia="zh-CN"/>
              </w:rPr>
            </w:pPr>
            <w:r>
              <w:rPr>
                <w:rFonts w:hint="eastAsia"/>
                <w:u w:val="single"/>
              </w:rPr>
              <w:t>8</w:t>
            </w:r>
            <w:r>
              <w:rPr>
                <w:rFonts w:hint="eastAsia"/>
                <w:u w:val="single"/>
                <w:lang w:val="en-US" w:eastAsia="zh-CN"/>
              </w:rPr>
              <w:t>2</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/约2户</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3新东闸防守屋</w:t>
            </w:r>
          </w:p>
        </w:tc>
        <w:tc>
          <w:tcPr>
            <w:tcW w:w="713" w:type="pct"/>
            <w:tcBorders>
              <w:tl2br w:val="nil"/>
              <w:tr2bl w:val="nil"/>
            </w:tcBorders>
            <w:vAlign w:val="center"/>
          </w:tcPr>
          <w:p>
            <w:pPr>
              <w:pStyle w:val="30"/>
              <w:bidi w:val="0"/>
              <w:rPr>
                <w:u w:val="single"/>
              </w:rPr>
            </w:pPr>
            <w:r>
              <w:rPr>
                <w:rFonts w:hint="eastAsia"/>
                <w:u w:val="single"/>
              </w:rPr>
              <w:t>路红线内</w:t>
            </w:r>
          </w:p>
        </w:tc>
        <w:tc>
          <w:tcPr>
            <w:tcW w:w="635" w:type="pct"/>
            <w:gridSpan w:val="2"/>
            <w:tcBorders>
              <w:tl2br w:val="nil"/>
              <w:tr2bl w:val="nil"/>
            </w:tcBorders>
            <w:vAlign w:val="center"/>
          </w:tcPr>
          <w:p>
            <w:pPr>
              <w:pStyle w:val="30"/>
              <w:bidi w:val="0"/>
              <w:rPr>
                <w:u w:val="single"/>
              </w:rPr>
            </w:pPr>
            <w:r>
              <w:rPr>
                <w:rFonts w:hint="eastAsia"/>
                <w:u w:val="single"/>
              </w:rPr>
              <w:t>0</w:t>
            </w:r>
          </w:p>
        </w:tc>
        <w:tc>
          <w:tcPr>
            <w:tcW w:w="827" w:type="pct"/>
            <w:gridSpan w:val="2"/>
            <w:tcBorders>
              <w:tl2br w:val="nil"/>
              <w:tr2bl w:val="nil"/>
            </w:tcBorders>
            <w:vAlign w:val="center"/>
          </w:tcPr>
          <w:p>
            <w:pPr>
              <w:pStyle w:val="30"/>
              <w:bidi w:val="0"/>
              <w:rPr>
                <w:u w:val="single"/>
              </w:rPr>
            </w:pPr>
            <w:r>
              <w:rPr>
                <w:rFonts w:hint="eastAsia"/>
                <w:u w:val="single"/>
              </w:rPr>
              <w:t>办公/2人</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4林角墩居民区</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rPr>
              <w:t>1</w:t>
            </w:r>
            <w:r>
              <w:rPr>
                <w:rFonts w:hint="eastAsia"/>
                <w:u w:val="single"/>
                <w:lang w:val="en-US" w:eastAsia="zh-CN"/>
              </w:rPr>
              <w:t>2</w:t>
            </w:r>
            <w:r>
              <w:rPr>
                <w:rFonts w:hint="eastAsia"/>
                <w:u w:val="single"/>
              </w:rPr>
              <w:t>-200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/100户以上</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5桑园居民区</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rPr>
              <w:t>0-200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/100户以上</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6</w:t>
            </w:r>
            <w:r>
              <w:rPr>
                <w:u w:val="single"/>
              </w:rPr>
              <w:t>景明幼儿园</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rPr>
              <w:t>140</w:t>
            </w:r>
          </w:p>
        </w:tc>
        <w:tc>
          <w:tcPr>
            <w:tcW w:w="827" w:type="pct"/>
            <w:gridSpan w:val="2"/>
            <w:tcBorders>
              <w:tl2br w:val="nil"/>
              <w:tr2bl w:val="nil"/>
            </w:tcBorders>
            <w:vAlign w:val="center"/>
          </w:tcPr>
          <w:p>
            <w:pPr>
              <w:pStyle w:val="30"/>
              <w:bidi w:val="0"/>
              <w:rPr>
                <w:u w:val="single"/>
              </w:rPr>
            </w:pPr>
            <w:r>
              <w:rPr>
                <w:u w:val="single"/>
              </w:rPr>
              <w:t>学校</w:t>
            </w:r>
            <w:r>
              <w:rPr>
                <w:rFonts w:hint="eastAsia"/>
                <w:u w:val="single"/>
              </w:rPr>
              <w:t>/约200人</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7合众领岛</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lang w:val="en-US" w:eastAsia="zh-CN"/>
              </w:rPr>
              <w:t>10</w:t>
            </w:r>
            <w:r>
              <w:rPr>
                <w:rFonts w:hint="eastAsia"/>
                <w:u w:val="single"/>
              </w:rPr>
              <w:t>-200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/73户以上</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8合众领岛</w:t>
            </w:r>
          </w:p>
          <w:p>
            <w:pPr>
              <w:pStyle w:val="30"/>
              <w:bidi w:val="0"/>
              <w:rPr>
                <w:u w:val="single"/>
              </w:rPr>
            </w:pPr>
            <w:r>
              <w:rPr>
                <w:rFonts w:hint="eastAsia"/>
                <w:u w:val="single"/>
              </w:rPr>
              <w:t>南侧居民点</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rPr>
              <w:t>6</w:t>
            </w:r>
            <w:r>
              <w:rPr>
                <w:rFonts w:hint="eastAsia"/>
                <w:u w:val="single"/>
                <w:lang w:val="en-US" w:eastAsia="zh-CN"/>
              </w:rPr>
              <w:t>2</w:t>
            </w:r>
            <w:r>
              <w:rPr>
                <w:rFonts w:hint="eastAsia"/>
                <w:u w:val="single"/>
              </w:rPr>
              <w:t>-200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/约35户</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9芦西湾居民点</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rPr>
              <w:t>3</w:t>
            </w:r>
            <w:r>
              <w:rPr>
                <w:rFonts w:hint="eastAsia"/>
                <w:u w:val="single"/>
                <w:lang w:val="en-US" w:eastAsia="zh-CN"/>
              </w:rPr>
              <w:t>2</w:t>
            </w:r>
            <w:r>
              <w:rPr>
                <w:rFonts w:hint="eastAsia"/>
                <w:u w:val="single"/>
              </w:rPr>
              <w:t>-200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/100户以上</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10芦西湾防守屋</w:t>
            </w:r>
          </w:p>
        </w:tc>
        <w:tc>
          <w:tcPr>
            <w:tcW w:w="713" w:type="pct"/>
            <w:tcBorders>
              <w:tl2br w:val="nil"/>
              <w:tr2bl w:val="nil"/>
            </w:tcBorders>
            <w:vAlign w:val="center"/>
          </w:tcPr>
          <w:p>
            <w:pPr>
              <w:pStyle w:val="30"/>
              <w:bidi w:val="0"/>
              <w:rPr>
                <w:u w:val="single"/>
              </w:rPr>
            </w:pPr>
            <w:r>
              <w:rPr>
                <w:rFonts w:hint="eastAsia"/>
                <w:u w:val="single"/>
              </w:rPr>
              <w:t>路红线内</w:t>
            </w:r>
          </w:p>
        </w:tc>
        <w:tc>
          <w:tcPr>
            <w:tcW w:w="635" w:type="pct"/>
            <w:gridSpan w:val="2"/>
            <w:tcBorders>
              <w:tl2br w:val="nil"/>
              <w:tr2bl w:val="nil"/>
            </w:tcBorders>
            <w:vAlign w:val="center"/>
          </w:tcPr>
          <w:p>
            <w:pPr>
              <w:pStyle w:val="30"/>
              <w:bidi w:val="0"/>
              <w:rPr>
                <w:u w:val="single"/>
              </w:rPr>
            </w:pPr>
            <w:r>
              <w:rPr>
                <w:rFonts w:hint="eastAsia"/>
                <w:u w:val="single"/>
              </w:rPr>
              <w:t>0</w:t>
            </w:r>
          </w:p>
        </w:tc>
        <w:tc>
          <w:tcPr>
            <w:tcW w:w="827" w:type="pct"/>
            <w:gridSpan w:val="2"/>
            <w:tcBorders>
              <w:tl2br w:val="nil"/>
              <w:tr2bl w:val="nil"/>
            </w:tcBorders>
            <w:vAlign w:val="center"/>
          </w:tcPr>
          <w:p>
            <w:pPr>
              <w:pStyle w:val="30"/>
              <w:bidi w:val="0"/>
              <w:rPr>
                <w:u w:val="single"/>
              </w:rPr>
            </w:pPr>
            <w:r>
              <w:rPr>
                <w:rFonts w:hint="eastAsia"/>
                <w:u w:val="single"/>
              </w:rPr>
              <w:t>办公/2人</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11散户</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rPr>
              <w:t>75-140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/约15户</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12散户</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lang w:val="en-US" w:eastAsia="zh-CN"/>
              </w:rPr>
              <w:t>50</w:t>
            </w:r>
            <w:r>
              <w:rPr>
                <w:rFonts w:hint="eastAsia"/>
                <w:u w:val="single"/>
              </w:rPr>
              <w:t>-100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/约5户</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13穆湖铺电排站</w:t>
            </w:r>
          </w:p>
          <w:p>
            <w:pPr>
              <w:pStyle w:val="30"/>
              <w:bidi w:val="0"/>
              <w:rPr>
                <w:u w:val="single"/>
              </w:rPr>
            </w:pPr>
            <w:r>
              <w:rPr>
                <w:rFonts w:hint="eastAsia"/>
                <w:u w:val="single"/>
              </w:rPr>
              <w:t>北侧居民点</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rPr>
              <w:t>1</w:t>
            </w:r>
            <w:r>
              <w:rPr>
                <w:rFonts w:hint="eastAsia"/>
                <w:u w:val="single"/>
                <w:lang w:val="en-US" w:eastAsia="zh-CN"/>
              </w:rPr>
              <w:t>4</w:t>
            </w:r>
            <w:r>
              <w:rPr>
                <w:rFonts w:hint="eastAsia"/>
                <w:u w:val="single"/>
              </w:rPr>
              <w:t>-200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/约106户</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14穆湖铺电排站</w:t>
            </w:r>
          </w:p>
          <w:p>
            <w:pPr>
              <w:pStyle w:val="30"/>
              <w:bidi w:val="0"/>
              <w:rPr>
                <w:u w:val="single"/>
              </w:rPr>
            </w:pPr>
            <w:r>
              <w:rPr>
                <w:rFonts w:hint="eastAsia"/>
                <w:u w:val="single"/>
              </w:rPr>
              <w:t>南侧居民点</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lang w:val="en-US" w:eastAsia="zh-CN"/>
              </w:rPr>
              <w:t>5</w:t>
            </w:r>
            <w:r>
              <w:rPr>
                <w:rFonts w:hint="eastAsia"/>
                <w:u w:val="single"/>
              </w:rPr>
              <w:t>-200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/约26户</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15散户</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rPr>
              <w:t>8</w:t>
            </w:r>
            <w:r>
              <w:rPr>
                <w:rFonts w:hint="eastAsia"/>
                <w:u w:val="single"/>
                <w:lang w:val="en-US" w:eastAsia="zh-CN"/>
              </w:rPr>
              <w:t>2</w:t>
            </w:r>
            <w:r>
              <w:rPr>
                <w:rFonts w:hint="eastAsia"/>
                <w:u w:val="single"/>
              </w:rPr>
              <w:t>-140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/约8户</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16散户</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rFonts w:hint="eastAsia" w:eastAsia="宋体"/>
                <w:u w:val="single"/>
                <w:lang w:eastAsia="zh-CN"/>
              </w:rPr>
            </w:pPr>
            <w:r>
              <w:rPr>
                <w:rFonts w:hint="eastAsia"/>
                <w:u w:val="single"/>
              </w:rPr>
              <w:t>5</w:t>
            </w:r>
            <w:r>
              <w:rPr>
                <w:rFonts w:hint="eastAsia"/>
                <w:u w:val="single"/>
                <w:lang w:val="en-US" w:eastAsia="zh-CN"/>
              </w:rPr>
              <w:t>6</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/1户</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17穆湖铺居民点</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rPr>
              <w:t>4</w:t>
            </w:r>
            <w:r>
              <w:rPr>
                <w:rFonts w:hint="eastAsia"/>
                <w:u w:val="single"/>
                <w:lang w:val="en-US" w:eastAsia="zh-CN"/>
              </w:rPr>
              <w:t>7</w:t>
            </w:r>
            <w:r>
              <w:rPr>
                <w:rFonts w:hint="eastAsia"/>
                <w:u w:val="single"/>
              </w:rPr>
              <w:t>-140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/约45户</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18散户</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rPr>
              <w:t>150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/2户</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cantSplit/>
          <w:jc w:val="center"/>
        </w:trPr>
        <w:tc>
          <w:tcPr>
            <w:tcW w:w="466" w:type="pct"/>
            <w:vMerge w:val="continue"/>
            <w:tcBorders>
              <w:tl2br w:val="nil"/>
              <w:tr2bl w:val="nil"/>
            </w:tcBorders>
            <w:vAlign w:val="center"/>
          </w:tcPr>
          <w:p>
            <w:pPr>
              <w:pStyle w:val="30"/>
              <w:bidi w:val="0"/>
              <w:rPr>
                <w:u w:val="single"/>
              </w:rPr>
            </w:pPr>
          </w:p>
        </w:tc>
        <w:tc>
          <w:tcPr>
            <w:tcW w:w="1418" w:type="pct"/>
            <w:gridSpan w:val="3"/>
            <w:tcBorders>
              <w:tl2br w:val="nil"/>
              <w:tr2bl w:val="nil"/>
            </w:tcBorders>
            <w:vAlign w:val="center"/>
          </w:tcPr>
          <w:p>
            <w:pPr>
              <w:pStyle w:val="30"/>
              <w:bidi w:val="0"/>
              <w:rPr>
                <w:u w:val="single"/>
              </w:rPr>
            </w:pPr>
            <w:r>
              <w:rPr>
                <w:rFonts w:hint="eastAsia"/>
                <w:u w:val="single"/>
              </w:rPr>
              <w:t>19濠河排洪口东侧居民点</w:t>
            </w:r>
          </w:p>
        </w:tc>
        <w:tc>
          <w:tcPr>
            <w:tcW w:w="713" w:type="pct"/>
            <w:tcBorders>
              <w:tl2br w:val="nil"/>
              <w:tr2bl w:val="nil"/>
            </w:tcBorders>
            <w:vAlign w:val="center"/>
          </w:tcPr>
          <w:p>
            <w:pPr>
              <w:pStyle w:val="30"/>
              <w:bidi w:val="0"/>
              <w:rPr>
                <w:u w:val="single"/>
              </w:rPr>
            </w:pPr>
            <w:r>
              <w:rPr>
                <w:rFonts w:hint="eastAsia"/>
                <w:u w:val="single"/>
              </w:rPr>
              <w:t>路右侧</w:t>
            </w:r>
          </w:p>
        </w:tc>
        <w:tc>
          <w:tcPr>
            <w:tcW w:w="635" w:type="pct"/>
            <w:gridSpan w:val="2"/>
            <w:tcBorders>
              <w:tl2br w:val="nil"/>
              <w:tr2bl w:val="nil"/>
            </w:tcBorders>
            <w:vAlign w:val="center"/>
          </w:tcPr>
          <w:p>
            <w:pPr>
              <w:pStyle w:val="30"/>
              <w:bidi w:val="0"/>
              <w:rPr>
                <w:u w:val="single"/>
              </w:rPr>
            </w:pPr>
            <w:r>
              <w:rPr>
                <w:rFonts w:hint="eastAsia"/>
                <w:u w:val="single"/>
              </w:rPr>
              <w:t>0-200</w:t>
            </w:r>
          </w:p>
        </w:tc>
        <w:tc>
          <w:tcPr>
            <w:tcW w:w="827" w:type="pct"/>
            <w:gridSpan w:val="2"/>
            <w:tcBorders>
              <w:tl2br w:val="nil"/>
              <w:tr2bl w:val="nil"/>
            </w:tcBorders>
            <w:vAlign w:val="center"/>
          </w:tcPr>
          <w:p>
            <w:pPr>
              <w:pStyle w:val="30"/>
              <w:bidi w:val="0"/>
              <w:rPr>
                <w:u w:val="single"/>
              </w:rPr>
            </w:pPr>
            <w:r>
              <w:rPr>
                <w:u w:val="single"/>
              </w:rPr>
              <w:t>居住</w:t>
            </w:r>
            <w:r>
              <w:rPr>
                <w:rFonts w:hint="eastAsia"/>
                <w:u w:val="single"/>
              </w:rPr>
              <w:t>/65户</w:t>
            </w:r>
          </w:p>
        </w:tc>
        <w:tc>
          <w:tcPr>
            <w:tcW w:w="937" w:type="pct"/>
            <w:gridSpan w:val="2"/>
            <w:vMerge w:val="continue"/>
            <w:tcBorders>
              <w:tl2br w:val="nil"/>
              <w:tr2bl w:val="nil"/>
            </w:tcBorders>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jc w:val="center"/>
        </w:trPr>
        <w:tc>
          <w:tcPr>
            <w:tcW w:w="466" w:type="pct"/>
            <w:vMerge w:val="restart"/>
            <w:vAlign w:val="center"/>
          </w:tcPr>
          <w:p>
            <w:pPr>
              <w:pStyle w:val="30"/>
              <w:bidi w:val="0"/>
              <w:rPr>
                <w:u w:val="single"/>
              </w:rPr>
            </w:pPr>
            <w:r>
              <w:rPr>
                <w:u w:val="single"/>
              </w:rPr>
              <w:t>生态</w:t>
            </w:r>
          </w:p>
          <w:p>
            <w:pPr>
              <w:pStyle w:val="30"/>
              <w:bidi w:val="0"/>
              <w:rPr>
                <w:u w:val="single"/>
              </w:rPr>
            </w:pPr>
            <w:r>
              <w:rPr>
                <w:u w:val="single"/>
              </w:rPr>
              <w:t>环境</w:t>
            </w:r>
          </w:p>
        </w:tc>
        <w:tc>
          <w:tcPr>
            <w:tcW w:w="1415" w:type="pct"/>
            <w:gridSpan w:val="2"/>
            <w:tcBorders>
              <w:right w:val="single" w:color="auto" w:sz="4" w:space="0"/>
            </w:tcBorders>
            <w:vAlign w:val="center"/>
          </w:tcPr>
          <w:p>
            <w:pPr>
              <w:pStyle w:val="30"/>
              <w:bidi w:val="0"/>
              <w:rPr>
                <w:u w:val="single"/>
              </w:rPr>
            </w:pPr>
            <w:r>
              <w:rPr>
                <w:rFonts w:hint="eastAsia"/>
                <w:u w:val="single"/>
              </w:rPr>
              <w:t>市一水厂</w:t>
            </w:r>
          </w:p>
          <w:p>
            <w:pPr>
              <w:pStyle w:val="30"/>
              <w:bidi w:val="0"/>
              <w:rPr>
                <w:u w:val="single"/>
              </w:rPr>
            </w:pPr>
            <w:r>
              <w:rPr>
                <w:rFonts w:hint="eastAsia"/>
                <w:u w:val="single"/>
              </w:rPr>
              <w:t>取水口</w:t>
            </w:r>
          </w:p>
        </w:tc>
        <w:tc>
          <w:tcPr>
            <w:tcW w:w="720" w:type="pct"/>
            <w:gridSpan w:val="3"/>
            <w:tcBorders>
              <w:left w:val="single" w:color="auto" w:sz="4" w:space="0"/>
              <w:right w:val="single" w:color="auto" w:sz="4" w:space="0"/>
            </w:tcBorders>
            <w:vAlign w:val="center"/>
          </w:tcPr>
          <w:p>
            <w:pPr>
              <w:pStyle w:val="30"/>
              <w:bidi w:val="0"/>
              <w:rPr>
                <w:u w:val="single"/>
              </w:rPr>
            </w:pPr>
            <w:r>
              <w:rPr>
                <w:u w:val="single"/>
              </w:rPr>
              <w:t>路左侧</w:t>
            </w:r>
          </w:p>
        </w:tc>
        <w:tc>
          <w:tcPr>
            <w:tcW w:w="646" w:type="pct"/>
            <w:gridSpan w:val="2"/>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4011</w:t>
            </w:r>
          </w:p>
        </w:tc>
        <w:tc>
          <w:tcPr>
            <w:tcW w:w="815" w:type="pct"/>
            <w:gridSpan w:val="2"/>
            <w:tcBorders>
              <w:top w:val="single" w:color="auto" w:sz="4" w:space="0"/>
              <w:left w:val="single" w:color="auto" w:sz="4" w:space="0"/>
            </w:tcBorders>
            <w:vAlign w:val="center"/>
          </w:tcPr>
          <w:p>
            <w:pPr>
              <w:pStyle w:val="30"/>
              <w:bidi w:val="0"/>
              <w:rPr>
                <w:u w:val="single"/>
              </w:rPr>
            </w:pPr>
            <w:r>
              <w:rPr>
                <w:rFonts w:hint="eastAsia"/>
                <w:u w:val="single"/>
              </w:rPr>
              <w:t>饮用水水</w:t>
            </w:r>
          </w:p>
          <w:p>
            <w:pPr>
              <w:pStyle w:val="30"/>
              <w:bidi w:val="0"/>
              <w:rPr>
                <w:u w:val="single"/>
              </w:rPr>
            </w:pPr>
            <w:r>
              <w:rPr>
                <w:rFonts w:hint="eastAsia"/>
                <w:u w:val="single"/>
              </w:rPr>
              <w:t>源保护区</w:t>
            </w:r>
          </w:p>
        </w:tc>
        <w:tc>
          <w:tcPr>
            <w:tcW w:w="935" w:type="pct"/>
            <w:tcBorders>
              <w:top w:val="single" w:color="auto" w:sz="4" w:space="0"/>
            </w:tcBorders>
            <w:vAlign w:val="center"/>
          </w:tcPr>
          <w:p>
            <w:pPr>
              <w:pStyle w:val="30"/>
              <w:bidi w:val="0"/>
              <w:rPr>
                <w:u w:val="single"/>
              </w:rPr>
            </w:pPr>
            <w:r>
              <w:rPr>
                <w:u w:val="single"/>
              </w:rPr>
              <w:t>GB3838</w:t>
            </w:r>
          </w:p>
          <w:p>
            <w:pPr>
              <w:pStyle w:val="30"/>
              <w:bidi w:val="0"/>
              <w:rPr>
                <w:u w:val="single"/>
              </w:rPr>
            </w:pPr>
            <w:r>
              <w:rPr>
                <w:u w:val="single"/>
              </w:rPr>
              <w:t>-2002</w:t>
            </w:r>
          </w:p>
          <w:p>
            <w:pPr>
              <w:pStyle w:val="30"/>
              <w:bidi w:val="0"/>
              <w:rPr>
                <w:u w:val="single"/>
              </w:rPr>
            </w:pPr>
            <w:r>
              <w:rPr>
                <w:rFonts w:hint="eastAsia"/>
                <w:u w:val="single"/>
              </w:rPr>
              <w:t>Ⅱ、Ⅲ</w:t>
            </w:r>
            <w:r>
              <w:rPr>
                <w:u w:val="single"/>
              </w:rPr>
              <w:t>类标准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jc w:val="center"/>
        </w:trPr>
        <w:tc>
          <w:tcPr>
            <w:tcW w:w="466" w:type="pct"/>
            <w:vMerge w:val="continue"/>
            <w:vAlign w:val="center"/>
          </w:tcPr>
          <w:p>
            <w:pPr>
              <w:pStyle w:val="30"/>
              <w:bidi w:val="0"/>
              <w:rPr>
                <w:u w:val="single"/>
              </w:rPr>
            </w:pPr>
          </w:p>
        </w:tc>
        <w:tc>
          <w:tcPr>
            <w:tcW w:w="721" w:type="pct"/>
            <w:vMerge w:val="restart"/>
            <w:tcBorders>
              <w:right w:val="single" w:color="auto" w:sz="4" w:space="0"/>
            </w:tcBorders>
            <w:vAlign w:val="center"/>
          </w:tcPr>
          <w:p>
            <w:pPr>
              <w:pStyle w:val="30"/>
              <w:bidi w:val="0"/>
              <w:rPr>
                <w:u w:val="single"/>
              </w:rPr>
            </w:pPr>
            <w:r>
              <w:rPr>
                <w:rFonts w:hint="eastAsia"/>
                <w:u w:val="single"/>
              </w:rPr>
              <w:t>东洞庭湖江豚自然保护区</w:t>
            </w:r>
          </w:p>
        </w:tc>
        <w:tc>
          <w:tcPr>
            <w:tcW w:w="693" w:type="pct"/>
            <w:tcBorders>
              <w:left w:val="single" w:color="auto" w:sz="4" w:space="0"/>
              <w:bottom w:val="single" w:color="auto" w:sz="4" w:space="0"/>
              <w:right w:val="single" w:color="auto" w:sz="4" w:space="0"/>
            </w:tcBorders>
            <w:vAlign w:val="center"/>
          </w:tcPr>
          <w:p>
            <w:pPr>
              <w:pStyle w:val="30"/>
              <w:bidi w:val="0"/>
              <w:rPr>
                <w:u w:val="single"/>
              </w:rPr>
            </w:pPr>
            <w:r>
              <w:rPr>
                <w:rFonts w:hint="eastAsia"/>
                <w:u w:val="single"/>
              </w:rPr>
              <w:t>缓冲区</w:t>
            </w:r>
          </w:p>
        </w:tc>
        <w:tc>
          <w:tcPr>
            <w:tcW w:w="720" w:type="pct"/>
            <w:gridSpan w:val="3"/>
            <w:tcBorders>
              <w:left w:val="single" w:color="auto" w:sz="4" w:space="0"/>
              <w:right w:val="single" w:color="auto" w:sz="4" w:space="0"/>
            </w:tcBorders>
            <w:vAlign w:val="center"/>
          </w:tcPr>
          <w:p>
            <w:pPr>
              <w:pStyle w:val="30"/>
              <w:bidi w:val="0"/>
              <w:rPr>
                <w:u w:val="single"/>
              </w:rPr>
            </w:pPr>
            <w:r>
              <w:rPr>
                <w:u w:val="single"/>
              </w:rPr>
              <w:t>路</w:t>
            </w:r>
            <w:r>
              <w:rPr>
                <w:rFonts w:hint="eastAsia"/>
                <w:u w:val="single"/>
              </w:rPr>
              <w:t>左</w:t>
            </w:r>
            <w:r>
              <w:rPr>
                <w:u w:val="single"/>
              </w:rPr>
              <w:t>侧</w:t>
            </w:r>
          </w:p>
        </w:tc>
        <w:tc>
          <w:tcPr>
            <w:tcW w:w="646" w:type="pct"/>
            <w:gridSpan w:val="2"/>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相临</w:t>
            </w:r>
          </w:p>
        </w:tc>
        <w:tc>
          <w:tcPr>
            <w:tcW w:w="815" w:type="pct"/>
            <w:gridSpan w:val="2"/>
            <w:vMerge w:val="restart"/>
            <w:tcBorders>
              <w:top w:val="single" w:color="auto" w:sz="4" w:space="0"/>
              <w:left w:val="single" w:color="auto" w:sz="4" w:space="0"/>
            </w:tcBorders>
            <w:vAlign w:val="center"/>
          </w:tcPr>
          <w:p>
            <w:pPr>
              <w:pStyle w:val="30"/>
              <w:bidi w:val="0"/>
              <w:rPr>
                <w:u w:val="single"/>
              </w:rPr>
            </w:pPr>
            <w:r>
              <w:rPr>
                <w:rFonts w:hint="eastAsia"/>
                <w:u w:val="single"/>
              </w:rPr>
              <w:t>省级自然</w:t>
            </w:r>
          </w:p>
          <w:p>
            <w:pPr>
              <w:pStyle w:val="30"/>
              <w:bidi w:val="0"/>
              <w:rPr>
                <w:u w:val="single"/>
              </w:rPr>
            </w:pPr>
            <w:r>
              <w:rPr>
                <w:rFonts w:hint="eastAsia"/>
                <w:u w:val="single"/>
              </w:rPr>
              <w:t>保护区</w:t>
            </w:r>
          </w:p>
        </w:tc>
        <w:tc>
          <w:tcPr>
            <w:tcW w:w="935" w:type="pct"/>
            <w:vMerge w:val="restart"/>
            <w:tcBorders>
              <w:top w:val="single" w:color="auto" w:sz="4" w:space="0"/>
            </w:tcBorders>
            <w:vAlign w:val="center"/>
          </w:tcPr>
          <w:p>
            <w:pPr>
              <w:pStyle w:val="30"/>
              <w:bidi w:val="0"/>
              <w:rPr>
                <w:u w:val="single"/>
              </w:rPr>
            </w:pPr>
            <w:r>
              <w:rPr>
                <w:rFonts w:hint="eastAsia"/>
                <w:u w:val="single"/>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563" w:hRule="atLeast"/>
          <w:jc w:val="center"/>
        </w:trPr>
        <w:tc>
          <w:tcPr>
            <w:tcW w:w="466" w:type="pct"/>
            <w:vMerge w:val="continue"/>
            <w:vAlign w:val="center"/>
          </w:tcPr>
          <w:p>
            <w:pPr>
              <w:pStyle w:val="30"/>
              <w:bidi w:val="0"/>
              <w:rPr>
                <w:u w:val="single"/>
              </w:rPr>
            </w:pPr>
          </w:p>
        </w:tc>
        <w:tc>
          <w:tcPr>
            <w:tcW w:w="721" w:type="pct"/>
            <w:vMerge w:val="continue"/>
            <w:tcBorders>
              <w:right w:val="single" w:color="auto" w:sz="4" w:space="0"/>
            </w:tcBorders>
            <w:vAlign w:val="center"/>
          </w:tcPr>
          <w:p>
            <w:pPr>
              <w:pStyle w:val="30"/>
              <w:bidi w:val="0"/>
              <w:rPr>
                <w:u w:val="single"/>
              </w:rPr>
            </w:pPr>
          </w:p>
        </w:tc>
        <w:tc>
          <w:tcPr>
            <w:tcW w:w="693" w:type="pct"/>
            <w:tcBorders>
              <w:top w:val="single" w:color="auto" w:sz="4" w:space="0"/>
              <w:left w:val="single" w:color="auto" w:sz="4" w:space="0"/>
              <w:bottom w:val="single" w:color="auto" w:sz="4" w:space="0"/>
              <w:right w:val="single" w:color="auto" w:sz="4" w:space="0"/>
            </w:tcBorders>
            <w:vAlign w:val="center"/>
          </w:tcPr>
          <w:p>
            <w:pPr>
              <w:pStyle w:val="30"/>
              <w:bidi w:val="0"/>
              <w:rPr>
                <w:u w:val="single"/>
              </w:rPr>
            </w:pPr>
            <w:r>
              <w:rPr>
                <w:rFonts w:hint="eastAsia"/>
                <w:u w:val="single"/>
              </w:rPr>
              <w:t>核心区</w:t>
            </w:r>
          </w:p>
        </w:tc>
        <w:tc>
          <w:tcPr>
            <w:tcW w:w="720" w:type="pct"/>
            <w:gridSpan w:val="3"/>
            <w:tcBorders>
              <w:left w:val="single" w:color="auto" w:sz="4" w:space="0"/>
              <w:right w:val="single" w:color="auto" w:sz="4" w:space="0"/>
            </w:tcBorders>
            <w:vAlign w:val="center"/>
          </w:tcPr>
          <w:p>
            <w:pPr>
              <w:pStyle w:val="30"/>
              <w:bidi w:val="0"/>
              <w:rPr>
                <w:u w:val="single"/>
              </w:rPr>
            </w:pPr>
            <w:r>
              <w:rPr>
                <w:u w:val="single"/>
              </w:rPr>
              <w:t>路</w:t>
            </w:r>
            <w:r>
              <w:rPr>
                <w:rFonts w:hint="eastAsia"/>
                <w:u w:val="single"/>
              </w:rPr>
              <w:t>左</w:t>
            </w:r>
            <w:r>
              <w:rPr>
                <w:u w:val="single"/>
              </w:rPr>
              <w:t>侧</w:t>
            </w:r>
          </w:p>
        </w:tc>
        <w:tc>
          <w:tcPr>
            <w:tcW w:w="646" w:type="pct"/>
            <w:gridSpan w:val="2"/>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1500</w:t>
            </w:r>
          </w:p>
        </w:tc>
        <w:tc>
          <w:tcPr>
            <w:tcW w:w="815" w:type="pct"/>
            <w:gridSpan w:val="2"/>
            <w:vMerge w:val="continue"/>
            <w:tcBorders>
              <w:left w:val="single" w:color="auto" w:sz="4" w:space="0"/>
            </w:tcBorders>
            <w:vAlign w:val="center"/>
          </w:tcPr>
          <w:p>
            <w:pPr>
              <w:pStyle w:val="30"/>
              <w:bidi w:val="0"/>
              <w:rPr>
                <w:u w:val="single"/>
              </w:rPr>
            </w:pPr>
          </w:p>
        </w:tc>
        <w:tc>
          <w:tcPr>
            <w:tcW w:w="935" w:type="pct"/>
            <w:vMerge w:val="continue"/>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jc w:val="center"/>
        </w:trPr>
        <w:tc>
          <w:tcPr>
            <w:tcW w:w="466" w:type="pct"/>
            <w:vMerge w:val="continue"/>
            <w:vAlign w:val="center"/>
          </w:tcPr>
          <w:p>
            <w:pPr>
              <w:pStyle w:val="30"/>
              <w:bidi w:val="0"/>
              <w:rPr>
                <w:u w:val="single"/>
              </w:rPr>
            </w:pPr>
          </w:p>
        </w:tc>
        <w:tc>
          <w:tcPr>
            <w:tcW w:w="721" w:type="pct"/>
            <w:vMerge w:val="continue"/>
            <w:tcBorders>
              <w:right w:val="single" w:color="auto" w:sz="4" w:space="0"/>
            </w:tcBorders>
            <w:vAlign w:val="center"/>
          </w:tcPr>
          <w:p>
            <w:pPr>
              <w:pStyle w:val="30"/>
              <w:bidi w:val="0"/>
              <w:rPr>
                <w:u w:val="single"/>
              </w:rPr>
            </w:pPr>
          </w:p>
        </w:tc>
        <w:tc>
          <w:tcPr>
            <w:tcW w:w="693" w:type="pct"/>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实验区</w:t>
            </w:r>
          </w:p>
        </w:tc>
        <w:tc>
          <w:tcPr>
            <w:tcW w:w="720" w:type="pct"/>
            <w:gridSpan w:val="3"/>
            <w:tcBorders>
              <w:left w:val="single" w:color="auto" w:sz="4" w:space="0"/>
              <w:right w:val="single" w:color="auto" w:sz="4" w:space="0"/>
            </w:tcBorders>
            <w:vAlign w:val="center"/>
          </w:tcPr>
          <w:p>
            <w:pPr>
              <w:pStyle w:val="30"/>
              <w:bidi w:val="0"/>
              <w:rPr>
                <w:u w:val="single"/>
              </w:rPr>
            </w:pPr>
            <w:r>
              <w:rPr>
                <w:u w:val="single"/>
              </w:rPr>
              <w:t>路西端</w:t>
            </w:r>
          </w:p>
        </w:tc>
        <w:tc>
          <w:tcPr>
            <w:tcW w:w="646" w:type="pct"/>
            <w:gridSpan w:val="2"/>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3500</w:t>
            </w:r>
          </w:p>
        </w:tc>
        <w:tc>
          <w:tcPr>
            <w:tcW w:w="815" w:type="pct"/>
            <w:gridSpan w:val="2"/>
            <w:vMerge w:val="continue"/>
            <w:tcBorders>
              <w:left w:val="single" w:color="auto" w:sz="4" w:space="0"/>
            </w:tcBorders>
            <w:vAlign w:val="center"/>
          </w:tcPr>
          <w:p>
            <w:pPr>
              <w:pStyle w:val="30"/>
              <w:bidi w:val="0"/>
              <w:rPr>
                <w:u w:val="single"/>
              </w:rPr>
            </w:pPr>
          </w:p>
        </w:tc>
        <w:tc>
          <w:tcPr>
            <w:tcW w:w="935" w:type="pct"/>
            <w:vMerge w:val="continue"/>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1167" w:hRule="atLeast"/>
          <w:jc w:val="center"/>
        </w:trPr>
        <w:tc>
          <w:tcPr>
            <w:tcW w:w="466" w:type="pct"/>
            <w:vMerge w:val="continue"/>
            <w:vAlign w:val="center"/>
          </w:tcPr>
          <w:p>
            <w:pPr>
              <w:pStyle w:val="30"/>
              <w:bidi w:val="0"/>
              <w:rPr>
                <w:u w:val="single"/>
              </w:rPr>
            </w:pPr>
          </w:p>
        </w:tc>
        <w:tc>
          <w:tcPr>
            <w:tcW w:w="721" w:type="pct"/>
            <w:vMerge w:val="restart"/>
            <w:tcBorders>
              <w:right w:val="single" w:color="auto" w:sz="4" w:space="0"/>
            </w:tcBorders>
            <w:vAlign w:val="center"/>
          </w:tcPr>
          <w:p>
            <w:pPr>
              <w:pStyle w:val="30"/>
              <w:bidi w:val="0"/>
              <w:rPr>
                <w:u w:val="single"/>
              </w:rPr>
            </w:pPr>
            <w:r>
              <w:rPr>
                <w:rFonts w:hint="eastAsia"/>
                <w:u w:val="single"/>
              </w:rPr>
              <w:t>东洞庭湖鲤、鲫、黄颡国家级水产种质资源保护区</w:t>
            </w:r>
          </w:p>
        </w:tc>
        <w:tc>
          <w:tcPr>
            <w:tcW w:w="693" w:type="pct"/>
            <w:tcBorders>
              <w:left w:val="single" w:color="auto" w:sz="4" w:space="0"/>
              <w:bottom w:val="single" w:color="auto" w:sz="4" w:space="0"/>
              <w:right w:val="single" w:color="auto" w:sz="4" w:space="0"/>
            </w:tcBorders>
            <w:vAlign w:val="center"/>
          </w:tcPr>
          <w:p>
            <w:pPr>
              <w:pStyle w:val="30"/>
              <w:bidi w:val="0"/>
              <w:rPr>
                <w:u w:val="single"/>
              </w:rPr>
            </w:pPr>
            <w:r>
              <w:rPr>
                <w:rFonts w:hint="eastAsia"/>
                <w:u w:val="single"/>
              </w:rPr>
              <w:t>实验区</w:t>
            </w:r>
          </w:p>
        </w:tc>
        <w:tc>
          <w:tcPr>
            <w:tcW w:w="720" w:type="pct"/>
            <w:gridSpan w:val="3"/>
            <w:tcBorders>
              <w:left w:val="single" w:color="auto" w:sz="4" w:space="0"/>
              <w:right w:val="single" w:color="auto" w:sz="4" w:space="0"/>
            </w:tcBorders>
            <w:vAlign w:val="center"/>
          </w:tcPr>
          <w:p>
            <w:pPr>
              <w:pStyle w:val="30"/>
              <w:bidi w:val="0"/>
              <w:rPr>
                <w:u w:val="single"/>
              </w:rPr>
            </w:pPr>
            <w:r>
              <w:rPr>
                <w:u w:val="single"/>
              </w:rPr>
              <w:t>路左侧</w:t>
            </w:r>
          </w:p>
        </w:tc>
        <w:tc>
          <w:tcPr>
            <w:tcW w:w="646" w:type="pct"/>
            <w:gridSpan w:val="2"/>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1500</w:t>
            </w:r>
          </w:p>
        </w:tc>
        <w:tc>
          <w:tcPr>
            <w:tcW w:w="815" w:type="pct"/>
            <w:gridSpan w:val="2"/>
            <w:vMerge w:val="restart"/>
            <w:tcBorders>
              <w:top w:val="single" w:color="auto" w:sz="4" w:space="0"/>
              <w:left w:val="single" w:color="auto" w:sz="4" w:space="0"/>
            </w:tcBorders>
          </w:tcPr>
          <w:p>
            <w:pPr>
              <w:pStyle w:val="30"/>
              <w:bidi w:val="0"/>
              <w:rPr>
                <w:u w:val="single"/>
              </w:rPr>
            </w:pPr>
            <w:r>
              <w:rPr>
                <w:rFonts w:hint="eastAsia"/>
                <w:u w:val="single"/>
              </w:rPr>
              <w:t>国家级水产种质资源保护区</w:t>
            </w:r>
          </w:p>
        </w:tc>
        <w:tc>
          <w:tcPr>
            <w:tcW w:w="935" w:type="pct"/>
            <w:vMerge w:val="restart"/>
            <w:tcBorders>
              <w:top w:val="single" w:color="auto" w:sz="4" w:space="0"/>
            </w:tcBorders>
            <w:vAlign w:val="center"/>
          </w:tcPr>
          <w:p>
            <w:pPr>
              <w:pStyle w:val="30"/>
              <w:bidi w:val="0"/>
              <w:rPr>
                <w:u w:val="single"/>
              </w:rPr>
            </w:pPr>
            <w:r>
              <w:rPr>
                <w:rFonts w:hint="eastAsia"/>
                <w:u w:val="single"/>
              </w:rPr>
              <w:t>水产种质资源保护区管理条例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90" w:hRule="atLeast"/>
          <w:jc w:val="center"/>
        </w:trPr>
        <w:tc>
          <w:tcPr>
            <w:tcW w:w="466" w:type="pct"/>
            <w:vMerge w:val="continue"/>
            <w:vAlign w:val="center"/>
          </w:tcPr>
          <w:p>
            <w:pPr>
              <w:pStyle w:val="30"/>
              <w:bidi w:val="0"/>
              <w:rPr>
                <w:u w:val="single"/>
              </w:rPr>
            </w:pPr>
          </w:p>
        </w:tc>
        <w:tc>
          <w:tcPr>
            <w:tcW w:w="721" w:type="pct"/>
            <w:vMerge w:val="continue"/>
            <w:tcBorders>
              <w:right w:val="single" w:color="auto" w:sz="4" w:space="0"/>
            </w:tcBorders>
            <w:vAlign w:val="center"/>
          </w:tcPr>
          <w:p>
            <w:pPr>
              <w:pStyle w:val="30"/>
              <w:bidi w:val="0"/>
              <w:rPr>
                <w:u w:val="single"/>
              </w:rPr>
            </w:pPr>
          </w:p>
        </w:tc>
        <w:tc>
          <w:tcPr>
            <w:tcW w:w="693" w:type="pct"/>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核心区</w:t>
            </w:r>
          </w:p>
        </w:tc>
        <w:tc>
          <w:tcPr>
            <w:tcW w:w="720" w:type="pct"/>
            <w:gridSpan w:val="3"/>
            <w:tcBorders>
              <w:left w:val="single" w:color="auto" w:sz="4" w:space="0"/>
              <w:right w:val="single" w:color="auto" w:sz="4" w:space="0"/>
            </w:tcBorders>
            <w:vAlign w:val="center"/>
          </w:tcPr>
          <w:p>
            <w:pPr>
              <w:pStyle w:val="30"/>
              <w:bidi w:val="0"/>
              <w:rPr>
                <w:u w:val="single"/>
              </w:rPr>
            </w:pPr>
            <w:r>
              <w:rPr>
                <w:u w:val="single"/>
              </w:rPr>
              <w:t>路</w:t>
            </w:r>
            <w:r>
              <w:rPr>
                <w:rFonts w:hint="eastAsia"/>
                <w:u w:val="single"/>
              </w:rPr>
              <w:t>左</w:t>
            </w:r>
            <w:r>
              <w:rPr>
                <w:u w:val="single"/>
              </w:rPr>
              <w:t>侧</w:t>
            </w:r>
          </w:p>
        </w:tc>
        <w:tc>
          <w:tcPr>
            <w:tcW w:w="646" w:type="pct"/>
            <w:gridSpan w:val="2"/>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2100</w:t>
            </w:r>
          </w:p>
        </w:tc>
        <w:tc>
          <w:tcPr>
            <w:tcW w:w="815" w:type="pct"/>
            <w:gridSpan w:val="2"/>
            <w:vMerge w:val="continue"/>
            <w:tcBorders>
              <w:left w:val="single" w:color="auto" w:sz="4" w:space="0"/>
            </w:tcBorders>
          </w:tcPr>
          <w:p>
            <w:pPr>
              <w:pStyle w:val="30"/>
              <w:bidi w:val="0"/>
              <w:rPr>
                <w:u w:val="single"/>
              </w:rPr>
            </w:pPr>
          </w:p>
        </w:tc>
        <w:tc>
          <w:tcPr>
            <w:tcW w:w="935" w:type="pct"/>
            <w:vMerge w:val="continue"/>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jc w:val="center"/>
        </w:trPr>
        <w:tc>
          <w:tcPr>
            <w:tcW w:w="466" w:type="pct"/>
            <w:vMerge w:val="continue"/>
            <w:vAlign w:val="center"/>
          </w:tcPr>
          <w:p>
            <w:pPr>
              <w:pStyle w:val="30"/>
              <w:bidi w:val="0"/>
              <w:rPr>
                <w:u w:val="single"/>
              </w:rPr>
            </w:pPr>
          </w:p>
        </w:tc>
        <w:tc>
          <w:tcPr>
            <w:tcW w:w="721" w:type="pct"/>
            <w:vMerge w:val="restart"/>
            <w:tcBorders>
              <w:right w:val="single" w:color="auto" w:sz="4" w:space="0"/>
            </w:tcBorders>
            <w:vAlign w:val="center"/>
          </w:tcPr>
          <w:p>
            <w:pPr>
              <w:pStyle w:val="30"/>
              <w:bidi w:val="0"/>
              <w:rPr>
                <w:u w:val="single"/>
              </w:rPr>
            </w:pPr>
            <w:r>
              <w:rPr>
                <w:rFonts w:hint="eastAsia"/>
                <w:u w:val="single"/>
              </w:rPr>
              <w:t>湖南东洞庭湖国家级自然保护区核心区</w:t>
            </w:r>
          </w:p>
        </w:tc>
        <w:tc>
          <w:tcPr>
            <w:tcW w:w="693" w:type="pct"/>
            <w:tcBorders>
              <w:left w:val="single" w:color="auto" w:sz="4" w:space="0"/>
              <w:bottom w:val="single" w:color="auto" w:sz="4" w:space="0"/>
              <w:right w:val="single" w:color="auto" w:sz="4" w:space="0"/>
            </w:tcBorders>
            <w:vAlign w:val="center"/>
          </w:tcPr>
          <w:p>
            <w:pPr>
              <w:pStyle w:val="30"/>
              <w:bidi w:val="0"/>
              <w:rPr>
                <w:u w:val="single"/>
              </w:rPr>
            </w:pPr>
            <w:r>
              <w:rPr>
                <w:rFonts w:hint="eastAsia"/>
                <w:u w:val="single"/>
              </w:rPr>
              <w:t>大小西湖—君山后湖</w:t>
            </w:r>
          </w:p>
        </w:tc>
        <w:tc>
          <w:tcPr>
            <w:tcW w:w="720" w:type="pct"/>
            <w:gridSpan w:val="3"/>
            <w:tcBorders>
              <w:left w:val="single" w:color="auto" w:sz="4" w:space="0"/>
              <w:right w:val="single" w:color="auto" w:sz="4" w:space="0"/>
            </w:tcBorders>
            <w:vAlign w:val="center"/>
          </w:tcPr>
          <w:p>
            <w:pPr>
              <w:pStyle w:val="30"/>
              <w:bidi w:val="0"/>
              <w:rPr>
                <w:u w:val="single"/>
              </w:rPr>
            </w:pPr>
            <w:r>
              <w:rPr>
                <w:u w:val="single"/>
              </w:rPr>
              <w:t>路西端</w:t>
            </w:r>
          </w:p>
        </w:tc>
        <w:tc>
          <w:tcPr>
            <w:tcW w:w="646" w:type="pct"/>
            <w:gridSpan w:val="2"/>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2500</w:t>
            </w:r>
          </w:p>
        </w:tc>
        <w:tc>
          <w:tcPr>
            <w:tcW w:w="815" w:type="pct"/>
            <w:gridSpan w:val="2"/>
            <w:vMerge w:val="restart"/>
            <w:tcBorders>
              <w:left w:val="single" w:color="auto" w:sz="4" w:space="0"/>
            </w:tcBorders>
            <w:vAlign w:val="center"/>
          </w:tcPr>
          <w:p>
            <w:pPr>
              <w:pStyle w:val="30"/>
              <w:bidi w:val="0"/>
              <w:rPr>
                <w:u w:val="single"/>
              </w:rPr>
            </w:pPr>
            <w:r>
              <w:rPr>
                <w:rFonts w:hint="eastAsia"/>
                <w:u w:val="single"/>
              </w:rPr>
              <w:t>国家级自</w:t>
            </w:r>
          </w:p>
          <w:p>
            <w:pPr>
              <w:pStyle w:val="30"/>
              <w:bidi w:val="0"/>
              <w:rPr>
                <w:u w:val="single"/>
              </w:rPr>
            </w:pPr>
            <w:r>
              <w:rPr>
                <w:rFonts w:hint="eastAsia"/>
                <w:u w:val="single"/>
              </w:rPr>
              <w:t>然保护区</w:t>
            </w:r>
          </w:p>
        </w:tc>
        <w:tc>
          <w:tcPr>
            <w:tcW w:w="935" w:type="pct"/>
            <w:vMerge w:val="restart"/>
            <w:vAlign w:val="center"/>
          </w:tcPr>
          <w:p>
            <w:pPr>
              <w:pStyle w:val="30"/>
              <w:bidi w:val="0"/>
              <w:rPr>
                <w:u w:val="single"/>
              </w:rPr>
            </w:pPr>
            <w:r>
              <w:rPr>
                <w:rFonts w:hint="eastAsia"/>
                <w:u w:val="single"/>
              </w:rPr>
              <w:t>岳阳市东洞庭湖国家级自然保护区条例</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jc w:val="center"/>
        </w:trPr>
        <w:tc>
          <w:tcPr>
            <w:tcW w:w="466" w:type="pct"/>
            <w:vMerge w:val="continue"/>
            <w:vAlign w:val="center"/>
          </w:tcPr>
          <w:p>
            <w:pPr>
              <w:pStyle w:val="30"/>
              <w:bidi w:val="0"/>
              <w:rPr>
                <w:u w:val="single"/>
              </w:rPr>
            </w:pPr>
          </w:p>
        </w:tc>
        <w:tc>
          <w:tcPr>
            <w:tcW w:w="721" w:type="pct"/>
            <w:vMerge w:val="continue"/>
            <w:tcBorders>
              <w:right w:val="single" w:color="auto" w:sz="4" w:space="0"/>
            </w:tcBorders>
            <w:vAlign w:val="center"/>
          </w:tcPr>
          <w:p>
            <w:pPr>
              <w:pStyle w:val="30"/>
              <w:bidi w:val="0"/>
              <w:rPr>
                <w:u w:val="single"/>
              </w:rPr>
            </w:pPr>
          </w:p>
        </w:tc>
        <w:tc>
          <w:tcPr>
            <w:tcW w:w="693" w:type="pct"/>
            <w:tcBorders>
              <w:top w:val="single" w:color="auto" w:sz="4" w:space="0"/>
              <w:left w:val="single" w:color="auto" w:sz="4" w:space="0"/>
              <w:bottom w:val="single" w:color="auto" w:sz="4" w:space="0"/>
              <w:right w:val="single" w:color="auto" w:sz="4" w:space="0"/>
            </w:tcBorders>
            <w:vAlign w:val="center"/>
          </w:tcPr>
          <w:p>
            <w:pPr>
              <w:pStyle w:val="30"/>
              <w:bidi w:val="0"/>
              <w:rPr>
                <w:u w:val="single"/>
              </w:rPr>
            </w:pPr>
            <w:r>
              <w:rPr>
                <w:rFonts w:hint="eastAsia"/>
                <w:u w:val="single"/>
              </w:rPr>
              <w:t>红旗湖核心区</w:t>
            </w:r>
          </w:p>
        </w:tc>
        <w:tc>
          <w:tcPr>
            <w:tcW w:w="720" w:type="pct"/>
            <w:gridSpan w:val="3"/>
            <w:tcBorders>
              <w:left w:val="single" w:color="auto" w:sz="4" w:space="0"/>
              <w:right w:val="single" w:color="auto" w:sz="4" w:space="0"/>
            </w:tcBorders>
            <w:vAlign w:val="center"/>
          </w:tcPr>
          <w:p>
            <w:pPr>
              <w:pStyle w:val="30"/>
              <w:bidi w:val="0"/>
              <w:rPr>
                <w:u w:val="single"/>
              </w:rPr>
            </w:pPr>
            <w:r>
              <w:rPr>
                <w:u w:val="single"/>
              </w:rPr>
              <w:t>路</w:t>
            </w:r>
            <w:r>
              <w:rPr>
                <w:rFonts w:hint="eastAsia"/>
                <w:u w:val="single"/>
              </w:rPr>
              <w:t>左</w:t>
            </w:r>
            <w:r>
              <w:rPr>
                <w:u w:val="single"/>
              </w:rPr>
              <w:t>侧</w:t>
            </w:r>
          </w:p>
        </w:tc>
        <w:tc>
          <w:tcPr>
            <w:tcW w:w="646" w:type="pct"/>
            <w:gridSpan w:val="2"/>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3000</w:t>
            </w:r>
          </w:p>
        </w:tc>
        <w:tc>
          <w:tcPr>
            <w:tcW w:w="815" w:type="pct"/>
            <w:gridSpan w:val="2"/>
            <w:vMerge w:val="continue"/>
            <w:tcBorders>
              <w:left w:val="single" w:color="auto" w:sz="4" w:space="0"/>
            </w:tcBorders>
            <w:vAlign w:val="center"/>
          </w:tcPr>
          <w:p>
            <w:pPr>
              <w:pStyle w:val="30"/>
              <w:bidi w:val="0"/>
              <w:rPr>
                <w:u w:val="single"/>
              </w:rPr>
            </w:pPr>
          </w:p>
        </w:tc>
        <w:tc>
          <w:tcPr>
            <w:tcW w:w="935" w:type="pct"/>
            <w:vMerge w:val="continue"/>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jc w:val="center"/>
        </w:trPr>
        <w:tc>
          <w:tcPr>
            <w:tcW w:w="466" w:type="pct"/>
            <w:vMerge w:val="continue"/>
            <w:vAlign w:val="center"/>
          </w:tcPr>
          <w:p>
            <w:pPr>
              <w:pStyle w:val="30"/>
              <w:bidi w:val="0"/>
              <w:rPr>
                <w:u w:val="single"/>
              </w:rPr>
            </w:pPr>
          </w:p>
        </w:tc>
        <w:tc>
          <w:tcPr>
            <w:tcW w:w="721" w:type="pct"/>
            <w:vMerge w:val="continue"/>
            <w:tcBorders>
              <w:bottom w:val="single" w:color="auto" w:sz="4" w:space="0"/>
              <w:right w:val="single" w:color="auto" w:sz="4" w:space="0"/>
            </w:tcBorders>
            <w:vAlign w:val="center"/>
          </w:tcPr>
          <w:p>
            <w:pPr>
              <w:pStyle w:val="30"/>
              <w:bidi w:val="0"/>
              <w:rPr>
                <w:u w:val="single"/>
              </w:rPr>
            </w:pPr>
          </w:p>
        </w:tc>
        <w:tc>
          <w:tcPr>
            <w:tcW w:w="693" w:type="pct"/>
            <w:tcBorders>
              <w:top w:val="single" w:color="auto" w:sz="4" w:space="0"/>
              <w:left w:val="single" w:color="auto" w:sz="4" w:space="0"/>
              <w:bottom w:val="single" w:color="auto" w:sz="4" w:space="0"/>
              <w:right w:val="single" w:color="auto" w:sz="4" w:space="0"/>
            </w:tcBorders>
            <w:vAlign w:val="center"/>
          </w:tcPr>
          <w:p>
            <w:pPr>
              <w:pStyle w:val="30"/>
              <w:bidi w:val="0"/>
              <w:rPr>
                <w:u w:val="single"/>
              </w:rPr>
            </w:pPr>
            <w:r>
              <w:rPr>
                <w:rFonts w:hint="eastAsia"/>
                <w:u w:val="single"/>
              </w:rPr>
              <w:t>春风湖核心区</w:t>
            </w:r>
          </w:p>
        </w:tc>
        <w:tc>
          <w:tcPr>
            <w:tcW w:w="720" w:type="pct"/>
            <w:gridSpan w:val="3"/>
            <w:tcBorders>
              <w:left w:val="single" w:color="auto" w:sz="4" w:space="0"/>
              <w:right w:val="single" w:color="auto" w:sz="4" w:space="0"/>
            </w:tcBorders>
            <w:vAlign w:val="center"/>
          </w:tcPr>
          <w:p>
            <w:pPr>
              <w:pStyle w:val="30"/>
              <w:bidi w:val="0"/>
              <w:rPr>
                <w:u w:val="single"/>
              </w:rPr>
            </w:pPr>
            <w:r>
              <w:rPr>
                <w:u w:val="single"/>
              </w:rPr>
              <w:t>路</w:t>
            </w:r>
            <w:r>
              <w:rPr>
                <w:rFonts w:hint="eastAsia"/>
                <w:u w:val="single"/>
              </w:rPr>
              <w:t>左</w:t>
            </w:r>
            <w:r>
              <w:rPr>
                <w:u w:val="single"/>
              </w:rPr>
              <w:t>侧</w:t>
            </w:r>
          </w:p>
        </w:tc>
        <w:tc>
          <w:tcPr>
            <w:tcW w:w="646" w:type="pct"/>
            <w:gridSpan w:val="2"/>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14000</w:t>
            </w:r>
          </w:p>
        </w:tc>
        <w:tc>
          <w:tcPr>
            <w:tcW w:w="815" w:type="pct"/>
            <w:gridSpan w:val="2"/>
            <w:vMerge w:val="continue"/>
            <w:tcBorders>
              <w:left w:val="single" w:color="auto" w:sz="4" w:space="0"/>
            </w:tcBorders>
            <w:vAlign w:val="center"/>
          </w:tcPr>
          <w:p>
            <w:pPr>
              <w:pStyle w:val="30"/>
              <w:bidi w:val="0"/>
              <w:rPr>
                <w:u w:val="single"/>
              </w:rPr>
            </w:pPr>
          </w:p>
        </w:tc>
        <w:tc>
          <w:tcPr>
            <w:tcW w:w="935" w:type="pct"/>
            <w:vMerge w:val="continue"/>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jc w:val="center"/>
        </w:trPr>
        <w:tc>
          <w:tcPr>
            <w:tcW w:w="466" w:type="pct"/>
            <w:vMerge w:val="continue"/>
            <w:vAlign w:val="center"/>
          </w:tcPr>
          <w:p>
            <w:pPr>
              <w:pStyle w:val="30"/>
              <w:bidi w:val="0"/>
              <w:rPr>
                <w:u w:val="single"/>
              </w:rPr>
            </w:pPr>
          </w:p>
        </w:tc>
        <w:tc>
          <w:tcPr>
            <w:tcW w:w="721" w:type="pct"/>
            <w:tcBorders>
              <w:top w:val="single" w:color="auto" w:sz="4" w:space="0"/>
              <w:bottom w:val="single" w:color="auto" w:sz="4" w:space="0"/>
              <w:right w:val="single" w:color="auto" w:sz="4" w:space="0"/>
            </w:tcBorders>
            <w:vAlign w:val="center"/>
          </w:tcPr>
          <w:p>
            <w:pPr>
              <w:pStyle w:val="30"/>
              <w:bidi w:val="0"/>
              <w:rPr>
                <w:u w:val="single"/>
              </w:rPr>
            </w:pPr>
            <w:r>
              <w:rPr>
                <w:rFonts w:hint="eastAsia"/>
                <w:u w:val="single"/>
              </w:rPr>
              <w:t>湖南东洞庭湖国家级自然保护区缓冲区</w:t>
            </w:r>
          </w:p>
        </w:tc>
        <w:tc>
          <w:tcPr>
            <w:tcW w:w="693" w:type="pct"/>
            <w:tcBorders>
              <w:top w:val="single" w:color="auto" w:sz="4" w:space="0"/>
              <w:left w:val="single" w:color="auto" w:sz="4" w:space="0"/>
              <w:bottom w:val="single" w:color="auto" w:sz="4" w:space="0"/>
              <w:right w:val="single" w:color="auto" w:sz="4" w:space="0"/>
            </w:tcBorders>
            <w:vAlign w:val="center"/>
          </w:tcPr>
          <w:p>
            <w:pPr>
              <w:pStyle w:val="30"/>
              <w:bidi w:val="0"/>
              <w:rPr>
                <w:u w:val="single"/>
              </w:rPr>
            </w:pPr>
            <w:r>
              <w:rPr>
                <w:rFonts w:hint="eastAsia"/>
                <w:u w:val="single"/>
              </w:rPr>
              <w:t>大、小西湖-君山后湖-红旗湖缓冲区和春风湖缓冲区</w:t>
            </w:r>
          </w:p>
        </w:tc>
        <w:tc>
          <w:tcPr>
            <w:tcW w:w="720" w:type="pct"/>
            <w:gridSpan w:val="3"/>
            <w:tcBorders>
              <w:left w:val="single" w:color="auto" w:sz="4" w:space="0"/>
              <w:right w:val="single" w:color="auto" w:sz="4" w:space="0"/>
            </w:tcBorders>
            <w:vAlign w:val="center"/>
          </w:tcPr>
          <w:p>
            <w:pPr>
              <w:pStyle w:val="30"/>
              <w:bidi w:val="0"/>
              <w:rPr>
                <w:u w:val="single"/>
              </w:rPr>
            </w:pPr>
            <w:r>
              <w:rPr>
                <w:u w:val="single"/>
              </w:rPr>
              <w:t>路</w:t>
            </w:r>
            <w:r>
              <w:rPr>
                <w:rFonts w:hint="eastAsia"/>
                <w:u w:val="single"/>
              </w:rPr>
              <w:t>左</w:t>
            </w:r>
            <w:r>
              <w:rPr>
                <w:u w:val="single"/>
              </w:rPr>
              <w:t>侧</w:t>
            </w:r>
          </w:p>
        </w:tc>
        <w:tc>
          <w:tcPr>
            <w:tcW w:w="646" w:type="pct"/>
            <w:gridSpan w:val="2"/>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相临</w:t>
            </w:r>
          </w:p>
        </w:tc>
        <w:tc>
          <w:tcPr>
            <w:tcW w:w="815" w:type="pct"/>
            <w:gridSpan w:val="2"/>
            <w:vMerge w:val="continue"/>
            <w:tcBorders>
              <w:left w:val="single" w:color="auto" w:sz="4" w:space="0"/>
            </w:tcBorders>
          </w:tcPr>
          <w:p>
            <w:pPr>
              <w:pStyle w:val="30"/>
              <w:bidi w:val="0"/>
              <w:rPr>
                <w:u w:val="single"/>
              </w:rPr>
            </w:pPr>
          </w:p>
        </w:tc>
        <w:tc>
          <w:tcPr>
            <w:tcW w:w="935" w:type="pct"/>
            <w:vMerge w:val="continue"/>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jc w:val="center"/>
        </w:trPr>
        <w:tc>
          <w:tcPr>
            <w:tcW w:w="466" w:type="pct"/>
            <w:vMerge w:val="continue"/>
            <w:vAlign w:val="center"/>
          </w:tcPr>
          <w:p>
            <w:pPr>
              <w:pStyle w:val="30"/>
              <w:bidi w:val="0"/>
              <w:rPr>
                <w:u w:val="single"/>
              </w:rPr>
            </w:pPr>
          </w:p>
        </w:tc>
        <w:tc>
          <w:tcPr>
            <w:tcW w:w="721" w:type="pct"/>
            <w:tcBorders>
              <w:top w:val="single" w:color="auto" w:sz="4" w:space="0"/>
              <w:right w:val="single" w:color="auto" w:sz="4" w:space="0"/>
            </w:tcBorders>
            <w:vAlign w:val="center"/>
          </w:tcPr>
          <w:p>
            <w:pPr>
              <w:pStyle w:val="30"/>
              <w:bidi w:val="0"/>
              <w:rPr>
                <w:u w:val="single"/>
              </w:rPr>
            </w:pPr>
            <w:r>
              <w:rPr>
                <w:rFonts w:hint="eastAsia"/>
                <w:u w:val="single"/>
              </w:rPr>
              <w:t>湖南东洞庭湖国家级自然保护区实验区</w:t>
            </w:r>
          </w:p>
        </w:tc>
        <w:tc>
          <w:tcPr>
            <w:tcW w:w="693" w:type="pct"/>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保护区区界以内缓冲区以外的广大区域，包括采桑湖、团湖、方台湖、南湖、芭蕉湖等在内的垸内湖泊和农业用地</w:t>
            </w:r>
          </w:p>
        </w:tc>
        <w:tc>
          <w:tcPr>
            <w:tcW w:w="720" w:type="pct"/>
            <w:gridSpan w:val="3"/>
            <w:tcBorders>
              <w:left w:val="single" w:color="auto" w:sz="4" w:space="0"/>
              <w:right w:val="single" w:color="auto" w:sz="4" w:space="0"/>
            </w:tcBorders>
            <w:vAlign w:val="center"/>
          </w:tcPr>
          <w:p>
            <w:pPr>
              <w:pStyle w:val="30"/>
              <w:bidi w:val="0"/>
              <w:rPr>
                <w:u w:val="single"/>
              </w:rPr>
            </w:pPr>
            <w:r>
              <w:rPr>
                <w:rFonts w:hint="eastAsia"/>
                <w:u w:val="single"/>
              </w:rPr>
              <w:t>项目所在地</w:t>
            </w:r>
          </w:p>
        </w:tc>
        <w:tc>
          <w:tcPr>
            <w:tcW w:w="646" w:type="pct"/>
            <w:gridSpan w:val="2"/>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0</w:t>
            </w:r>
          </w:p>
        </w:tc>
        <w:tc>
          <w:tcPr>
            <w:tcW w:w="815" w:type="pct"/>
            <w:gridSpan w:val="2"/>
            <w:vMerge w:val="continue"/>
            <w:tcBorders>
              <w:left w:val="single" w:color="auto" w:sz="4" w:space="0"/>
            </w:tcBorders>
          </w:tcPr>
          <w:p>
            <w:pPr>
              <w:pStyle w:val="30"/>
              <w:bidi w:val="0"/>
              <w:rPr>
                <w:u w:val="single"/>
              </w:rPr>
            </w:pPr>
          </w:p>
        </w:tc>
        <w:tc>
          <w:tcPr>
            <w:tcW w:w="935" w:type="pct"/>
            <w:vMerge w:val="continue"/>
            <w:vAlign w:val="center"/>
          </w:tcPr>
          <w:p>
            <w:pPr>
              <w:pStyle w:val="30"/>
              <w:bidi w:val="0"/>
              <w:rPr>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jc w:val="center"/>
        </w:trPr>
        <w:tc>
          <w:tcPr>
            <w:tcW w:w="466" w:type="pct"/>
            <w:vMerge w:val="continue"/>
            <w:vAlign w:val="center"/>
          </w:tcPr>
          <w:p>
            <w:pPr>
              <w:pStyle w:val="30"/>
              <w:bidi w:val="0"/>
              <w:rPr>
                <w:u w:val="single"/>
              </w:rPr>
            </w:pPr>
          </w:p>
        </w:tc>
        <w:tc>
          <w:tcPr>
            <w:tcW w:w="1415" w:type="pct"/>
            <w:gridSpan w:val="2"/>
            <w:tcBorders>
              <w:right w:val="single" w:color="auto" w:sz="4" w:space="0"/>
            </w:tcBorders>
            <w:vAlign w:val="center"/>
          </w:tcPr>
          <w:p>
            <w:pPr>
              <w:pStyle w:val="30"/>
              <w:bidi w:val="0"/>
              <w:rPr>
                <w:u w:val="single"/>
              </w:rPr>
            </w:pPr>
            <w:r>
              <w:rPr>
                <w:rFonts w:hint="eastAsia"/>
                <w:u w:val="single"/>
              </w:rPr>
              <w:t>植被、土壤、林地</w:t>
            </w:r>
          </w:p>
        </w:tc>
        <w:tc>
          <w:tcPr>
            <w:tcW w:w="720" w:type="pct"/>
            <w:gridSpan w:val="3"/>
            <w:tcBorders>
              <w:left w:val="single" w:color="auto" w:sz="4" w:space="0"/>
              <w:right w:val="single" w:color="auto" w:sz="4" w:space="0"/>
            </w:tcBorders>
            <w:vAlign w:val="center"/>
          </w:tcPr>
          <w:p>
            <w:pPr>
              <w:pStyle w:val="30"/>
              <w:bidi w:val="0"/>
              <w:rPr>
                <w:u w:val="single"/>
              </w:rPr>
            </w:pPr>
            <w:r>
              <w:rPr>
                <w:u w:val="single"/>
              </w:rPr>
              <w:t>路</w:t>
            </w:r>
            <w:r>
              <w:rPr>
                <w:rFonts w:hint="eastAsia"/>
                <w:u w:val="single"/>
              </w:rPr>
              <w:t>右</w:t>
            </w:r>
            <w:r>
              <w:rPr>
                <w:u w:val="single"/>
              </w:rPr>
              <w:t>侧</w:t>
            </w:r>
          </w:p>
        </w:tc>
        <w:tc>
          <w:tcPr>
            <w:tcW w:w="646" w:type="pct"/>
            <w:gridSpan w:val="2"/>
            <w:tcBorders>
              <w:top w:val="single" w:color="auto" w:sz="4" w:space="0"/>
              <w:left w:val="single" w:color="auto" w:sz="4" w:space="0"/>
              <w:right w:val="single" w:color="auto" w:sz="4" w:space="0"/>
            </w:tcBorders>
            <w:vAlign w:val="center"/>
          </w:tcPr>
          <w:p>
            <w:pPr>
              <w:pStyle w:val="30"/>
              <w:bidi w:val="0"/>
              <w:rPr>
                <w:u w:val="single"/>
              </w:rPr>
            </w:pPr>
            <w:r>
              <w:rPr>
                <w:rFonts w:hint="eastAsia"/>
                <w:u w:val="single"/>
              </w:rPr>
              <w:t>200范围内</w:t>
            </w:r>
          </w:p>
        </w:tc>
        <w:tc>
          <w:tcPr>
            <w:tcW w:w="815" w:type="pct"/>
            <w:gridSpan w:val="2"/>
            <w:tcBorders>
              <w:top w:val="single" w:color="auto" w:sz="4" w:space="0"/>
              <w:left w:val="single" w:color="auto" w:sz="4" w:space="0"/>
            </w:tcBorders>
            <w:vAlign w:val="center"/>
          </w:tcPr>
          <w:p>
            <w:pPr>
              <w:pStyle w:val="30"/>
              <w:bidi w:val="0"/>
              <w:rPr>
                <w:u w:val="single"/>
              </w:rPr>
            </w:pPr>
          </w:p>
        </w:tc>
        <w:tc>
          <w:tcPr>
            <w:tcW w:w="935" w:type="pct"/>
            <w:tcBorders>
              <w:top w:val="single" w:color="auto" w:sz="4" w:space="0"/>
            </w:tcBorders>
            <w:vAlign w:val="center"/>
          </w:tcPr>
          <w:p>
            <w:pPr>
              <w:pStyle w:val="30"/>
              <w:bidi w:val="0"/>
              <w:rPr>
                <w:u w:val="single"/>
              </w:rPr>
            </w:pPr>
            <w:r>
              <w:rPr>
                <w:rFonts w:hint="eastAsia"/>
                <w:u w:val="single"/>
              </w:rPr>
              <w:t>尽量少占及不占</w:t>
            </w:r>
          </w:p>
        </w:tc>
      </w:tr>
    </w:tbl>
    <w:p>
      <w:pPr>
        <w:pStyle w:val="29"/>
        <w:bidi w:val="0"/>
      </w:pPr>
    </w:p>
    <w:bookmarkEnd w:id="111"/>
    <w:p>
      <w:pPr>
        <w:pStyle w:val="3"/>
        <w:bidi w:val="0"/>
        <w:rPr>
          <w:lang w:eastAsia="zh-CN"/>
        </w:rPr>
      </w:pPr>
      <w:bookmarkStart w:id="113" w:name="_Toc9403"/>
      <w:bookmarkStart w:id="114" w:name="_Toc517214630"/>
      <w:bookmarkStart w:id="115" w:name="_Toc6868"/>
      <w:r>
        <w:t>污染防治措施及影响分析</w:t>
      </w:r>
      <w:bookmarkEnd w:id="113"/>
      <w:bookmarkEnd w:id="114"/>
      <w:bookmarkEnd w:id="115"/>
    </w:p>
    <w:p>
      <w:pPr>
        <w:bidi w:val="0"/>
        <w:rPr>
          <w:highlight w:val="none"/>
          <w:lang w:eastAsia="zh-CN"/>
        </w:rPr>
      </w:pPr>
      <w:r>
        <w:rPr>
          <w:highlight w:val="none"/>
        </w:rPr>
        <w:t>变更后</w:t>
      </w:r>
      <w:r>
        <w:rPr>
          <w:rFonts w:hint="eastAsia"/>
          <w:highlight w:val="none"/>
        </w:rPr>
        <w:t>本项目</w:t>
      </w:r>
      <w:r>
        <w:rPr>
          <w:rFonts w:hint="eastAsia"/>
          <w:highlight w:val="none"/>
          <w:lang w:eastAsia="zh-CN"/>
        </w:rPr>
        <w:t>临时堆场位置及面积发生变化，</w:t>
      </w:r>
      <w:r>
        <w:rPr>
          <w:rFonts w:hint="eastAsia"/>
          <w:highlight w:val="none"/>
        </w:rPr>
        <w:t>本次主要针对</w:t>
      </w:r>
      <w:r>
        <w:rPr>
          <w:rFonts w:hint="eastAsia"/>
          <w:highlight w:val="none"/>
          <w:lang w:eastAsia="zh-CN"/>
        </w:rPr>
        <w:t>堆场产生的污染物</w:t>
      </w:r>
      <w:r>
        <w:rPr>
          <w:rFonts w:hint="eastAsia"/>
          <w:highlight w:val="none"/>
        </w:rPr>
        <w:t>进行</w:t>
      </w:r>
      <w:r>
        <w:rPr>
          <w:rFonts w:hint="eastAsia"/>
          <w:highlight w:val="none"/>
          <w:lang w:eastAsia="zh-CN"/>
        </w:rPr>
        <w:t>影响</w:t>
      </w:r>
      <w:r>
        <w:rPr>
          <w:rFonts w:hint="eastAsia"/>
          <w:highlight w:val="none"/>
        </w:rPr>
        <w:t>分析</w:t>
      </w:r>
      <w:r>
        <w:rPr>
          <w:highlight w:val="none"/>
        </w:rPr>
        <w:t>，本项目采取的各项污染防治措施均可行。</w:t>
      </w:r>
    </w:p>
    <w:p>
      <w:pPr>
        <w:pStyle w:val="4"/>
        <w:bidi w:val="0"/>
        <w:rPr>
          <w:rFonts w:hint="eastAsia"/>
          <w:lang w:eastAsia="zh-CN"/>
        </w:rPr>
      </w:pPr>
      <w:bookmarkStart w:id="116" w:name="_Toc27964"/>
      <w:bookmarkStart w:id="117" w:name="_Toc29331"/>
      <w:r>
        <w:rPr>
          <w:rFonts w:hint="eastAsia"/>
        </w:rPr>
        <w:t>大气环境</w:t>
      </w:r>
      <w:r>
        <w:t>影响分析</w:t>
      </w:r>
      <w:bookmarkEnd w:id="116"/>
      <w:bookmarkEnd w:id="117"/>
    </w:p>
    <w:p>
      <w:pPr>
        <w:bidi w:val="0"/>
      </w:pPr>
      <w:r>
        <w:rPr>
          <w:rFonts w:hint="eastAsia"/>
        </w:rPr>
        <w:t>本项目大气污染物主要来源于砂石装卸粉尘、堆场风扬尘，各废气污染物均为无组织排放，结合工程分析内容，确定本项目排放的主要污染物为颗粒物，主要来源于砂石</w:t>
      </w:r>
      <w:r>
        <w:rPr>
          <w:rFonts w:hint="eastAsia"/>
          <w:lang w:eastAsia="zh-CN"/>
        </w:rPr>
        <w:t>装卸</w:t>
      </w:r>
      <w:r>
        <w:rPr>
          <w:rFonts w:hint="eastAsia"/>
        </w:rPr>
        <w:t>时产生的落料粉尘以及堆场产生的风扬尘，尤其考虑不利气象条件下产生的环境影响。</w:t>
      </w:r>
    </w:p>
    <w:p>
      <w:pPr>
        <w:autoSpaceDE w:val="0"/>
        <w:autoSpaceDN w:val="0"/>
        <w:spacing w:line="360" w:lineRule="auto"/>
        <w:ind w:firstLine="480" w:firstLineChars="200"/>
        <w:jc w:val="left"/>
        <w:rPr>
          <w:bCs/>
          <w:sz w:val="24"/>
          <w:lang w:bidi="ar"/>
        </w:rPr>
      </w:pPr>
      <w:r>
        <w:rPr>
          <w:rFonts w:hint="eastAsia" w:ascii="宋体" w:hAnsi="宋体" w:cs="宋体"/>
          <w:sz w:val="24"/>
        </w:rPr>
        <w:t>①</w:t>
      </w:r>
      <w:r>
        <w:rPr>
          <w:sz w:val="24"/>
        </w:rPr>
        <w:t>评价工作等级判定方法</w:t>
      </w:r>
    </w:p>
    <w:p>
      <w:pPr>
        <w:autoSpaceDE w:val="0"/>
        <w:autoSpaceDN w:val="0"/>
        <w:spacing w:line="360" w:lineRule="auto"/>
        <w:ind w:firstLine="480" w:firstLineChars="200"/>
        <w:jc w:val="left"/>
        <w:rPr>
          <w:sz w:val="24"/>
        </w:rPr>
      </w:pPr>
      <w:r>
        <w:rPr>
          <w:sz w:val="24"/>
        </w:rPr>
        <w:t>本次评价依据《环境影响评价技术导则-大气环境》(HJ2.2-2018)中5.3节工作等级的确定方法，结合项目工程分析结果，选择正常排放的主要污染物及排放参数，采用附录A推荐模型中的AERSCREEN模式计算项目污染源的最大环境影响，然后按评价工作分级判据进行分级。</w:t>
      </w:r>
    </w:p>
    <w:p>
      <w:pPr>
        <w:autoSpaceDE w:val="0"/>
        <w:autoSpaceDN w:val="0"/>
        <w:spacing w:line="360" w:lineRule="auto"/>
        <w:ind w:firstLine="480" w:firstLineChars="200"/>
        <w:jc w:val="left"/>
        <w:rPr>
          <w:bCs/>
          <w:sz w:val="24"/>
          <w:lang w:bidi="ar"/>
        </w:rPr>
      </w:pPr>
      <w:r>
        <w:rPr>
          <w:sz w:val="24"/>
        </w:rPr>
        <w:t>根据项目污染源初步调查结果，分别计算项目排放污染物的最大地面浓度占标率Pi，计算公式为：</w:t>
      </w:r>
    </w:p>
    <w:p>
      <w:pPr>
        <w:autoSpaceDE w:val="0"/>
        <w:autoSpaceDN w:val="0"/>
        <w:spacing w:line="360" w:lineRule="auto"/>
        <w:jc w:val="center"/>
        <w:rPr>
          <w:bCs/>
          <w:sz w:val="24"/>
          <w:lang w:bidi="ar"/>
        </w:rPr>
      </w:pPr>
      <w:r>
        <w:drawing>
          <wp:inline distT="0" distB="0" distL="114300" distR="114300">
            <wp:extent cx="1333500" cy="561975"/>
            <wp:effectExtent l="0" t="0" r="0" b="952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4"/>
                    <a:stretch>
                      <a:fillRect/>
                    </a:stretch>
                  </pic:blipFill>
                  <pic:spPr>
                    <a:xfrm>
                      <a:off x="0" y="0"/>
                      <a:ext cx="1333500" cy="561975"/>
                    </a:xfrm>
                    <a:prstGeom prst="rect">
                      <a:avLst/>
                    </a:prstGeom>
                    <a:noFill/>
                    <a:ln>
                      <a:noFill/>
                    </a:ln>
                  </pic:spPr>
                </pic:pic>
              </a:graphicData>
            </a:graphic>
          </wp:inline>
        </w:drawing>
      </w:r>
    </w:p>
    <w:p>
      <w:pPr>
        <w:autoSpaceDE w:val="0"/>
        <w:autoSpaceDN w:val="0"/>
        <w:spacing w:line="360" w:lineRule="auto"/>
        <w:ind w:firstLine="480" w:firstLineChars="200"/>
        <w:jc w:val="left"/>
        <w:rPr>
          <w:sz w:val="24"/>
        </w:rPr>
      </w:pPr>
      <w:r>
        <w:rPr>
          <w:sz w:val="24"/>
        </w:rPr>
        <w:t>式中：P</w:t>
      </w:r>
      <w:r>
        <w:rPr>
          <w:sz w:val="24"/>
          <w:vertAlign w:val="subscript"/>
        </w:rPr>
        <w:t>i</w:t>
      </w:r>
      <w:r>
        <w:rPr>
          <w:sz w:val="24"/>
        </w:rPr>
        <w:t>——第i个污染物的最大地面空气质量浓度占标率，%；</w:t>
      </w:r>
    </w:p>
    <w:p>
      <w:pPr>
        <w:autoSpaceDE w:val="0"/>
        <w:autoSpaceDN w:val="0"/>
        <w:spacing w:line="360" w:lineRule="auto"/>
        <w:ind w:firstLine="480" w:firstLineChars="200"/>
        <w:jc w:val="left"/>
        <w:rPr>
          <w:sz w:val="24"/>
        </w:rPr>
      </w:pPr>
      <w:r>
        <w:rPr>
          <w:sz w:val="24"/>
        </w:rPr>
        <w:t>C</w:t>
      </w:r>
      <w:r>
        <w:rPr>
          <w:sz w:val="24"/>
          <w:vertAlign w:val="subscript"/>
        </w:rPr>
        <w:t>i</w:t>
      </w:r>
      <w:r>
        <w:rPr>
          <w:sz w:val="24"/>
        </w:rPr>
        <w:t>——采用估算模型计算出的第i个污染物的最大1h地面空气质量浓度，μg/</w:t>
      </w:r>
      <w:r>
        <w:rPr>
          <w:rFonts w:hint="eastAsia"/>
          <w:sz w:val="24"/>
          <w:lang w:eastAsia="zh-CN"/>
        </w:rPr>
        <w:t>m</w:t>
      </w:r>
      <w:r>
        <w:rPr>
          <w:rFonts w:hint="eastAsia"/>
          <w:sz w:val="24"/>
          <w:vertAlign w:val="superscript"/>
          <w:lang w:eastAsia="zh-CN"/>
        </w:rPr>
        <w:t>3</w:t>
      </w:r>
      <w:r>
        <w:rPr>
          <w:sz w:val="24"/>
        </w:rPr>
        <w:t xml:space="preserve">； </w:t>
      </w:r>
    </w:p>
    <w:p>
      <w:pPr>
        <w:autoSpaceDE w:val="0"/>
        <w:autoSpaceDN w:val="0"/>
        <w:spacing w:line="360" w:lineRule="auto"/>
        <w:ind w:firstLine="480" w:firstLineChars="200"/>
        <w:jc w:val="left"/>
        <w:rPr>
          <w:sz w:val="24"/>
        </w:rPr>
      </w:pPr>
      <w:r>
        <w:rPr>
          <w:sz w:val="24"/>
        </w:rPr>
        <w:t>C</w:t>
      </w:r>
      <w:r>
        <w:rPr>
          <w:sz w:val="24"/>
          <w:vertAlign w:val="subscript"/>
        </w:rPr>
        <w:t>0i</w:t>
      </w:r>
      <w:r>
        <w:rPr>
          <w:sz w:val="24"/>
        </w:rPr>
        <w:t>——第i个污染物的环境空气质量浓度标准，μg/</w:t>
      </w:r>
      <w:r>
        <w:rPr>
          <w:rFonts w:hint="eastAsia"/>
          <w:sz w:val="24"/>
          <w:lang w:eastAsia="zh-CN"/>
        </w:rPr>
        <w:t>m</w:t>
      </w:r>
      <w:r>
        <w:rPr>
          <w:rFonts w:hint="eastAsia"/>
          <w:sz w:val="24"/>
          <w:vertAlign w:val="superscript"/>
          <w:lang w:eastAsia="zh-CN"/>
        </w:rPr>
        <w:t>3</w:t>
      </w:r>
      <w:r>
        <w:rPr>
          <w:sz w:val="24"/>
        </w:rPr>
        <w:t>。</w:t>
      </w:r>
    </w:p>
    <w:p>
      <w:pPr>
        <w:autoSpaceDE w:val="0"/>
        <w:autoSpaceDN w:val="0"/>
        <w:spacing w:line="360" w:lineRule="auto"/>
        <w:ind w:firstLine="480" w:firstLineChars="200"/>
        <w:jc w:val="left"/>
        <w:rPr>
          <w:bCs/>
          <w:sz w:val="24"/>
          <w:lang w:bidi="ar"/>
        </w:rPr>
      </w:pPr>
      <w:r>
        <w:rPr>
          <w:sz w:val="24"/>
        </w:rPr>
        <w:t>最大地面空气质量浓度占标率P</w:t>
      </w:r>
      <w:r>
        <w:rPr>
          <w:sz w:val="24"/>
          <w:vertAlign w:val="subscript"/>
        </w:rPr>
        <w:t>i</w:t>
      </w:r>
      <w:r>
        <w:rPr>
          <w:sz w:val="24"/>
        </w:rPr>
        <w:t>按上式计算后，取P值中最大值P</w:t>
      </w:r>
      <w:r>
        <w:rPr>
          <w:sz w:val="24"/>
          <w:vertAlign w:val="subscript"/>
        </w:rPr>
        <w:t>max</w:t>
      </w:r>
      <w:r>
        <w:rPr>
          <w:sz w:val="24"/>
        </w:rPr>
        <w:t>按下表的分级判据进行评价等级划分：</w:t>
      </w:r>
    </w:p>
    <w:p>
      <w:pPr>
        <w:pStyle w:val="29"/>
        <w:bidi w:val="0"/>
      </w:pPr>
      <w:r>
        <w:rPr>
          <w:rFonts w:hint="eastAsia"/>
        </w:rPr>
        <w:t>表</w:t>
      </w:r>
      <w:r>
        <w:rPr>
          <w:rFonts w:hint="eastAsia"/>
          <w:lang w:val="en-US" w:eastAsia="zh-CN"/>
        </w:rPr>
        <w:t>6.1-1</w:t>
      </w:r>
      <w:r>
        <w:t xml:space="preserve">  </w:t>
      </w:r>
      <w:r>
        <w:rPr>
          <w:rFonts w:hint="eastAsia"/>
        </w:rPr>
        <w:t>评价等级判别表</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329"/>
        <w:gridCol w:w="432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329" w:type="dxa"/>
            <w:noWrap w:val="0"/>
            <w:vAlign w:val="center"/>
          </w:tcPr>
          <w:p>
            <w:pPr>
              <w:pStyle w:val="30"/>
              <w:bidi w:val="0"/>
              <w:rPr>
                <w:rFonts w:hint="eastAsia"/>
              </w:rPr>
            </w:pPr>
            <w:r>
              <w:t>评价工作等级</w:t>
            </w:r>
          </w:p>
        </w:tc>
        <w:tc>
          <w:tcPr>
            <w:tcW w:w="4329" w:type="dxa"/>
            <w:noWrap w:val="0"/>
            <w:vAlign w:val="center"/>
          </w:tcPr>
          <w:p>
            <w:pPr>
              <w:pStyle w:val="30"/>
              <w:bidi w:val="0"/>
              <w:rPr>
                <w:rFonts w:hint="eastAsia"/>
              </w:rPr>
            </w:pPr>
            <w:r>
              <w:t>评价工作分级判据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329" w:type="dxa"/>
            <w:noWrap w:val="0"/>
            <w:vAlign w:val="center"/>
          </w:tcPr>
          <w:p>
            <w:pPr>
              <w:pStyle w:val="30"/>
              <w:bidi w:val="0"/>
              <w:rPr>
                <w:rFonts w:hint="eastAsia"/>
              </w:rPr>
            </w:pPr>
            <w:r>
              <w:t>一级评价</w:t>
            </w:r>
          </w:p>
        </w:tc>
        <w:tc>
          <w:tcPr>
            <w:tcW w:w="4329" w:type="dxa"/>
            <w:noWrap w:val="0"/>
            <w:vAlign w:val="center"/>
          </w:tcPr>
          <w:p>
            <w:pPr>
              <w:pStyle w:val="30"/>
              <w:bidi w:val="0"/>
              <w:rPr>
                <w:rFonts w:hint="eastAsia"/>
              </w:rPr>
            </w:pPr>
            <w:r>
              <w:t>Pmax</w:t>
            </w:r>
            <w:r>
              <w:rPr>
                <w:rFonts w:hint="eastAsia"/>
              </w:rPr>
              <w:t>≧</w:t>
            </w:r>
            <w: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329" w:type="dxa"/>
            <w:noWrap w:val="0"/>
            <w:vAlign w:val="center"/>
          </w:tcPr>
          <w:p>
            <w:pPr>
              <w:pStyle w:val="30"/>
              <w:bidi w:val="0"/>
              <w:rPr>
                <w:rFonts w:hint="eastAsia"/>
              </w:rPr>
            </w:pPr>
            <w:r>
              <w:t>二级评价</w:t>
            </w:r>
          </w:p>
        </w:tc>
        <w:tc>
          <w:tcPr>
            <w:tcW w:w="4329" w:type="dxa"/>
            <w:noWrap w:val="0"/>
            <w:vAlign w:val="center"/>
          </w:tcPr>
          <w:p>
            <w:pPr>
              <w:pStyle w:val="30"/>
              <w:bidi w:val="0"/>
              <w:rPr>
                <w:rFonts w:hint="eastAsia"/>
              </w:rPr>
            </w:pPr>
            <w:r>
              <w:t>1%</w:t>
            </w:r>
            <w:r>
              <w:rPr>
                <w:rFonts w:hint="eastAsia"/>
              </w:rPr>
              <w:t>≦</w:t>
            </w:r>
            <w:r>
              <w:t>Pmax&lt;10%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329" w:type="dxa"/>
            <w:noWrap w:val="0"/>
            <w:vAlign w:val="center"/>
          </w:tcPr>
          <w:p>
            <w:pPr>
              <w:pStyle w:val="30"/>
              <w:bidi w:val="0"/>
              <w:rPr>
                <w:rFonts w:hint="eastAsia"/>
              </w:rPr>
            </w:pPr>
            <w:r>
              <w:t>三级评价</w:t>
            </w:r>
          </w:p>
        </w:tc>
        <w:tc>
          <w:tcPr>
            <w:tcW w:w="4329" w:type="dxa"/>
            <w:noWrap w:val="0"/>
            <w:vAlign w:val="center"/>
          </w:tcPr>
          <w:p>
            <w:pPr>
              <w:pStyle w:val="30"/>
              <w:bidi w:val="0"/>
              <w:rPr>
                <w:rFonts w:hint="eastAsia"/>
              </w:rPr>
            </w:pPr>
            <w:r>
              <w:t>Pmax&lt;1%</w:t>
            </w:r>
          </w:p>
        </w:tc>
      </w:tr>
    </w:tbl>
    <w:p>
      <w:pPr>
        <w:autoSpaceDE w:val="0"/>
        <w:autoSpaceDN w:val="0"/>
        <w:spacing w:line="360" w:lineRule="auto"/>
        <w:ind w:firstLine="480" w:firstLineChars="200"/>
        <w:jc w:val="left"/>
        <w:rPr>
          <w:bCs/>
          <w:sz w:val="24"/>
          <w:lang w:bidi="ar"/>
        </w:rPr>
      </w:pPr>
      <w:r>
        <w:rPr>
          <w:sz w:val="24"/>
        </w:rPr>
        <w:t>评价采用的AERSCREEN估算模型主要预测参数见下表</w:t>
      </w:r>
      <w:r>
        <w:rPr>
          <w:rFonts w:hint="eastAsia"/>
          <w:sz w:val="24"/>
          <w:lang w:val="en-US" w:eastAsia="zh-CN"/>
        </w:rPr>
        <w:t>6.1-2</w:t>
      </w:r>
      <w:r>
        <w:rPr>
          <w:sz w:val="24"/>
        </w:rPr>
        <w:t>所示：</w:t>
      </w:r>
    </w:p>
    <w:p>
      <w:pPr>
        <w:pStyle w:val="29"/>
        <w:bidi w:val="0"/>
      </w:pPr>
    </w:p>
    <w:p>
      <w:pPr>
        <w:pStyle w:val="29"/>
        <w:bidi w:val="0"/>
      </w:pPr>
      <w:r>
        <w:t>表</w:t>
      </w:r>
      <w:r>
        <w:rPr>
          <w:rFonts w:hint="eastAsia"/>
          <w:lang w:val="en-US" w:eastAsia="zh-CN"/>
        </w:rPr>
        <w:t>6.1-2</w:t>
      </w:r>
      <w:r>
        <w:t xml:space="preserve">  估算模型参数表</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956"/>
        <w:gridCol w:w="3816"/>
        <w:gridCol w:w="288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5772" w:type="dxa"/>
            <w:gridSpan w:val="2"/>
            <w:noWrap w:val="0"/>
            <w:vAlign w:val="center"/>
          </w:tcPr>
          <w:p>
            <w:pPr>
              <w:pStyle w:val="30"/>
              <w:bidi w:val="0"/>
              <w:rPr>
                <w:rFonts w:hint="eastAsia"/>
              </w:rPr>
            </w:pPr>
            <w:r>
              <w:rPr>
                <w:rFonts w:hint="eastAsia"/>
              </w:rPr>
              <w:t>选项</w:t>
            </w:r>
          </w:p>
        </w:tc>
        <w:tc>
          <w:tcPr>
            <w:tcW w:w="2886" w:type="dxa"/>
            <w:noWrap w:val="0"/>
            <w:vAlign w:val="center"/>
          </w:tcPr>
          <w:p>
            <w:pPr>
              <w:pStyle w:val="30"/>
              <w:bidi w:val="0"/>
              <w:rPr>
                <w:rFonts w:hint="eastAsia"/>
              </w:rPr>
            </w:pPr>
            <w:r>
              <w:rPr>
                <w:rFonts w:hint="eastAsia"/>
              </w:rPr>
              <w:t>参数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56" w:type="dxa"/>
            <w:vMerge w:val="restart"/>
            <w:noWrap w:val="0"/>
            <w:vAlign w:val="center"/>
          </w:tcPr>
          <w:p>
            <w:pPr>
              <w:pStyle w:val="30"/>
              <w:bidi w:val="0"/>
              <w:rPr>
                <w:rFonts w:hint="eastAsia"/>
              </w:rPr>
            </w:pPr>
            <w:r>
              <w:t>城市/农村选项</w:t>
            </w:r>
          </w:p>
        </w:tc>
        <w:tc>
          <w:tcPr>
            <w:tcW w:w="3816" w:type="dxa"/>
            <w:noWrap w:val="0"/>
            <w:vAlign w:val="center"/>
          </w:tcPr>
          <w:p>
            <w:pPr>
              <w:pStyle w:val="30"/>
              <w:bidi w:val="0"/>
              <w:rPr>
                <w:rFonts w:hint="eastAsia"/>
              </w:rPr>
            </w:pPr>
            <w:r>
              <w:t>城市/农村</w:t>
            </w:r>
          </w:p>
        </w:tc>
        <w:tc>
          <w:tcPr>
            <w:tcW w:w="2886" w:type="dxa"/>
            <w:noWrap w:val="0"/>
            <w:vAlign w:val="center"/>
          </w:tcPr>
          <w:p>
            <w:pPr>
              <w:pStyle w:val="30"/>
              <w:bidi w:val="0"/>
              <w:rPr>
                <w:rFonts w:hint="eastAsia"/>
              </w:rPr>
            </w:pPr>
            <w:r>
              <w:t>农村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56" w:type="dxa"/>
            <w:vMerge w:val="continue"/>
            <w:noWrap w:val="0"/>
            <w:vAlign w:val="center"/>
          </w:tcPr>
          <w:p>
            <w:pPr>
              <w:pStyle w:val="30"/>
              <w:bidi w:val="0"/>
              <w:rPr>
                <w:rFonts w:hint="eastAsia"/>
              </w:rPr>
            </w:pPr>
          </w:p>
        </w:tc>
        <w:tc>
          <w:tcPr>
            <w:tcW w:w="3816" w:type="dxa"/>
            <w:noWrap w:val="0"/>
            <w:vAlign w:val="center"/>
          </w:tcPr>
          <w:p>
            <w:pPr>
              <w:pStyle w:val="30"/>
              <w:bidi w:val="0"/>
              <w:rPr>
                <w:rFonts w:hint="eastAsia"/>
              </w:rPr>
            </w:pPr>
            <w:r>
              <w:t>人口数（</w:t>
            </w:r>
            <w:r>
              <w:rPr>
                <w:rFonts w:hint="eastAsia"/>
              </w:rPr>
              <w:t>万人</w:t>
            </w:r>
            <w:r>
              <w:t>）（城市选项时）</w:t>
            </w:r>
          </w:p>
        </w:tc>
        <w:tc>
          <w:tcPr>
            <w:tcW w:w="2886" w:type="dxa"/>
            <w:noWrap w:val="0"/>
            <w:vAlign w:val="center"/>
          </w:tcPr>
          <w:p>
            <w:pPr>
              <w:pStyle w:val="30"/>
              <w:bidi w:val="0"/>
              <w:rPr>
                <w:rFonts w:hint="eastAsia"/>
              </w:rPr>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5772" w:type="dxa"/>
            <w:gridSpan w:val="2"/>
            <w:noWrap w:val="0"/>
            <w:vAlign w:val="center"/>
          </w:tcPr>
          <w:p>
            <w:pPr>
              <w:pStyle w:val="30"/>
              <w:bidi w:val="0"/>
              <w:rPr>
                <w:rFonts w:hint="eastAsia"/>
              </w:rPr>
            </w:pPr>
            <w:r>
              <w:t>最高环境温度/℃</w:t>
            </w:r>
          </w:p>
        </w:tc>
        <w:tc>
          <w:tcPr>
            <w:tcW w:w="2886" w:type="dxa"/>
            <w:noWrap w:val="0"/>
            <w:vAlign w:val="center"/>
          </w:tcPr>
          <w:p>
            <w:pPr>
              <w:pStyle w:val="30"/>
              <w:bidi w:val="0"/>
              <w:rPr>
                <w:rFonts w:hint="default" w:eastAsia="宋体"/>
                <w:lang w:val="en-US" w:eastAsia="zh-CN"/>
              </w:rPr>
            </w:pPr>
            <w:r>
              <w:rPr>
                <w:rFonts w:hint="eastAsia"/>
                <w:lang w:val="en-US" w:eastAsia="zh-CN"/>
              </w:rPr>
              <w:t>39.3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5772" w:type="dxa"/>
            <w:gridSpan w:val="2"/>
            <w:noWrap w:val="0"/>
            <w:vAlign w:val="center"/>
          </w:tcPr>
          <w:p>
            <w:pPr>
              <w:pStyle w:val="30"/>
              <w:bidi w:val="0"/>
              <w:rPr>
                <w:rFonts w:hint="eastAsia"/>
              </w:rPr>
            </w:pPr>
            <w:r>
              <w:t>最低环境温度/℃</w:t>
            </w:r>
          </w:p>
        </w:tc>
        <w:tc>
          <w:tcPr>
            <w:tcW w:w="2886" w:type="dxa"/>
            <w:noWrap w:val="0"/>
            <w:vAlign w:val="center"/>
          </w:tcPr>
          <w:p>
            <w:pPr>
              <w:pStyle w:val="30"/>
              <w:bidi w:val="0"/>
              <w:rPr>
                <w:rFonts w:hint="eastAsia" w:eastAsia="宋体"/>
                <w:lang w:eastAsia="zh-CN"/>
              </w:rPr>
            </w:pPr>
            <w:r>
              <w:rPr>
                <w:rFonts w:hint="eastAsia"/>
              </w:rPr>
              <w:t>-1</w:t>
            </w:r>
            <w:r>
              <w:rPr>
                <w:rFonts w:hint="eastAsia"/>
                <w:lang w:val="en-US" w:eastAsia="zh-CN"/>
              </w:rPr>
              <w:t>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5772" w:type="dxa"/>
            <w:gridSpan w:val="2"/>
            <w:noWrap w:val="0"/>
            <w:vAlign w:val="center"/>
          </w:tcPr>
          <w:p>
            <w:pPr>
              <w:pStyle w:val="30"/>
              <w:bidi w:val="0"/>
              <w:rPr>
                <w:rFonts w:hint="eastAsia"/>
              </w:rPr>
            </w:pPr>
            <w:r>
              <w:t>土地利用类型</w:t>
            </w:r>
          </w:p>
        </w:tc>
        <w:tc>
          <w:tcPr>
            <w:tcW w:w="2886" w:type="dxa"/>
            <w:noWrap w:val="0"/>
            <w:vAlign w:val="center"/>
          </w:tcPr>
          <w:p>
            <w:pPr>
              <w:pStyle w:val="30"/>
              <w:bidi w:val="0"/>
              <w:rPr>
                <w:rFonts w:hint="eastAsia"/>
              </w:rPr>
            </w:pPr>
            <w:r>
              <w:rPr>
                <w:rFonts w:hint="eastAsia"/>
              </w:rPr>
              <w:t>阔叶林</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5772" w:type="dxa"/>
            <w:gridSpan w:val="2"/>
            <w:noWrap w:val="0"/>
            <w:vAlign w:val="center"/>
          </w:tcPr>
          <w:p>
            <w:pPr>
              <w:pStyle w:val="30"/>
              <w:bidi w:val="0"/>
              <w:rPr>
                <w:rFonts w:hint="eastAsia"/>
              </w:rPr>
            </w:pPr>
            <w:r>
              <w:t>区域湿度条件</w:t>
            </w:r>
          </w:p>
        </w:tc>
        <w:tc>
          <w:tcPr>
            <w:tcW w:w="2886" w:type="dxa"/>
            <w:noWrap w:val="0"/>
            <w:vAlign w:val="center"/>
          </w:tcPr>
          <w:p>
            <w:pPr>
              <w:pStyle w:val="30"/>
              <w:bidi w:val="0"/>
              <w:rPr>
                <w:rFonts w:hint="eastAsia"/>
              </w:rPr>
            </w:pPr>
            <w:r>
              <w:t>潮湿气候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56" w:type="dxa"/>
            <w:vMerge w:val="restart"/>
            <w:noWrap w:val="0"/>
            <w:vAlign w:val="center"/>
          </w:tcPr>
          <w:p>
            <w:pPr>
              <w:pStyle w:val="30"/>
              <w:bidi w:val="0"/>
              <w:rPr>
                <w:rFonts w:hint="eastAsia"/>
              </w:rPr>
            </w:pPr>
            <w:r>
              <w:t>是否考虑地形</w:t>
            </w:r>
          </w:p>
        </w:tc>
        <w:tc>
          <w:tcPr>
            <w:tcW w:w="3816" w:type="dxa"/>
            <w:noWrap w:val="0"/>
            <w:vAlign w:val="center"/>
          </w:tcPr>
          <w:p>
            <w:pPr>
              <w:pStyle w:val="30"/>
              <w:bidi w:val="0"/>
              <w:rPr>
                <w:rFonts w:hint="eastAsia"/>
              </w:rPr>
            </w:pPr>
            <w:r>
              <w:t>考虑地形</w:t>
            </w:r>
          </w:p>
        </w:tc>
        <w:tc>
          <w:tcPr>
            <w:tcW w:w="2886" w:type="dxa"/>
            <w:noWrap w:val="0"/>
            <w:vAlign w:val="center"/>
          </w:tcPr>
          <w:p>
            <w:pPr>
              <w:pStyle w:val="30"/>
              <w:bidi w:val="0"/>
              <w:rPr>
                <w:rFonts w:hint="eastAsia"/>
              </w:rPr>
            </w:pPr>
            <w: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56" w:type="dxa"/>
            <w:vMerge w:val="continue"/>
            <w:noWrap w:val="0"/>
            <w:vAlign w:val="center"/>
          </w:tcPr>
          <w:p>
            <w:pPr>
              <w:pStyle w:val="30"/>
              <w:bidi w:val="0"/>
              <w:rPr>
                <w:rFonts w:hint="eastAsia"/>
              </w:rPr>
            </w:pPr>
          </w:p>
        </w:tc>
        <w:tc>
          <w:tcPr>
            <w:tcW w:w="3816" w:type="dxa"/>
            <w:noWrap w:val="0"/>
            <w:vAlign w:val="center"/>
          </w:tcPr>
          <w:p>
            <w:pPr>
              <w:pStyle w:val="30"/>
              <w:bidi w:val="0"/>
              <w:rPr>
                <w:rFonts w:hint="eastAsia"/>
              </w:rPr>
            </w:pPr>
            <w:r>
              <w:t>地形数据分辨率/m</w:t>
            </w:r>
          </w:p>
        </w:tc>
        <w:tc>
          <w:tcPr>
            <w:tcW w:w="2886" w:type="dxa"/>
            <w:noWrap w:val="0"/>
            <w:vAlign w:val="center"/>
          </w:tcPr>
          <w:p>
            <w:pPr>
              <w:pStyle w:val="30"/>
              <w:bidi w:val="0"/>
              <w:rPr>
                <w:rFonts w:hint="eastAsia"/>
              </w:rPr>
            </w:pPr>
            <w:r>
              <w:rPr>
                <w:rFonts w:hint="eastAsia"/>
              </w:rPr>
              <w:t>9</w:t>
            </w:r>
            <w: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56" w:type="dxa"/>
            <w:vMerge w:val="restart"/>
            <w:noWrap w:val="0"/>
            <w:vAlign w:val="center"/>
          </w:tcPr>
          <w:p>
            <w:pPr>
              <w:pStyle w:val="30"/>
              <w:bidi w:val="0"/>
              <w:rPr>
                <w:rFonts w:hint="eastAsia"/>
              </w:rPr>
            </w:pPr>
            <w:r>
              <w:t>是否考虑海岸线 熏烟</w:t>
            </w:r>
          </w:p>
        </w:tc>
        <w:tc>
          <w:tcPr>
            <w:tcW w:w="3816" w:type="dxa"/>
            <w:noWrap w:val="0"/>
            <w:vAlign w:val="center"/>
          </w:tcPr>
          <w:p>
            <w:pPr>
              <w:pStyle w:val="30"/>
              <w:bidi w:val="0"/>
              <w:rPr>
                <w:rFonts w:hint="eastAsia"/>
              </w:rPr>
            </w:pPr>
            <w:r>
              <w:t>考虑岸线熏烟</w:t>
            </w:r>
          </w:p>
        </w:tc>
        <w:tc>
          <w:tcPr>
            <w:tcW w:w="2886" w:type="dxa"/>
            <w:noWrap w:val="0"/>
            <w:vAlign w:val="center"/>
          </w:tcPr>
          <w:p>
            <w:pPr>
              <w:pStyle w:val="30"/>
              <w:bidi w:val="0"/>
              <w:rPr>
                <w:rFonts w:hint="eastAsia"/>
              </w:rPr>
            </w:pPr>
            <w: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56" w:type="dxa"/>
            <w:vMerge w:val="continue"/>
            <w:noWrap w:val="0"/>
            <w:vAlign w:val="center"/>
          </w:tcPr>
          <w:p>
            <w:pPr>
              <w:pStyle w:val="30"/>
              <w:bidi w:val="0"/>
              <w:rPr>
                <w:rFonts w:hint="eastAsia"/>
              </w:rPr>
            </w:pPr>
          </w:p>
        </w:tc>
        <w:tc>
          <w:tcPr>
            <w:tcW w:w="3816" w:type="dxa"/>
            <w:noWrap w:val="0"/>
            <w:vAlign w:val="center"/>
          </w:tcPr>
          <w:p>
            <w:pPr>
              <w:pStyle w:val="30"/>
              <w:bidi w:val="0"/>
              <w:rPr>
                <w:rFonts w:hint="eastAsia"/>
              </w:rPr>
            </w:pPr>
            <w:r>
              <w:t>岸线距离/km</w:t>
            </w:r>
          </w:p>
        </w:tc>
        <w:tc>
          <w:tcPr>
            <w:tcW w:w="2886" w:type="dxa"/>
            <w:noWrap w:val="0"/>
            <w:vAlign w:val="center"/>
          </w:tcPr>
          <w:p>
            <w:pPr>
              <w:pStyle w:val="30"/>
              <w:bidi w:val="0"/>
              <w:rPr>
                <w:rFonts w:hint="eastAsia"/>
              </w:rPr>
            </w:pPr>
            <w:r>
              <w:rPr>
                <w:rFonts w:hint="eastAsi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56" w:type="dxa"/>
            <w:vMerge w:val="continue"/>
            <w:noWrap w:val="0"/>
            <w:vAlign w:val="center"/>
          </w:tcPr>
          <w:p>
            <w:pPr>
              <w:pStyle w:val="30"/>
              <w:bidi w:val="0"/>
              <w:rPr>
                <w:rFonts w:hint="eastAsia"/>
              </w:rPr>
            </w:pPr>
          </w:p>
        </w:tc>
        <w:tc>
          <w:tcPr>
            <w:tcW w:w="3816" w:type="dxa"/>
            <w:noWrap w:val="0"/>
            <w:vAlign w:val="center"/>
          </w:tcPr>
          <w:p>
            <w:pPr>
              <w:pStyle w:val="30"/>
              <w:bidi w:val="0"/>
              <w:rPr>
                <w:rFonts w:hint="eastAsia"/>
              </w:rPr>
            </w:pPr>
            <w:r>
              <w:t>岸线方向/°</w:t>
            </w:r>
          </w:p>
        </w:tc>
        <w:tc>
          <w:tcPr>
            <w:tcW w:w="2886" w:type="dxa"/>
            <w:noWrap w:val="0"/>
            <w:vAlign w:val="center"/>
          </w:tcPr>
          <w:p>
            <w:pPr>
              <w:pStyle w:val="30"/>
              <w:bidi w:val="0"/>
              <w:rPr>
                <w:rFonts w:hint="eastAsia"/>
              </w:rPr>
            </w:pPr>
            <w:r>
              <w:rPr>
                <w:rFonts w:hint="eastAsia"/>
              </w:rPr>
              <w:t>/</w:t>
            </w:r>
          </w:p>
        </w:tc>
      </w:tr>
    </w:tbl>
    <w:p>
      <w:pPr>
        <w:autoSpaceDE w:val="0"/>
        <w:autoSpaceDN w:val="0"/>
        <w:spacing w:line="360" w:lineRule="auto"/>
        <w:ind w:firstLine="480" w:firstLineChars="200"/>
        <w:jc w:val="left"/>
        <w:rPr>
          <w:bCs/>
          <w:sz w:val="24"/>
          <w:lang w:bidi="ar"/>
        </w:rPr>
      </w:pPr>
      <w:r>
        <w:rPr>
          <w:sz w:val="24"/>
        </w:rPr>
        <w:fldChar w:fldCharType="begin"/>
      </w:r>
      <w:r>
        <w:rPr>
          <w:sz w:val="24"/>
        </w:rPr>
        <w:instrText xml:space="preserve"> </w:instrText>
      </w:r>
      <w:r>
        <w:rPr>
          <w:rFonts w:hint="eastAsia"/>
          <w:sz w:val="24"/>
        </w:rPr>
        <w:instrText xml:space="preserve">= 2 \* GB3</w:instrText>
      </w:r>
      <w:r>
        <w:rPr>
          <w:sz w:val="24"/>
        </w:rPr>
        <w:instrText xml:space="preserve"> </w:instrText>
      </w:r>
      <w:r>
        <w:rPr>
          <w:sz w:val="24"/>
        </w:rPr>
        <w:fldChar w:fldCharType="separate"/>
      </w:r>
      <w:r>
        <w:rPr>
          <w:rFonts w:hint="eastAsia"/>
          <w:sz w:val="24"/>
        </w:rPr>
        <w:t>②</w:t>
      </w:r>
      <w:r>
        <w:rPr>
          <w:sz w:val="24"/>
        </w:rPr>
        <w:fldChar w:fldCharType="end"/>
      </w:r>
      <w:r>
        <w:rPr>
          <w:sz w:val="24"/>
        </w:rPr>
        <w:t>污染源清单</w:t>
      </w:r>
    </w:p>
    <w:p>
      <w:pPr>
        <w:bidi w:val="0"/>
      </w:pPr>
      <w:r>
        <w:t>项目污染源参数见</w:t>
      </w:r>
      <w:r>
        <w:rPr>
          <w:rFonts w:hint="eastAsia"/>
          <w:lang w:eastAsia="zh-CN"/>
        </w:rPr>
        <w:t>下</w:t>
      </w:r>
      <w:r>
        <w:t>表所示：</w:t>
      </w:r>
    </w:p>
    <w:p>
      <w:pPr>
        <w:pStyle w:val="29"/>
        <w:bidi w:val="0"/>
      </w:pPr>
      <w:r>
        <w:t>表</w:t>
      </w:r>
      <w:r>
        <w:rPr>
          <w:rFonts w:hint="eastAsia"/>
          <w:lang w:val="en-US" w:eastAsia="zh-CN"/>
        </w:rPr>
        <w:t>6.1-3</w:t>
      </w:r>
      <w:r>
        <w:t xml:space="preserve">  项目无组织面源参数清单一览表</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54"/>
        <w:gridCol w:w="567"/>
        <w:gridCol w:w="567"/>
        <w:gridCol w:w="708"/>
        <w:gridCol w:w="709"/>
        <w:gridCol w:w="851"/>
        <w:gridCol w:w="992"/>
        <w:gridCol w:w="850"/>
        <w:gridCol w:w="709"/>
        <w:gridCol w:w="17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954" w:type="dxa"/>
            <w:vMerge w:val="restart"/>
            <w:tcBorders>
              <w:right w:val="single" w:color="auto" w:sz="6" w:space="0"/>
            </w:tcBorders>
            <w:noWrap w:val="0"/>
            <w:vAlign w:val="center"/>
          </w:tcPr>
          <w:p>
            <w:pPr>
              <w:pStyle w:val="30"/>
              <w:bidi w:val="0"/>
              <w:rPr>
                <w:rFonts w:hint="eastAsia"/>
              </w:rPr>
            </w:pPr>
            <w:r>
              <w:rPr>
                <w:rFonts w:hint="eastAsia"/>
              </w:rPr>
              <w:t>名称</w:t>
            </w:r>
          </w:p>
        </w:tc>
        <w:tc>
          <w:tcPr>
            <w:tcW w:w="1134" w:type="dxa"/>
            <w:gridSpan w:val="2"/>
            <w:tcBorders>
              <w:top w:val="single" w:color="auto" w:sz="12" w:space="0"/>
              <w:left w:val="single" w:color="auto" w:sz="6" w:space="0"/>
              <w:bottom w:val="single" w:color="auto" w:sz="6" w:space="0"/>
            </w:tcBorders>
            <w:noWrap w:val="0"/>
            <w:vAlign w:val="center"/>
          </w:tcPr>
          <w:p>
            <w:pPr>
              <w:pStyle w:val="30"/>
              <w:bidi w:val="0"/>
              <w:rPr>
                <w:rFonts w:hint="eastAsia"/>
              </w:rPr>
            </w:pPr>
            <w:r>
              <w:rPr>
                <w:rFonts w:hint="eastAsia"/>
              </w:rPr>
              <w:t>面源中心点坐标/m</w:t>
            </w:r>
          </w:p>
        </w:tc>
        <w:tc>
          <w:tcPr>
            <w:tcW w:w="708" w:type="dxa"/>
            <w:vMerge w:val="restart"/>
            <w:noWrap w:val="0"/>
            <w:vAlign w:val="center"/>
          </w:tcPr>
          <w:p>
            <w:pPr>
              <w:pStyle w:val="30"/>
              <w:bidi w:val="0"/>
              <w:rPr>
                <w:rFonts w:hint="eastAsia"/>
              </w:rPr>
            </w:pPr>
            <w:r>
              <w:t>面源长度/m</w:t>
            </w:r>
          </w:p>
        </w:tc>
        <w:tc>
          <w:tcPr>
            <w:tcW w:w="709" w:type="dxa"/>
            <w:vMerge w:val="restart"/>
            <w:noWrap w:val="0"/>
            <w:vAlign w:val="center"/>
          </w:tcPr>
          <w:p>
            <w:pPr>
              <w:pStyle w:val="30"/>
              <w:bidi w:val="0"/>
              <w:rPr>
                <w:rFonts w:hint="eastAsia"/>
              </w:rPr>
            </w:pPr>
            <w:r>
              <w:t>面源宽度/m</w:t>
            </w:r>
          </w:p>
        </w:tc>
        <w:tc>
          <w:tcPr>
            <w:tcW w:w="851" w:type="dxa"/>
            <w:vMerge w:val="restart"/>
            <w:noWrap w:val="0"/>
            <w:vAlign w:val="center"/>
          </w:tcPr>
          <w:p>
            <w:pPr>
              <w:pStyle w:val="30"/>
              <w:bidi w:val="0"/>
              <w:rPr>
                <w:rFonts w:hint="eastAsia"/>
              </w:rPr>
            </w:pPr>
            <w:r>
              <w:t>与正北向夹角/°</w:t>
            </w:r>
          </w:p>
        </w:tc>
        <w:tc>
          <w:tcPr>
            <w:tcW w:w="992" w:type="dxa"/>
            <w:vMerge w:val="restart"/>
            <w:noWrap w:val="0"/>
            <w:vAlign w:val="center"/>
          </w:tcPr>
          <w:p>
            <w:pPr>
              <w:pStyle w:val="30"/>
              <w:bidi w:val="0"/>
              <w:rPr>
                <w:rFonts w:hint="eastAsia"/>
              </w:rPr>
            </w:pPr>
            <w:r>
              <w:t>面源有效排放高度/m</w:t>
            </w:r>
          </w:p>
        </w:tc>
        <w:tc>
          <w:tcPr>
            <w:tcW w:w="850" w:type="dxa"/>
            <w:vMerge w:val="restart"/>
            <w:noWrap w:val="0"/>
            <w:vAlign w:val="center"/>
          </w:tcPr>
          <w:p>
            <w:pPr>
              <w:pStyle w:val="30"/>
              <w:bidi w:val="0"/>
              <w:rPr>
                <w:rFonts w:hint="eastAsia"/>
              </w:rPr>
            </w:pPr>
            <w:r>
              <w:t>年排放小时数/h</w:t>
            </w:r>
          </w:p>
        </w:tc>
        <w:tc>
          <w:tcPr>
            <w:tcW w:w="709" w:type="dxa"/>
            <w:vMerge w:val="restart"/>
            <w:noWrap w:val="0"/>
            <w:vAlign w:val="center"/>
          </w:tcPr>
          <w:p>
            <w:pPr>
              <w:pStyle w:val="30"/>
              <w:bidi w:val="0"/>
              <w:rPr>
                <w:rFonts w:hint="eastAsia"/>
              </w:rPr>
            </w:pPr>
            <w:r>
              <w:t>排放工况</w:t>
            </w:r>
          </w:p>
        </w:tc>
        <w:tc>
          <w:tcPr>
            <w:tcW w:w="1751" w:type="dxa"/>
            <w:tcBorders>
              <w:bottom w:val="single" w:color="auto" w:sz="6" w:space="0"/>
            </w:tcBorders>
            <w:noWrap w:val="0"/>
            <w:vAlign w:val="center"/>
          </w:tcPr>
          <w:p>
            <w:pPr>
              <w:pStyle w:val="30"/>
              <w:bidi w:val="0"/>
              <w:rPr>
                <w:rFonts w:hint="eastAsia"/>
              </w:rPr>
            </w:pPr>
            <w:r>
              <w:t>污染物排放速率/（kg/h)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 w:hRule="atLeast"/>
        </w:trPr>
        <w:tc>
          <w:tcPr>
            <w:tcW w:w="954" w:type="dxa"/>
            <w:vMerge w:val="continue"/>
            <w:tcBorders>
              <w:right w:val="single" w:color="auto" w:sz="6" w:space="0"/>
            </w:tcBorders>
            <w:noWrap w:val="0"/>
            <w:vAlign w:val="center"/>
          </w:tcPr>
          <w:p>
            <w:pPr>
              <w:pStyle w:val="30"/>
              <w:bidi w:val="0"/>
              <w:rPr>
                <w:rFonts w:hint="eastAsia"/>
              </w:rPr>
            </w:pPr>
          </w:p>
        </w:tc>
        <w:tc>
          <w:tcPr>
            <w:tcW w:w="567" w:type="dxa"/>
            <w:tcBorders>
              <w:top w:val="single" w:color="auto" w:sz="6" w:space="0"/>
              <w:left w:val="single" w:color="auto" w:sz="6" w:space="0"/>
              <w:bottom w:val="single" w:color="auto" w:sz="4" w:space="0"/>
            </w:tcBorders>
            <w:noWrap w:val="0"/>
            <w:vAlign w:val="center"/>
          </w:tcPr>
          <w:p>
            <w:pPr>
              <w:pStyle w:val="30"/>
              <w:bidi w:val="0"/>
              <w:rPr>
                <w:rFonts w:hint="eastAsia"/>
              </w:rPr>
            </w:pPr>
            <w:r>
              <w:t>X</w:t>
            </w:r>
          </w:p>
        </w:tc>
        <w:tc>
          <w:tcPr>
            <w:tcW w:w="567" w:type="dxa"/>
            <w:tcBorders>
              <w:top w:val="single" w:color="auto" w:sz="6" w:space="0"/>
              <w:left w:val="single" w:color="auto" w:sz="6" w:space="0"/>
              <w:bottom w:val="single" w:color="auto" w:sz="4" w:space="0"/>
            </w:tcBorders>
            <w:noWrap w:val="0"/>
            <w:vAlign w:val="center"/>
          </w:tcPr>
          <w:p>
            <w:pPr>
              <w:pStyle w:val="30"/>
              <w:bidi w:val="0"/>
              <w:rPr>
                <w:rFonts w:hint="eastAsia"/>
              </w:rPr>
            </w:pPr>
            <w:r>
              <w:rPr>
                <w:rFonts w:hint="eastAsia"/>
              </w:rPr>
              <w:t>Y</w:t>
            </w:r>
          </w:p>
        </w:tc>
        <w:tc>
          <w:tcPr>
            <w:tcW w:w="708" w:type="dxa"/>
            <w:vMerge w:val="continue"/>
            <w:noWrap w:val="0"/>
            <w:vAlign w:val="center"/>
          </w:tcPr>
          <w:p>
            <w:pPr>
              <w:pStyle w:val="30"/>
              <w:bidi w:val="0"/>
            </w:pPr>
          </w:p>
        </w:tc>
        <w:tc>
          <w:tcPr>
            <w:tcW w:w="709" w:type="dxa"/>
            <w:vMerge w:val="continue"/>
            <w:noWrap w:val="0"/>
            <w:vAlign w:val="center"/>
          </w:tcPr>
          <w:p>
            <w:pPr>
              <w:pStyle w:val="30"/>
              <w:bidi w:val="0"/>
            </w:pPr>
          </w:p>
        </w:tc>
        <w:tc>
          <w:tcPr>
            <w:tcW w:w="851" w:type="dxa"/>
            <w:vMerge w:val="continue"/>
            <w:noWrap w:val="0"/>
            <w:vAlign w:val="center"/>
          </w:tcPr>
          <w:p>
            <w:pPr>
              <w:pStyle w:val="30"/>
              <w:bidi w:val="0"/>
            </w:pPr>
          </w:p>
        </w:tc>
        <w:tc>
          <w:tcPr>
            <w:tcW w:w="992" w:type="dxa"/>
            <w:vMerge w:val="continue"/>
            <w:noWrap w:val="0"/>
            <w:vAlign w:val="center"/>
          </w:tcPr>
          <w:p>
            <w:pPr>
              <w:pStyle w:val="30"/>
              <w:bidi w:val="0"/>
            </w:pPr>
          </w:p>
        </w:tc>
        <w:tc>
          <w:tcPr>
            <w:tcW w:w="850" w:type="dxa"/>
            <w:vMerge w:val="continue"/>
            <w:noWrap w:val="0"/>
            <w:vAlign w:val="center"/>
          </w:tcPr>
          <w:p>
            <w:pPr>
              <w:pStyle w:val="30"/>
              <w:bidi w:val="0"/>
            </w:pPr>
          </w:p>
        </w:tc>
        <w:tc>
          <w:tcPr>
            <w:tcW w:w="709" w:type="dxa"/>
            <w:vMerge w:val="continue"/>
            <w:noWrap w:val="0"/>
            <w:vAlign w:val="center"/>
          </w:tcPr>
          <w:p>
            <w:pPr>
              <w:pStyle w:val="30"/>
              <w:bidi w:val="0"/>
            </w:pPr>
          </w:p>
        </w:tc>
        <w:tc>
          <w:tcPr>
            <w:tcW w:w="1751" w:type="dxa"/>
            <w:tcBorders>
              <w:top w:val="single" w:color="auto" w:sz="6" w:space="0"/>
            </w:tcBorders>
            <w:noWrap w:val="0"/>
            <w:vAlign w:val="center"/>
          </w:tcPr>
          <w:p>
            <w:pPr>
              <w:pStyle w:val="30"/>
              <w:bidi w:val="0"/>
              <w:rPr>
                <w:rFonts w:hint="default"/>
                <w:lang w:val="en-US"/>
              </w:rPr>
            </w:pPr>
            <w:r>
              <w:rPr>
                <w:rFonts w:hint="eastAsia"/>
                <w:lang w:val="en-US" w:eastAsia="zh-CN"/>
              </w:rPr>
              <w:t>TSP</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54" w:type="dxa"/>
            <w:noWrap w:val="0"/>
            <w:vAlign w:val="center"/>
          </w:tcPr>
          <w:p>
            <w:pPr>
              <w:pStyle w:val="30"/>
              <w:bidi w:val="0"/>
              <w:rPr>
                <w:rFonts w:hint="eastAsia"/>
              </w:rPr>
            </w:pPr>
            <w:r>
              <w:rPr>
                <w:rFonts w:hint="eastAsia"/>
                <w:lang w:eastAsia="zh-CN"/>
              </w:rPr>
              <w:t>场</w:t>
            </w:r>
            <w:r>
              <w:rPr>
                <w:rFonts w:hint="eastAsia"/>
              </w:rPr>
              <w:t>区无组织粉尘</w:t>
            </w:r>
          </w:p>
        </w:tc>
        <w:tc>
          <w:tcPr>
            <w:tcW w:w="567" w:type="dxa"/>
            <w:tcBorders>
              <w:top w:val="single" w:color="auto" w:sz="4" w:space="0"/>
              <w:right w:val="single" w:color="auto" w:sz="6" w:space="0"/>
            </w:tcBorders>
            <w:noWrap w:val="0"/>
            <w:vAlign w:val="center"/>
          </w:tcPr>
          <w:p>
            <w:pPr>
              <w:pStyle w:val="30"/>
              <w:bidi w:val="0"/>
              <w:rPr>
                <w:rFonts w:hint="eastAsia"/>
              </w:rPr>
            </w:pPr>
            <w:r>
              <w:rPr>
                <w:rFonts w:hint="eastAsia"/>
              </w:rPr>
              <w:t>0</w:t>
            </w:r>
          </w:p>
        </w:tc>
        <w:tc>
          <w:tcPr>
            <w:tcW w:w="567" w:type="dxa"/>
            <w:tcBorders>
              <w:top w:val="single" w:color="auto" w:sz="4" w:space="0"/>
              <w:left w:val="single" w:color="auto" w:sz="6" w:space="0"/>
            </w:tcBorders>
            <w:noWrap w:val="0"/>
            <w:vAlign w:val="center"/>
          </w:tcPr>
          <w:p>
            <w:pPr>
              <w:pStyle w:val="30"/>
              <w:bidi w:val="0"/>
              <w:rPr>
                <w:rFonts w:hint="eastAsia"/>
              </w:rPr>
            </w:pPr>
            <w:r>
              <w:rPr>
                <w:rFonts w:hint="eastAsia"/>
              </w:rPr>
              <w:t>0</w:t>
            </w:r>
          </w:p>
        </w:tc>
        <w:tc>
          <w:tcPr>
            <w:tcW w:w="708" w:type="dxa"/>
            <w:noWrap w:val="0"/>
            <w:vAlign w:val="center"/>
          </w:tcPr>
          <w:p>
            <w:pPr>
              <w:pStyle w:val="30"/>
              <w:bidi w:val="0"/>
              <w:rPr>
                <w:rFonts w:hint="default" w:eastAsia="宋体"/>
                <w:lang w:val="en-US" w:eastAsia="zh-CN"/>
              </w:rPr>
            </w:pPr>
            <w:r>
              <w:rPr>
                <w:rFonts w:hint="eastAsia"/>
                <w:lang w:val="en-US" w:eastAsia="zh-CN"/>
              </w:rPr>
              <w:t>200</w:t>
            </w:r>
          </w:p>
        </w:tc>
        <w:tc>
          <w:tcPr>
            <w:tcW w:w="709" w:type="dxa"/>
            <w:noWrap w:val="0"/>
            <w:vAlign w:val="center"/>
          </w:tcPr>
          <w:p>
            <w:pPr>
              <w:pStyle w:val="30"/>
              <w:bidi w:val="0"/>
              <w:rPr>
                <w:rFonts w:hint="eastAsia"/>
              </w:rPr>
            </w:pPr>
            <w:r>
              <w:rPr>
                <w:rFonts w:hint="eastAsia"/>
                <w:lang w:val="en-US" w:eastAsia="zh-CN"/>
              </w:rPr>
              <w:t>100</w:t>
            </w:r>
          </w:p>
        </w:tc>
        <w:tc>
          <w:tcPr>
            <w:tcW w:w="851" w:type="dxa"/>
            <w:noWrap w:val="0"/>
            <w:vAlign w:val="center"/>
          </w:tcPr>
          <w:p>
            <w:pPr>
              <w:pStyle w:val="30"/>
              <w:bidi w:val="0"/>
              <w:rPr>
                <w:rFonts w:hint="eastAsia"/>
              </w:rPr>
            </w:pPr>
            <w:r>
              <w:t>0</w:t>
            </w:r>
          </w:p>
        </w:tc>
        <w:tc>
          <w:tcPr>
            <w:tcW w:w="992" w:type="dxa"/>
            <w:noWrap w:val="0"/>
            <w:vAlign w:val="center"/>
          </w:tcPr>
          <w:p>
            <w:pPr>
              <w:pStyle w:val="30"/>
              <w:bidi w:val="0"/>
              <w:rPr>
                <w:rFonts w:hint="eastAsia" w:eastAsia="宋体"/>
                <w:lang w:eastAsia="zh-CN"/>
              </w:rPr>
            </w:pPr>
            <w:r>
              <w:rPr>
                <w:rFonts w:hint="eastAsia"/>
                <w:lang w:val="en-US" w:eastAsia="zh-CN"/>
              </w:rPr>
              <w:t>2</w:t>
            </w:r>
          </w:p>
        </w:tc>
        <w:tc>
          <w:tcPr>
            <w:tcW w:w="850" w:type="dxa"/>
            <w:noWrap w:val="0"/>
            <w:vAlign w:val="center"/>
          </w:tcPr>
          <w:p>
            <w:pPr>
              <w:pStyle w:val="30"/>
              <w:bidi w:val="0"/>
              <w:rPr>
                <w:rFonts w:hint="default" w:eastAsia="宋体"/>
                <w:lang w:val="en-US" w:eastAsia="zh-CN"/>
              </w:rPr>
            </w:pPr>
            <w:r>
              <w:rPr>
                <w:rFonts w:hint="eastAsia"/>
                <w:lang w:val="en-US" w:eastAsia="zh-CN"/>
              </w:rPr>
              <w:t>8760</w:t>
            </w:r>
          </w:p>
        </w:tc>
        <w:tc>
          <w:tcPr>
            <w:tcW w:w="709" w:type="dxa"/>
            <w:noWrap w:val="0"/>
            <w:vAlign w:val="center"/>
          </w:tcPr>
          <w:p>
            <w:pPr>
              <w:pStyle w:val="30"/>
              <w:bidi w:val="0"/>
              <w:rPr>
                <w:rFonts w:hint="eastAsia"/>
              </w:rPr>
            </w:pPr>
            <w:r>
              <w:rPr>
                <w:rFonts w:hint="eastAsia"/>
              </w:rPr>
              <w:t>正常排放</w:t>
            </w:r>
          </w:p>
        </w:tc>
        <w:tc>
          <w:tcPr>
            <w:tcW w:w="1751" w:type="dxa"/>
            <w:noWrap w:val="0"/>
            <w:vAlign w:val="center"/>
          </w:tcPr>
          <w:p>
            <w:pPr>
              <w:pStyle w:val="30"/>
              <w:bidi w:val="0"/>
              <w:rPr>
                <w:rFonts w:hint="default" w:eastAsia="宋体"/>
                <w:lang w:val="en-US" w:eastAsia="zh-CN"/>
              </w:rPr>
            </w:pPr>
            <w:r>
              <w:rPr>
                <w:rFonts w:hint="eastAsia"/>
                <w:lang w:val="en-US" w:eastAsia="zh-CN"/>
              </w:rPr>
              <w:t>0.0183</w:t>
            </w:r>
          </w:p>
        </w:tc>
      </w:tr>
    </w:tbl>
    <w:p>
      <w:pPr>
        <w:pStyle w:val="29"/>
        <w:bidi w:val="0"/>
      </w:pPr>
      <w:r>
        <w:t>表</w:t>
      </w:r>
      <w:r>
        <w:rPr>
          <w:rFonts w:hint="eastAsia"/>
          <w:lang w:val="en-US" w:eastAsia="zh-CN"/>
        </w:rPr>
        <w:t>6.1-4</w:t>
      </w:r>
      <w:r>
        <w:t xml:space="preserve">  项目</w:t>
      </w:r>
      <w:r>
        <w:rPr>
          <w:rFonts w:hint="eastAsia"/>
          <w:lang w:eastAsia="zh-CN"/>
        </w:rPr>
        <w:t>有</w:t>
      </w:r>
      <w:r>
        <w:t>组织</w:t>
      </w:r>
      <w:r>
        <w:rPr>
          <w:rFonts w:hint="eastAsia"/>
          <w:lang w:eastAsia="zh-CN"/>
        </w:rPr>
        <w:t>点</w:t>
      </w:r>
      <w:r>
        <w:t>源参数清单一览表</w:t>
      </w:r>
    </w:p>
    <w:tbl>
      <w:tblPr>
        <w:tblStyle w:val="21"/>
        <w:tblW w:w="8762" w:type="dxa"/>
        <w:tblInd w:w="-8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28" w:type="dxa"/>
          <w:bottom w:w="0" w:type="dxa"/>
          <w:right w:w="28" w:type="dxa"/>
        </w:tblCellMar>
      </w:tblPr>
      <w:tblGrid>
        <w:gridCol w:w="447"/>
        <w:gridCol w:w="721"/>
        <w:gridCol w:w="695"/>
        <w:gridCol w:w="754"/>
        <w:gridCol w:w="905"/>
        <w:gridCol w:w="658"/>
        <w:gridCol w:w="632"/>
        <w:gridCol w:w="986"/>
        <w:gridCol w:w="810"/>
        <w:gridCol w:w="691"/>
        <w:gridCol w:w="146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3" w:hRule="atLeast"/>
        </w:trPr>
        <w:tc>
          <w:tcPr>
            <w:tcW w:w="255" w:type="pct"/>
            <w:vMerge w:val="restar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点源编号</w:t>
            </w:r>
          </w:p>
        </w:tc>
        <w:tc>
          <w:tcPr>
            <w:tcW w:w="411" w:type="pct"/>
            <w:vMerge w:val="restar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名称</w:t>
            </w:r>
          </w:p>
        </w:tc>
        <w:tc>
          <w:tcPr>
            <w:tcW w:w="826" w:type="pct"/>
            <w:gridSpan w:val="2"/>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排气筒底部中心坐标/m</w:t>
            </w:r>
          </w:p>
        </w:tc>
        <w:tc>
          <w:tcPr>
            <w:tcW w:w="516" w:type="pct"/>
            <w:vMerge w:val="restar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排气筒底部海拔高度/m</w:t>
            </w:r>
          </w:p>
        </w:tc>
        <w:tc>
          <w:tcPr>
            <w:tcW w:w="375" w:type="pct"/>
            <w:vMerge w:val="restar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排气筒高度/m</w:t>
            </w:r>
          </w:p>
        </w:tc>
        <w:tc>
          <w:tcPr>
            <w:tcW w:w="360" w:type="pct"/>
            <w:vMerge w:val="restar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排气筒内径/m</w:t>
            </w:r>
          </w:p>
        </w:tc>
        <w:tc>
          <w:tcPr>
            <w:tcW w:w="562" w:type="pct"/>
            <w:vMerge w:val="restar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烟气流速</w:t>
            </w:r>
          </w:p>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/m/s</w:t>
            </w:r>
          </w:p>
        </w:tc>
        <w:tc>
          <w:tcPr>
            <w:tcW w:w="462" w:type="pct"/>
            <w:vMerge w:val="restar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烟气</w:t>
            </w:r>
          </w:p>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温度/℃</w:t>
            </w:r>
          </w:p>
        </w:tc>
        <w:tc>
          <w:tcPr>
            <w:tcW w:w="394" w:type="pct"/>
            <w:vMerge w:val="restar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排放工况</w:t>
            </w:r>
          </w:p>
        </w:tc>
        <w:tc>
          <w:tcPr>
            <w:tcW w:w="834"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污染物排放速率/（kg/h）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3" w:hRule="atLeast"/>
        </w:trPr>
        <w:tc>
          <w:tcPr>
            <w:tcW w:w="255" w:type="pct"/>
            <w:vMerge w:val="continue"/>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p>
        </w:tc>
        <w:tc>
          <w:tcPr>
            <w:tcW w:w="411" w:type="pct"/>
            <w:vMerge w:val="continue"/>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p>
        </w:tc>
        <w:tc>
          <w:tcPr>
            <w:tcW w:w="396"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X</w:t>
            </w:r>
          </w:p>
        </w:tc>
        <w:tc>
          <w:tcPr>
            <w:tcW w:w="430"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Y</w:t>
            </w:r>
          </w:p>
        </w:tc>
        <w:tc>
          <w:tcPr>
            <w:tcW w:w="516" w:type="pct"/>
            <w:vMerge w:val="continue"/>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p>
        </w:tc>
        <w:tc>
          <w:tcPr>
            <w:tcW w:w="375" w:type="pct"/>
            <w:vMerge w:val="continue"/>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p>
        </w:tc>
        <w:tc>
          <w:tcPr>
            <w:tcW w:w="360" w:type="pct"/>
            <w:vMerge w:val="continue"/>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p>
        </w:tc>
        <w:tc>
          <w:tcPr>
            <w:tcW w:w="562" w:type="pct"/>
            <w:vMerge w:val="continue"/>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p>
        </w:tc>
        <w:tc>
          <w:tcPr>
            <w:tcW w:w="462" w:type="pct"/>
            <w:vMerge w:val="continue"/>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p>
        </w:tc>
        <w:tc>
          <w:tcPr>
            <w:tcW w:w="394" w:type="pct"/>
            <w:vMerge w:val="continue"/>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p>
        </w:tc>
        <w:tc>
          <w:tcPr>
            <w:tcW w:w="834" w:type="pct"/>
            <w:tcBorders>
              <w:tl2br w:val="nil"/>
              <w:tr2bl w:val="nil"/>
            </w:tcBorders>
            <w:noWrap w:val="0"/>
            <w:vAlign w:val="center"/>
          </w:tcPr>
          <w:p>
            <w:pPr>
              <w:pStyle w:val="30"/>
              <w:tabs>
                <w:tab w:val="left" w:pos="1315"/>
                <w:tab w:val="left" w:pos="2565"/>
              </w:tabs>
              <w:bidi w:val="0"/>
              <w:rPr>
                <w:rFonts w:hint="default" w:ascii="Times New Roman" w:hAnsi="Times New Roman" w:eastAsia="宋体" w:cs="Times New Roman"/>
                <w:color w:val="auto"/>
                <w:lang w:val="en-US" w:eastAsia="zh-CN"/>
              </w:rPr>
            </w:pPr>
            <w:r>
              <w:rPr>
                <w:rFonts w:hint="eastAsia" w:ascii="Times New Roman" w:hAnsi="Times New Roman" w:cs="Times New Roman"/>
                <w:color w:val="auto"/>
                <w:lang w:val="en-US" w:eastAsia="zh-CN"/>
              </w:rPr>
              <w:t>PM</w:t>
            </w:r>
            <w:r>
              <w:rPr>
                <w:rFonts w:hint="eastAsia" w:ascii="Times New Roman" w:hAnsi="Times New Roman" w:cs="Times New Roman"/>
                <w:color w:val="auto"/>
                <w:vertAlign w:val="subscript"/>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23" w:hRule="atLeast"/>
        </w:trPr>
        <w:tc>
          <w:tcPr>
            <w:tcW w:w="255"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lang w:val="en-US" w:eastAsia="zh-CN"/>
              </w:rPr>
              <w:t>3</w:t>
            </w:r>
            <w:r>
              <w:rPr>
                <w:rFonts w:hint="default" w:ascii="Times New Roman" w:hAnsi="Times New Roman" w:cs="Times New Roman"/>
                <w:color w:val="auto"/>
              </w:rPr>
              <w:t>#</w:t>
            </w:r>
          </w:p>
        </w:tc>
        <w:tc>
          <w:tcPr>
            <w:tcW w:w="411"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排气筒</w:t>
            </w:r>
          </w:p>
        </w:tc>
        <w:tc>
          <w:tcPr>
            <w:tcW w:w="396"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0</w:t>
            </w:r>
          </w:p>
        </w:tc>
        <w:tc>
          <w:tcPr>
            <w:tcW w:w="430"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-70</w:t>
            </w:r>
          </w:p>
        </w:tc>
        <w:tc>
          <w:tcPr>
            <w:tcW w:w="516"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63.47</w:t>
            </w:r>
          </w:p>
        </w:tc>
        <w:tc>
          <w:tcPr>
            <w:tcW w:w="375"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rPr>
            </w:pPr>
            <w:r>
              <w:rPr>
                <w:rFonts w:hint="default" w:ascii="Times New Roman" w:hAnsi="Times New Roman" w:cs="Times New Roman"/>
                <w:color w:val="auto"/>
              </w:rPr>
              <w:t>15</w:t>
            </w:r>
          </w:p>
        </w:tc>
        <w:tc>
          <w:tcPr>
            <w:tcW w:w="360" w:type="pct"/>
            <w:tcBorders>
              <w:tl2br w:val="nil"/>
              <w:tr2bl w:val="nil"/>
            </w:tcBorders>
            <w:noWrap w:val="0"/>
            <w:vAlign w:val="center"/>
          </w:tcPr>
          <w:p>
            <w:pPr>
              <w:pStyle w:val="30"/>
              <w:tabs>
                <w:tab w:val="left" w:pos="1315"/>
                <w:tab w:val="left" w:pos="2565"/>
              </w:tabs>
              <w:bidi w:val="0"/>
              <w:rPr>
                <w:rFonts w:hint="default" w:ascii="Times New Roman" w:hAnsi="Times New Roman" w:eastAsia="宋体" w:cs="Times New Roman"/>
                <w:color w:val="auto"/>
                <w:lang w:eastAsia="zh-CN"/>
              </w:rPr>
            </w:pPr>
            <w:r>
              <w:rPr>
                <w:rFonts w:hint="default" w:ascii="Times New Roman" w:hAnsi="Times New Roman" w:cs="Times New Roman"/>
                <w:color w:val="auto"/>
              </w:rPr>
              <w:t>0.</w:t>
            </w:r>
            <w:r>
              <w:rPr>
                <w:rFonts w:hint="default" w:ascii="Times New Roman" w:hAnsi="Times New Roman" w:cs="Times New Roman"/>
                <w:color w:val="auto"/>
                <w:lang w:val="en-US" w:eastAsia="zh-CN"/>
              </w:rPr>
              <w:t>6</w:t>
            </w:r>
          </w:p>
        </w:tc>
        <w:tc>
          <w:tcPr>
            <w:tcW w:w="562"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lang w:val="en-US" w:eastAsia="zh-CN"/>
              </w:rPr>
            </w:pPr>
            <w:r>
              <w:rPr>
                <w:rFonts w:hint="default" w:ascii="Times New Roman" w:hAnsi="Times New Roman" w:cs="Times New Roman"/>
                <w:color w:val="auto"/>
                <w:lang w:val="en-US" w:eastAsia="zh-CN"/>
              </w:rPr>
              <w:t>17.16</w:t>
            </w:r>
          </w:p>
        </w:tc>
        <w:tc>
          <w:tcPr>
            <w:tcW w:w="462"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lang w:val="en-US" w:eastAsia="zh-CN"/>
              </w:rPr>
            </w:pPr>
            <w:r>
              <w:rPr>
                <w:rFonts w:hint="eastAsia" w:ascii="Times New Roman" w:hAnsi="Times New Roman" w:cs="Times New Roman"/>
                <w:color w:val="auto"/>
                <w:lang w:val="en-US" w:eastAsia="zh-CN"/>
              </w:rPr>
              <w:t>25</w:t>
            </w:r>
          </w:p>
        </w:tc>
        <w:tc>
          <w:tcPr>
            <w:tcW w:w="394"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lang w:eastAsia="zh-CN"/>
              </w:rPr>
            </w:pPr>
            <w:r>
              <w:rPr>
                <w:rFonts w:hint="default" w:ascii="Times New Roman" w:hAnsi="Times New Roman" w:cs="Times New Roman"/>
                <w:color w:val="auto"/>
                <w:lang w:eastAsia="zh-CN"/>
              </w:rPr>
              <w:t>连续</w:t>
            </w:r>
          </w:p>
        </w:tc>
        <w:tc>
          <w:tcPr>
            <w:tcW w:w="834" w:type="pct"/>
            <w:tcBorders>
              <w:tl2br w:val="nil"/>
              <w:tr2bl w:val="nil"/>
            </w:tcBorders>
            <w:noWrap w:val="0"/>
            <w:vAlign w:val="center"/>
          </w:tcPr>
          <w:p>
            <w:pPr>
              <w:pStyle w:val="30"/>
              <w:tabs>
                <w:tab w:val="left" w:pos="1315"/>
                <w:tab w:val="left" w:pos="2565"/>
              </w:tabs>
              <w:bidi w:val="0"/>
              <w:rPr>
                <w:rFonts w:hint="default" w:ascii="Times New Roman" w:hAnsi="Times New Roman" w:cs="Times New Roman"/>
                <w:color w:val="auto"/>
                <w:lang w:val="en-US" w:eastAsia="zh-CN"/>
              </w:rPr>
            </w:pPr>
            <w:r>
              <w:rPr>
                <w:rFonts w:hint="eastAsia" w:ascii="Times New Roman" w:hAnsi="Times New Roman" w:cs="Times New Roman"/>
                <w:color w:val="auto"/>
                <w:lang w:val="en-US" w:eastAsia="zh-CN"/>
              </w:rPr>
              <w:t>0.0013</w:t>
            </w:r>
          </w:p>
        </w:tc>
      </w:tr>
    </w:tbl>
    <w:p>
      <w:pPr>
        <w:autoSpaceDE w:val="0"/>
        <w:autoSpaceDN w:val="0"/>
        <w:spacing w:line="360" w:lineRule="auto"/>
        <w:ind w:firstLine="480" w:firstLineChars="200"/>
        <w:jc w:val="left"/>
        <w:rPr>
          <w:bCs/>
          <w:sz w:val="24"/>
          <w:lang w:bidi="ar"/>
        </w:rPr>
      </w:pPr>
      <w:r>
        <w:rPr>
          <w:sz w:val="24"/>
        </w:rPr>
        <w:fldChar w:fldCharType="begin"/>
      </w:r>
      <w:r>
        <w:rPr>
          <w:sz w:val="24"/>
        </w:rPr>
        <w:instrText xml:space="preserve"> = 3 \* GB3 </w:instrText>
      </w:r>
      <w:r>
        <w:rPr>
          <w:sz w:val="24"/>
        </w:rPr>
        <w:fldChar w:fldCharType="separate"/>
      </w:r>
      <w:r>
        <w:rPr>
          <w:rFonts w:hint="eastAsia" w:ascii="宋体" w:hAnsi="宋体" w:cs="宋体"/>
          <w:sz w:val="24"/>
        </w:rPr>
        <w:t>③</w:t>
      </w:r>
      <w:r>
        <w:rPr>
          <w:sz w:val="24"/>
        </w:rPr>
        <w:fldChar w:fldCharType="end"/>
      </w:r>
      <w:r>
        <w:rPr>
          <w:sz w:val="24"/>
        </w:rPr>
        <w:t>评价工作等级判定结果</w:t>
      </w:r>
    </w:p>
    <w:p>
      <w:pPr>
        <w:bidi w:val="0"/>
      </w:pPr>
      <w:r>
        <w:t>项目所有污染源的正常排放的污染物的Pmax和D10%预测结果如下：</w:t>
      </w:r>
    </w:p>
    <w:p>
      <w:pPr>
        <w:pStyle w:val="29"/>
        <w:bidi w:val="0"/>
      </w:pPr>
      <w:r>
        <w:t>表</w:t>
      </w:r>
      <w:r>
        <w:rPr>
          <w:rFonts w:hint="eastAsia"/>
          <w:lang w:val="en-US" w:eastAsia="zh-CN"/>
        </w:rPr>
        <w:t>6.1-4</w:t>
      </w:r>
      <w:r>
        <w:t xml:space="preserve">  Pmax和D10%预测和计算结果一览表</w:t>
      </w:r>
    </w:p>
    <w:tbl>
      <w:tblPr>
        <w:tblStyle w:val="21"/>
        <w:tblW w:w="865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098"/>
        <w:gridCol w:w="1646"/>
        <w:gridCol w:w="1199"/>
        <w:gridCol w:w="1124"/>
        <w:gridCol w:w="1275"/>
        <w:gridCol w:w="131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098" w:type="dxa"/>
            <w:noWrap w:val="0"/>
            <w:vAlign w:val="center"/>
          </w:tcPr>
          <w:p>
            <w:pPr>
              <w:pStyle w:val="30"/>
              <w:bidi w:val="0"/>
              <w:rPr>
                <w:rFonts w:hint="eastAsia"/>
              </w:rPr>
            </w:pPr>
            <w:r>
              <w:rPr>
                <w:rFonts w:hint="eastAsia"/>
              </w:rPr>
              <w:t>污染源名称</w:t>
            </w:r>
          </w:p>
        </w:tc>
        <w:tc>
          <w:tcPr>
            <w:tcW w:w="1646" w:type="dxa"/>
            <w:noWrap w:val="0"/>
            <w:vAlign w:val="center"/>
          </w:tcPr>
          <w:p>
            <w:pPr>
              <w:pStyle w:val="30"/>
              <w:bidi w:val="0"/>
              <w:rPr>
                <w:rFonts w:hint="eastAsia"/>
              </w:rPr>
            </w:pPr>
            <w:r>
              <w:t>评价因子</w:t>
            </w:r>
          </w:p>
        </w:tc>
        <w:tc>
          <w:tcPr>
            <w:tcW w:w="1199" w:type="dxa"/>
            <w:noWrap w:val="0"/>
            <w:vAlign w:val="center"/>
          </w:tcPr>
          <w:p>
            <w:pPr>
              <w:pStyle w:val="30"/>
              <w:bidi w:val="0"/>
              <w:rPr>
                <w:rFonts w:hint="eastAsia"/>
              </w:rPr>
            </w:pPr>
            <w:r>
              <w:t>评价标准(</w:t>
            </w:r>
            <w:r>
              <w:rPr>
                <w:rFonts w:hint="eastAsia"/>
                <w:lang w:val="en-US" w:eastAsia="zh-CN"/>
              </w:rPr>
              <w:t>m</w:t>
            </w:r>
            <w:r>
              <w:t>g/</w:t>
            </w:r>
            <w:r>
              <w:rPr>
                <w:rFonts w:hint="eastAsia"/>
                <w:lang w:eastAsia="zh-CN"/>
              </w:rPr>
              <w:t>m</w:t>
            </w:r>
            <w:r>
              <w:rPr>
                <w:rFonts w:hint="eastAsia"/>
                <w:vertAlign w:val="superscript"/>
                <w:lang w:eastAsia="zh-CN"/>
              </w:rPr>
              <w:t>3</w:t>
            </w:r>
            <w:r>
              <w:t>)</w:t>
            </w:r>
          </w:p>
        </w:tc>
        <w:tc>
          <w:tcPr>
            <w:tcW w:w="1124" w:type="dxa"/>
            <w:noWrap w:val="0"/>
            <w:vAlign w:val="center"/>
          </w:tcPr>
          <w:p>
            <w:pPr>
              <w:pStyle w:val="30"/>
              <w:bidi w:val="0"/>
            </w:pPr>
            <w:r>
              <w:t>Cmax</w:t>
            </w:r>
          </w:p>
          <w:p>
            <w:pPr>
              <w:pStyle w:val="30"/>
              <w:bidi w:val="0"/>
              <w:rPr>
                <w:rFonts w:hint="eastAsia"/>
              </w:rPr>
            </w:pPr>
            <w:r>
              <w:t>(</w:t>
            </w:r>
            <w:r>
              <w:rPr>
                <w:rFonts w:hint="eastAsia"/>
                <w:lang w:val="en-US" w:eastAsia="zh-CN"/>
              </w:rPr>
              <w:t>m</w:t>
            </w:r>
            <w:r>
              <w:t>g/</w:t>
            </w:r>
            <w:r>
              <w:rPr>
                <w:rFonts w:hint="eastAsia"/>
                <w:lang w:eastAsia="zh-CN"/>
              </w:rPr>
              <w:t>m</w:t>
            </w:r>
            <w:r>
              <w:rPr>
                <w:rFonts w:hint="eastAsia"/>
                <w:vertAlign w:val="superscript"/>
                <w:lang w:eastAsia="zh-CN"/>
              </w:rPr>
              <w:t>3</w:t>
            </w:r>
            <w:r>
              <w:t>)</w:t>
            </w:r>
          </w:p>
        </w:tc>
        <w:tc>
          <w:tcPr>
            <w:tcW w:w="1275" w:type="dxa"/>
            <w:noWrap w:val="0"/>
            <w:vAlign w:val="center"/>
          </w:tcPr>
          <w:p>
            <w:pPr>
              <w:pStyle w:val="30"/>
              <w:bidi w:val="0"/>
            </w:pPr>
            <w:r>
              <w:t>Pmax</w:t>
            </w:r>
          </w:p>
          <w:p>
            <w:pPr>
              <w:pStyle w:val="30"/>
              <w:bidi w:val="0"/>
              <w:rPr>
                <w:rFonts w:hint="eastAsia"/>
              </w:rPr>
            </w:pPr>
            <w:r>
              <w:t>(%)</w:t>
            </w:r>
          </w:p>
        </w:tc>
        <w:tc>
          <w:tcPr>
            <w:tcW w:w="1316" w:type="dxa"/>
            <w:noWrap w:val="0"/>
            <w:vAlign w:val="center"/>
          </w:tcPr>
          <w:p>
            <w:pPr>
              <w:pStyle w:val="30"/>
              <w:bidi w:val="0"/>
            </w:pPr>
            <w:r>
              <w:t>D10%</w:t>
            </w:r>
          </w:p>
          <w:p>
            <w:pPr>
              <w:pStyle w:val="30"/>
              <w:bidi w:val="0"/>
              <w:rPr>
                <w:rFonts w:hint="eastAsia"/>
              </w:rPr>
            </w:pPr>
            <w:r>
              <w:t>(m)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098" w:type="dxa"/>
            <w:noWrap w:val="0"/>
            <w:vAlign w:val="center"/>
          </w:tcPr>
          <w:p>
            <w:pPr>
              <w:pStyle w:val="30"/>
              <w:bidi w:val="0"/>
              <w:rPr>
                <w:rFonts w:hint="eastAsia"/>
              </w:rPr>
            </w:pPr>
            <w:r>
              <w:rPr>
                <w:rFonts w:hint="eastAsia"/>
              </w:rPr>
              <w:t>面源</w:t>
            </w:r>
          </w:p>
        </w:tc>
        <w:tc>
          <w:tcPr>
            <w:tcW w:w="1646" w:type="dxa"/>
            <w:noWrap w:val="0"/>
            <w:vAlign w:val="center"/>
          </w:tcPr>
          <w:p>
            <w:pPr>
              <w:pStyle w:val="30"/>
              <w:bidi w:val="0"/>
              <w:rPr>
                <w:rFonts w:hint="default"/>
                <w:lang w:val="en-US"/>
              </w:rPr>
            </w:pPr>
            <w:r>
              <w:rPr>
                <w:rFonts w:hint="eastAsia"/>
                <w:lang w:val="en-US" w:eastAsia="zh-CN"/>
              </w:rPr>
              <w:t>TSP</w:t>
            </w:r>
          </w:p>
        </w:tc>
        <w:tc>
          <w:tcPr>
            <w:tcW w:w="1199" w:type="dxa"/>
            <w:noWrap w:val="0"/>
            <w:vAlign w:val="center"/>
          </w:tcPr>
          <w:p>
            <w:pPr>
              <w:pStyle w:val="30"/>
              <w:bidi w:val="0"/>
              <w:rPr>
                <w:rFonts w:hint="default"/>
                <w:lang w:val="en-US"/>
              </w:rPr>
            </w:pPr>
            <w:r>
              <w:rPr>
                <w:rFonts w:hint="eastAsia"/>
                <w:lang w:val="en-US" w:eastAsia="zh-CN"/>
              </w:rPr>
              <w:t>0.9</w:t>
            </w:r>
          </w:p>
        </w:tc>
        <w:tc>
          <w:tcPr>
            <w:tcW w:w="1124" w:type="dxa"/>
            <w:noWrap w:val="0"/>
            <w:vAlign w:val="center"/>
          </w:tcPr>
          <w:p>
            <w:pPr>
              <w:pStyle w:val="30"/>
              <w:bidi w:val="0"/>
              <w:rPr>
                <w:rFonts w:hint="default" w:eastAsia="宋体"/>
                <w:lang w:val="en-US" w:eastAsia="zh-CN"/>
              </w:rPr>
            </w:pPr>
            <w:r>
              <w:rPr>
                <w:rFonts w:hint="eastAsia"/>
                <w:lang w:val="en-US" w:eastAsia="zh-CN"/>
              </w:rPr>
              <w:t>0.00435</w:t>
            </w:r>
          </w:p>
        </w:tc>
        <w:tc>
          <w:tcPr>
            <w:tcW w:w="1275" w:type="dxa"/>
            <w:noWrap w:val="0"/>
            <w:vAlign w:val="center"/>
          </w:tcPr>
          <w:p>
            <w:pPr>
              <w:pStyle w:val="30"/>
              <w:bidi w:val="0"/>
              <w:rPr>
                <w:rFonts w:hint="default" w:eastAsia="宋体"/>
                <w:lang w:val="en-US" w:eastAsia="zh-CN"/>
              </w:rPr>
            </w:pPr>
            <w:r>
              <w:rPr>
                <w:rFonts w:hint="eastAsia"/>
                <w:lang w:val="en-US" w:eastAsia="zh-CN"/>
              </w:rPr>
              <w:t>0.48</w:t>
            </w:r>
          </w:p>
        </w:tc>
        <w:tc>
          <w:tcPr>
            <w:tcW w:w="1316" w:type="dxa"/>
            <w:noWrap w:val="0"/>
            <w:vAlign w:val="center"/>
          </w:tcPr>
          <w:p>
            <w:pPr>
              <w:pStyle w:val="30"/>
              <w:bidi w:val="0"/>
              <w:rPr>
                <w:rFonts w:hint="eastAsia"/>
              </w:rPr>
            </w:pPr>
            <w:r>
              <w:rPr>
                <w:rFonts w:hint="eastAsia"/>
              </w:rPr>
              <w:t>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098" w:type="dxa"/>
            <w:noWrap w:val="0"/>
            <w:vAlign w:val="center"/>
          </w:tcPr>
          <w:p>
            <w:pPr>
              <w:pStyle w:val="30"/>
              <w:bidi w:val="0"/>
              <w:rPr>
                <w:rFonts w:hint="default" w:eastAsia="宋体"/>
                <w:lang w:val="en-US" w:eastAsia="zh-CN"/>
              </w:rPr>
            </w:pPr>
            <w:r>
              <w:rPr>
                <w:rFonts w:hint="eastAsia"/>
                <w:lang w:val="en-US" w:eastAsia="zh-CN"/>
              </w:rPr>
              <w:t>破碎</w:t>
            </w:r>
          </w:p>
        </w:tc>
        <w:tc>
          <w:tcPr>
            <w:tcW w:w="1646" w:type="dxa"/>
            <w:noWrap w:val="0"/>
            <w:vAlign w:val="center"/>
          </w:tcPr>
          <w:p>
            <w:pPr>
              <w:pStyle w:val="30"/>
              <w:bidi w:val="0"/>
              <w:rPr>
                <w:rFonts w:hint="default"/>
                <w:vertAlign w:val="subscript"/>
                <w:lang w:val="en-US" w:eastAsia="zh-CN"/>
              </w:rPr>
            </w:pPr>
            <w:r>
              <w:rPr>
                <w:rFonts w:hint="eastAsia"/>
                <w:lang w:val="en-US" w:eastAsia="zh-CN"/>
              </w:rPr>
              <w:t>PM</w:t>
            </w:r>
            <w:r>
              <w:rPr>
                <w:rFonts w:hint="eastAsia"/>
                <w:vertAlign w:val="subscript"/>
                <w:lang w:val="en-US" w:eastAsia="zh-CN"/>
              </w:rPr>
              <w:t>10</w:t>
            </w:r>
          </w:p>
        </w:tc>
        <w:tc>
          <w:tcPr>
            <w:tcW w:w="1199" w:type="dxa"/>
            <w:noWrap w:val="0"/>
            <w:vAlign w:val="center"/>
          </w:tcPr>
          <w:p>
            <w:pPr>
              <w:pStyle w:val="30"/>
              <w:bidi w:val="0"/>
              <w:rPr>
                <w:rFonts w:hint="default"/>
                <w:lang w:val="en-US" w:eastAsia="zh-CN"/>
              </w:rPr>
            </w:pPr>
            <w:r>
              <w:rPr>
                <w:rFonts w:hint="eastAsia"/>
                <w:lang w:val="en-US" w:eastAsia="zh-CN"/>
              </w:rPr>
              <w:t>0.15</w:t>
            </w:r>
          </w:p>
        </w:tc>
        <w:tc>
          <w:tcPr>
            <w:tcW w:w="1124" w:type="dxa"/>
            <w:noWrap w:val="0"/>
            <w:vAlign w:val="center"/>
          </w:tcPr>
          <w:p>
            <w:pPr>
              <w:pStyle w:val="30"/>
              <w:bidi w:val="0"/>
              <w:rPr>
                <w:rFonts w:hint="default" w:ascii="Times New Roman" w:hAnsi="Times New Roman" w:eastAsia="宋体" w:cstheme="minorBidi"/>
                <w:snapToGrid w:val="0"/>
                <w:sz w:val="21"/>
                <w:szCs w:val="24"/>
                <w:lang w:val="en-US" w:eastAsia="zh-CN" w:bidi="ar-SA"/>
              </w:rPr>
            </w:pPr>
            <w:r>
              <w:rPr>
                <w:rFonts w:hint="eastAsia"/>
                <w:lang w:val="en-US" w:eastAsia="zh-CN"/>
              </w:rPr>
              <w:t>0.00435</w:t>
            </w:r>
          </w:p>
        </w:tc>
        <w:tc>
          <w:tcPr>
            <w:tcW w:w="1275" w:type="dxa"/>
            <w:noWrap w:val="0"/>
            <w:vAlign w:val="center"/>
          </w:tcPr>
          <w:p>
            <w:pPr>
              <w:pStyle w:val="30"/>
              <w:bidi w:val="0"/>
              <w:rPr>
                <w:rFonts w:hint="default" w:ascii="Times New Roman" w:hAnsi="Times New Roman" w:eastAsia="宋体" w:cstheme="minorBidi"/>
                <w:snapToGrid w:val="0"/>
                <w:sz w:val="21"/>
                <w:szCs w:val="24"/>
                <w:lang w:val="en-US" w:eastAsia="zh-CN" w:bidi="ar-SA"/>
              </w:rPr>
            </w:pPr>
            <w:r>
              <w:rPr>
                <w:rFonts w:hint="eastAsia"/>
                <w:lang w:val="en-US" w:eastAsia="zh-CN"/>
              </w:rPr>
              <w:t>0.33</w:t>
            </w:r>
          </w:p>
        </w:tc>
        <w:tc>
          <w:tcPr>
            <w:tcW w:w="1316" w:type="dxa"/>
            <w:noWrap w:val="0"/>
            <w:vAlign w:val="center"/>
          </w:tcPr>
          <w:p>
            <w:pPr>
              <w:pStyle w:val="30"/>
              <w:bidi w:val="0"/>
              <w:rPr>
                <w:rFonts w:hint="eastAsia" w:ascii="Times New Roman" w:hAnsi="Times New Roman" w:eastAsia="宋体" w:cstheme="minorBidi"/>
                <w:snapToGrid w:val="0"/>
                <w:sz w:val="21"/>
                <w:szCs w:val="24"/>
                <w:lang w:val="en-US" w:eastAsia="zh-CN" w:bidi="ar-SA"/>
              </w:rPr>
            </w:pPr>
            <w:r>
              <w:rPr>
                <w:rFonts w:hint="eastAsia"/>
              </w:rPr>
              <w:t>0</w:t>
            </w:r>
          </w:p>
        </w:tc>
      </w:tr>
    </w:tbl>
    <w:p>
      <w:pPr>
        <w:bidi w:val="0"/>
      </w:pPr>
      <w:r>
        <w:t>由上表可知，项目各污染源正常排放污染物的Pmax=</w:t>
      </w:r>
      <w:r>
        <w:rPr>
          <w:rFonts w:hint="eastAsia"/>
          <w:lang w:val="en-US" w:eastAsia="zh-CN"/>
        </w:rPr>
        <w:t>0.48</w:t>
      </w:r>
      <w:r>
        <w:t>%。此外，项目不属于HJ2.2-2018中5.3.3规定的需</w:t>
      </w:r>
      <w:r>
        <w:rPr>
          <w:rFonts w:hint="eastAsia"/>
        </w:rPr>
        <w:t>遵守</w:t>
      </w:r>
      <w:r>
        <w:t>规定范围，因此确定项目大气环境影响评价工作等级为</w:t>
      </w:r>
      <w:r>
        <w:rPr>
          <w:rFonts w:hint="eastAsia"/>
          <w:lang w:eastAsia="zh-CN"/>
        </w:rPr>
        <w:t>三</w:t>
      </w:r>
      <w:r>
        <w:t>级。</w:t>
      </w:r>
    </w:p>
    <w:p>
      <w:pPr>
        <w:autoSpaceDE w:val="0"/>
        <w:autoSpaceDN w:val="0"/>
        <w:spacing w:line="360" w:lineRule="auto"/>
        <w:ind w:firstLine="480" w:firstLineChars="200"/>
        <w:jc w:val="left"/>
        <w:rPr>
          <w:bCs/>
          <w:sz w:val="24"/>
          <w:lang w:bidi="ar"/>
        </w:rPr>
      </w:pPr>
      <w:r>
        <w:rPr>
          <w:rFonts w:hint="eastAsia"/>
          <w:bCs/>
          <w:sz w:val="24"/>
          <w:lang w:eastAsia="zh-CN" w:bidi="ar"/>
        </w:rPr>
        <w:t>④</w:t>
      </w:r>
      <w:r>
        <w:rPr>
          <w:rFonts w:hint="eastAsia"/>
          <w:bCs/>
          <w:sz w:val="24"/>
          <w:lang w:bidi="ar"/>
        </w:rPr>
        <w:t>预测结果</w:t>
      </w:r>
    </w:p>
    <w:p>
      <w:pPr>
        <w:autoSpaceDE w:val="0"/>
        <w:autoSpaceDN w:val="0"/>
        <w:spacing w:line="360" w:lineRule="auto"/>
        <w:ind w:firstLine="480" w:firstLineChars="200"/>
        <w:jc w:val="left"/>
        <w:rPr>
          <w:bCs/>
          <w:sz w:val="24"/>
          <w:lang w:bidi="ar"/>
        </w:rPr>
      </w:pPr>
      <w:r>
        <w:rPr>
          <w:sz w:val="24"/>
        </w:rPr>
        <w:t>项目采用EIAPROA2018软件得到AERSCREEN估算模型预测的</w:t>
      </w:r>
      <w:r>
        <w:rPr>
          <w:rFonts w:hint="eastAsia"/>
          <w:sz w:val="24"/>
        </w:rPr>
        <w:t>无组织废气</w:t>
      </w:r>
      <w:r>
        <w:rPr>
          <w:sz w:val="24"/>
        </w:rPr>
        <w:t>正常排放大气环境影响预测结果，</w:t>
      </w:r>
      <w:r>
        <w:rPr>
          <w:rFonts w:hint="eastAsia"/>
          <w:sz w:val="24"/>
          <w:lang w:eastAsia="zh-CN"/>
        </w:rPr>
        <w:t>如下</w:t>
      </w:r>
      <w:r>
        <w:rPr>
          <w:sz w:val="24"/>
        </w:rPr>
        <w:t>所示：</w:t>
      </w:r>
    </w:p>
    <w:p>
      <w:pPr>
        <w:autoSpaceDE w:val="0"/>
        <w:autoSpaceDN w:val="0"/>
        <w:spacing w:line="360" w:lineRule="auto"/>
        <w:ind w:left="0" w:leftChars="0" w:firstLine="0" w:firstLineChars="0"/>
        <w:jc w:val="center"/>
        <w:rPr>
          <w:b/>
          <w:color w:val="FF0000"/>
          <w:u w:val="single"/>
        </w:rPr>
      </w:pPr>
      <w:r>
        <w:drawing>
          <wp:inline distT="0" distB="0" distL="114300" distR="114300">
            <wp:extent cx="4602480" cy="3376930"/>
            <wp:effectExtent l="0" t="0" r="7620" b="1397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15"/>
                    <a:stretch>
                      <a:fillRect/>
                    </a:stretch>
                  </pic:blipFill>
                  <pic:spPr>
                    <a:xfrm>
                      <a:off x="0" y="0"/>
                      <a:ext cx="4602480" cy="3376930"/>
                    </a:xfrm>
                    <a:prstGeom prst="rect">
                      <a:avLst/>
                    </a:prstGeom>
                    <a:noFill/>
                    <a:ln>
                      <a:noFill/>
                    </a:ln>
                  </pic:spPr>
                </pic:pic>
              </a:graphicData>
            </a:graphic>
          </wp:inline>
        </w:drawing>
      </w:r>
    </w:p>
    <w:p>
      <w:pPr>
        <w:pStyle w:val="59"/>
        <w:bidi w:val="0"/>
      </w:pPr>
      <w:r>
        <w:rPr>
          <w:rFonts w:hint="eastAsia"/>
          <w:lang w:eastAsia="zh-CN"/>
        </w:rPr>
        <w:t>图</w:t>
      </w:r>
      <w:r>
        <w:rPr>
          <w:rFonts w:hint="eastAsia"/>
          <w:lang w:val="en-US" w:eastAsia="zh-CN"/>
        </w:rPr>
        <w:t xml:space="preserve">6-1  </w:t>
      </w:r>
      <w:r>
        <w:t>AERSCREEN预测结果图（</w:t>
      </w:r>
      <w:r>
        <w:rPr>
          <w:rFonts w:hint="eastAsia"/>
          <w:lang w:val="en-US" w:eastAsia="zh-CN"/>
        </w:rPr>
        <w:t>TSP</w:t>
      </w:r>
      <w:r>
        <w:rPr>
          <w:rFonts w:hint="eastAsia"/>
          <w:lang w:eastAsia="zh-CN"/>
        </w:rPr>
        <w:t>无</w:t>
      </w:r>
      <w:r>
        <w:t>组织）</w:t>
      </w:r>
    </w:p>
    <w:p>
      <w:pPr>
        <w:ind w:left="0" w:leftChars="0" w:firstLine="0" w:firstLineChars="0"/>
        <w:jc w:val="center"/>
        <w:rPr>
          <w:rFonts w:hint="eastAsia" w:ascii="Times New Roman" w:hAnsi="Times New Roman" w:eastAsia="宋体" w:cs="Times New Roman"/>
          <w:color w:val="auto"/>
          <w:lang w:eastAsia="zh-CN"/>
        </w:rPr>
      </w:pPr>
      <w:r>
        <w:rPr>
          <w:rFonts w:hint="eastAsia" w:ascii="Times New Roman" w:hAnsi="Times New Roman" w:eastAsia="宋体" w:cs="Times New Roman"/>
          <w:color w:val="auto"/>
          <w:lang w:eastAsia="zh-CN"/>
        </w:rPr>
        <w:drawing>
          <wp:inline distT="0" distB="0" distL="114300" distR="114300">
            <wp:extent cx="4590415" cy="3260725"/>
            <wp:effectExtent l="0" t="0" r="635" b="15875"/>
            <wp:docPr id="9" name="图片 9"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图片1"/>
                    <pic:cNvPicPr>
                      <a:picLocks noChangeAspect="1"/>
                    </pic:cNvPicPr>
                  </pic:nvPicPr>
                  <pic:blipFill>
                    <a:blip r:embed="rId16"/>
                    <a:stretch>
                      <a:fillRect/>
                    </a:stretch>
                  </pic:blipFill>
                  <pic:spPr>
                    <a:xfrm>
                      <a:off x="0" y="0"/>
                      <a:ext cx="4590415" cy="3260725"/>
                    </a:xfrm>
                    <a:prstGeom prst="rect">
                      <a:avLst/>
                    </a:prstGeom>
                  </pic:spPr>
                </pic:pic>
              </a:graphicData>
            </a:graphic>
          </wp:inline>
        </w:drawing>
      </w:r>
    </w:p>
    <w:p>
      <w:pPr>
        <w:pStyle w:val="59"/>
        <w:bidi w:val="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图6.2-6 有组织正常排放废气预测结果表（</w:t>
      </w:r>
      <w:r>
        <w:rPr>
          <w:rFonts w:hint="eastAsia" w:ascii="Times New Roman" w:hAnsi="Times New Roman" w:cs="Times New Roman"/>
          <w:color w:val="auto"/>
          <w:highlight w:val="none"/>
          <w:lang w:val="en-US" w:eastAsia="zh-CN"/>
        </w:rPr>
        <w:t>PM</w:t>
      </w:r>
      <w:r>
        <w:rPr>
          <w:rFonts w:hint="eastAsia" w:ascii="Times New Roman" w:hAnsi="Times New Roman" w:cs="Times New Roman"/>
          <w:color w:val="auto"/>
          <w:highlight w:val="none"/>
          <w:vertAlign w:val="subscript"/>
          <w:lang w:val="en-US" w:eastAsia="zh-CN"/>
        </w:rPr>
        <w:t>10</w:t>
      </w:r>
      <w:r>
        <w:rPr>
          <w:rFonts w:hint="default" w:ascii="Times New Roman" w:hAnsi="Times New Roman" w:cs="Times New Roman"/>
          <w:color w:val="auto"/>
          <w:highlight w:val="none"/>
          <w:lang w:val="en-US" w:eastAsia="zh-CN"/>
        </w:rPr>
        <w:t>）</w:t>
      </w:r>
    </w:p>
    <w:p>
      <w:pPr>
        <w:bidi w:val="0"/>
        <w:rPr>
          <w:rFonts w:hint="eastAsia"/>
          <w:lang w:eastAsia="zh-CN"/>
        </w:rPr>
      </w:pPr>
      <w:r>
        <w:rPr>
          <w:rFonts w:hint="default" w:ascii="Times New Roman" w:hAnsi="Times New Roman" w:eastAsia="宋体" w:cs="Times New Roman"/>
        </w:rPr>
        <w:t>由上表可知</w:t>
      </w:r>
      <w:r>
        <w:rPr>
          <w:rFonts w:hint="eastAsia" w:ascii="Times New Roman" w:hAnsi="Times New Roman" w:cs="Times New Roman"/>
          <w:lang w:eastAsia="zh-CN"/>
        </w:rPr>
        <w:t>，场</w:t>
      </w:r>
      <w:r>
        <w:rPr>
          <w:rFonts w:hint="eastAsia" w:ascii="Times New Roman" w:hAnsi="Times New Roman" w:eastAsia="宋体" w:cs="Times New Roman"/>
        </w:rPr>
        <w:t>区</w:t>
      </w:r>
      <w:r>
        <w:rPr>
          <w:rFonts w:hint="eastAsia" w:ascii="Times New Roman" w:hAnsi="Times New Roman" w:cs="Times New Roman"/>
          <w:lang w:eastAsia="zh-CN"/>
        </w:rPr>
        <w:t>有</w:t>
      </w:r>
      <w:r>
        <w:rPr>
          <w:rFonts w:hint="eastAsia" w:ascii="Times New Roman" w:hAnsi="Times New Roman" w:eastAsia="宋体" w:cs="Times New Roman"/>
        </w:rPr>
        <w:t>组织粉尘排放的废气中</w:t>
      </w:r>
      <w:r>
        <w:rPr>
          <w:rFonts w:hint="eastAsia" w:ascii="Times New Roman" w:hAnsi="Times New Roman" w:cs="Times New Roman"/>
          <w:lang w:val="en-US" w:eastAsia="zh-CN"/>
        </w:rPr>
        <w:t>PM</w:t>
      </w:r>
      <w:r>
        <w:rPr>
          <w:rFonts w:hint="eastAsia" w:ascii="Times New Roman" w:hAnsi="Times New Roman" w:cs="Times New Roman"/>
          <w:vertAlign w:val="subscript"/>
          <w:lang w:val="en-US" w:eastAsia="zh-CN"/>
        </w:rPr>
        <w:t>10</w:t>
      </w:r>
      <w:r>
        <w:rPr>
          <w:rFonts w:hint="eastAsia" w:ascii="Times New Roman" w:hAnsi="Times New Roman" w:eastAsia="宋体" w:cs="Times New Roman"/>
        </w:rPr>
        <w:t>最大地面浓度为</w:t>
      </w:r>
      <w:r>
        <w:rPr>
          <w:rFonts w:hint="eastAsia" w:ascii="Times New Roman" w:hAnsi="Times New Roman" w:cs="Times New Roman"/>
          <w:lang w:val="en-US" w:eastAsia="zh-CN"/>
        </w:rPr>
        <w:t>0.00147m</w:t>
      </w:r>
      <w:r>
        <w:rPr>
          <w:rFonts w:hint="default" w:ascii="Times New Roman" w:hAnsi="Times New Roman" w:eastAsia="宋体" w:cs="Times New Roman"/>
        </w:rPr>
        <w:t>g/</w:t>
      </w:r>
      <w:r>
        <w:rPr>
          <w:rFonts w:hint="eastAsia" w:cs="Times New Roman"/>
          <w:lang w:eastAsia="zh-CN"/>
        </w:rPr>
        <w:t>m</w:t>
      </w:r>
      <w:r>
        <w:rPr>
          <w:rFonts w:hint="eastAsia" w:cs="Times New Roman"/>
          <w:vertAlign w:val="superscript"/>
          <w:lang w:eastAsia="zh-CN"/>
        </w:rPr>
        <w:t>3</w:t>
      </w:r>
      <w:r>
        <w:rPr>
          <w:rFonts w:hint="default" w:ascii="Times New Roman" w:hAnsi="Times New Roman" w:eastAsia="宋体" w:cs="Times New Roman"/>
        </w:rPr>
        <w:t>，占</w:t>
      </w:r>
      <w:r>
        <w:rPr>
          <w:rFonts w:hint="default"/>
        </w:rPr>
        <w:t>标率为</w:t>
      </w:r>
      <w:r>
        <w:rPr>
          <w:rFonts w:hint="eastAsia"/>
          <w:lang w:val="en-US" w:eastAsia="zh-CN"/>
        </w:rPr>
        <w:t>0.33</w:t>
      </w:r>
      <w:r>
        <w:rPr>
          <w:rFonts w:hint="default"/>
        </w:rPr>
        <w:t>%，出现最远距离为下风向</w:t>
      </w:r>
      <w:r>
        <w:rPr>
          <w:rFonts w:hint="eastAsia"/>
          <w:lang w:val="en-US" w:eastAsia="zh-CN"/>
        </w:rPr>
        <w:t>127</w:t>
      </w:r>
      <w:r>
        <w:rPr>
          <w:rFonts w:hint="default"/>
        </w:rPr>
        <w:t>m，</w:t>
      </w:r>
      <w:r>
        <w:rPr>
          <w:rFonts w:hint="eastAsia" w:ascii="Times New Roman" w:hAnsi="Times New Roman" w:eastAsia="宋体" w:cs="Times New Roman"/>
        </w:rPr>
        <w:t>无组织粉尘排放的废气中</w:t>
      </w:r>
      <w:r>
        <w:rPr>
          <w:rFonts w:hint="eastAsia" w:ascii="Times New Roman" w:hAnsi="Times New Roman" w:cs="Times New Roman"/>
          <w:lang w:val="en-US" w:eastAsia="zh-CN"/>
        </w:rPr>
        <w:t>TSP</w:t>
      </w:r>
      <w:r>
        <w:rPr>
          <w:rFonts w:hint="eastAsia" w:ascii="Times New Roman" w:hAnsi="Times New Roman" w:eastAsia="宋体" w:cs="Times New Roman"/>
        </w:rPr>
        <w:t>最大地面浓度为</w:t>
      </w:r>
      <w:r>
        <w:rPr>
          <w:rFonts w:hint="eastAsia" w:ascii="Times New Roman" w:hAnsi="Times New Roman" w:cs="Times New Roman"/>
          <w:lang w:val="en-US" w:eastAsia="zh-CN"/>
        </w:rPr>
        <w:t>0.00435</w:t>
      </w:r>
      <w:r>
        <w:rPr>
          <w:rFonts w:hint="eastAsia" w:cs="Times New Roman"/>
          <w:lang w:val="en-US" w:eastAsia="zh-CN"/>
        </w:rPr>
        <w:t>m</w:t>
      </w:r>
      <w:r>
        <w:rPr>
          <w:rFonts w:hint="default" w:ascii="Times New Roman" w:hAnsi="Times New Roman" w:eastAsia="宋体" w:cs="Times New Roman"/>
        </w:rPr>
        <w:t>g/</w:t>
      </w:r>
      <w:r>
        <w:rPr>
          <w:rFonts w:hint="eastAsia" w:cs="Times New Roman"/>
          <w:lang w:eastAsia="zh-CN"/>
        </w:rPr>
        <w:t>m</w:t>
      </w:r>
      <w:r>
        <w:rPr>
          <w:rFonts w:hint="eastAsia" w:cs="Times New Roman"/>
          <w:vertAlign w:val="superscript"/>
          <w:lang w:eastAsia="zh-CN"/>
        </w:rPr>
        <w:t>3</w:t>
      </w:r>
      <w:r>
        <w:rPr>
          <w:rFonts w:hint="default" w:ascii="Times New Roman" w:hAnsi="Times New Roman" w:eastAsia="宋体" w:cs="Times New Roman"/>
        </w:rPr>
        <w:t>，占</w:t>
      </w:r>
      <w:r>
        <w:rPr>
          <w:rFonts w:hint="default"/>
        </w:rPr>
        <w:t>标率为</w:t>
      </w:r>
      <w:r>
        <w:rPr>
          <w:rFonts w:hint="eastAsia"/>
          <w:lang w:val="en-US" w:eastAsia="zh-CN"/>
        </w:rPr>
        <w:t>0.48</w:t>
      </w:r>
      <w:r>
        <w:rPr>
          <w:rFonts w:hint="default"/>
        </w:rPr>
        <w:t>%，出现最远距离为下风向</w:t>
      </w:r>
      <w:r>
        <w:rPr>
          <w:rFonts w:hint="eastAsia"/>
          <w:lang w:val="en-US" w:eastAsia="zh-CN"/>
        </w:rPr>
        <w:t>159</w:t>
      </w:r>
      <w:r>
        <w:rPr>
          <w:rFonts w:hint="default"/>
        </w:rPr>
        <w:t>m，满足</w:t>
      </w:r>
      <w:r>
        <w:rPr>
          <w:rFonts w:hint="eastAsia"/>
        </w:rPr>
        <w:t>《大气污染物综合排放标准》(GB16297- 1996)中</w:t>
      </w:r>
      <w:r>
        <w:rPr>
          <w:rFonts w:hint="eastAsia"/>
          <w:lang w:eastAsia="zh-CN"/>
        </w:rPr>
        <w:t>二级排放标准限值及</w:t>
      </w:r>
      <w:r>
        <w:rPr>
          <w:rFonts w:hint="eastAsia"/>
        </w:rPr>
        <w:t>无组织排放监控浓度限值</w:t>
      </w:r>
      <w:r>
        <w:rPr>
          <w:rFonts w:hint="eastAsia"/>
          <w:lang w:val="en-US" w:eastAsia="zh-CN"/>
        </w:rPr>
        <w:t>（1</w:t>
      </w:r>
      <w:r>
        <w:rPr>
          <w:rFonts w:hint="default"/>
        </w:rPr>
        <w:t>mg/</w:t>
      </w:r>
      <w:r>
        <w:rPr>
          <w:rFonts w:hint="eastAsia"/>
          <w:lang w:eastAsia="zh-CN"/>
        </w:rPr>
        <w:t>m</w:t>
      </w:r>
      <w:r>
        <w:rPr>
          <w:rFonts w:hint="eastAsia"/>
          <w:vertAlign w:val="superscript"/>
          <w:lang w:eastAsia="zh-CN"/>
        </w:rPr>
        <w:t>3</w:t>
      </w:r>
      <w:r>
        <w:rPr>
          <w:rFonts w:hint="eastAsia"/>
          <w:lang w:val="en-US" w:eastAsia="zh-CN"/>
        </w:rPr>
        <w:t>）。</w:t>
      </w:r>
    </w:p>
    <w:p>
      <w:pPr>
        <w:bidi w:val="0"/>
        <w:rPr>
          <w:rFonts w:hint="eastAsia"/>
          <w:lang w:val="en-US" w:eastAsia="zh-CN"/>
        </w:rPr>
      </w:pPr>
      <w:r>
        <w:rPr>
          <w:rFonts w:hint="eastAsia"/>
          <w:lang w:eastAsia="zh-CN"/>
        </w:rPr>
        <w:t>⑤</w:t>
      </w:r>
      <w:r>
        <w:rPr>
          <w:rFonts w:hint="eastAsia"/>
          <w:lang w:val="en-US" w:eastAsia="zh-CN"/>
        </w:rPr>
        <w:t>污染治理设施措施可行性分析</w:t>
      </w:r>
    </w:p>
    <w:p>
      <w:pPr>
        <w:bidi w:val="0"/>
        <w:rPr>
          <w:rFonts w:hint="eastAsia"/>
          <w:b/>
          <w:bCs/>
          <w:lang w:val="en-US" w:eastAsia="zh-CN"/>
        </w:rPr>
      </w:pPr>
      <w:r>
        <w:rPr>
          <w:rFonts w:hint="eastAsia"/>
          <w:b/>
          <w:bCs/>
          <w:lang w:val="en-US" w:eastAsia="zh-CN"/>
        </w:rPr>
        <w:t>布袋除尘措施可行性分析</w:t>
      </w:r>
    </w:p>
    <w:p>
      <w:pPr>
        <w:bidi w:val="0"/>
        <w:rPr>
          <w:rFonts w:hint="eastAsia"/>
          <w:lang w:val="en-US" w:eastAsia="zh-CN"/>
        </w:rPr>
      </w:pPr>
      <w:r>
        <w:rPr>
          <w:rFonts w:hint="eastAsia"/>
          <w:lang w:val="en-US" w:eastAsia="zh-CN"/>
        </w:rPr>
        <w:t>袋式除尘器是一种干式滤尘装置。它适用于捕集细小、干燥、非纤维性粉尘。滤袋采用纺织的滤布或非纺织的毡制成，利用纤维织物的过滤作用对含尘气体进行过滤，当含尘气体进入袋式除尘器后，颗粒大、比重大的粉尘，由于重力的作用沉降下来，落入灰斗，含有较细小粉尘的气体在通过滤料时，粉尘被阻留，使气体得到净化。布袋除尘器具有以下优点：</w:t>
      </w:r>
    </w:p>
    <w:p>
      <w:pPr>
        <w:bidi w:val="0"/>
        <w:rPr>
          <w:rFonts w:hint="eastAsia"/>
          <w:lang w:val="en-US" w:eastAsia="zh-CN"/>
        </w:rPr>
      </w:pPr>
      <w:r>
        <w:rPr>
          <w:rFonts w:hint="eastAsia"/>
          <w:lang w:val="en-US" w:eastAsia="zh-CN"/>
        </w:rPr>
        <w:t>除尘效率高，一般在99%以上，除尘器出口气体含尘浓度在数十mg/m</w:t>
      </w:r>
      <w:r>
        <w:rPr>
          <w:rFonts w:hint="eastAsia"/>
          <w:vertAlign w:val="superscript"/>
          <w:lang w:val="en-US" w:eastAsia="zh-CN"/>
        </w:rPr>
        <w:t>3</w:t>
      </w:r>
      <w:r>
        <w:rPr>
          <w:rFonts w:hint="eastAsia"/>
          <w:lang w:val="en-US" w:eastAsia="zh-CN"/>
        </w:rPr>
        <w:t>之内，对亚微米粒径的细尘有较高的分级效率。⑵处理风量的范围广，小的仅1min数m</w:t>
      </w:r>
      <w:r>
        <w:rPr>
          <w:rFonts w:hint="eastAsia"/>
          <w:vertAlign w:val="superscript"/>
          <w:lang w:val="en-US" w:eastAsia="zh-CN"/>
        </w:rPr>
        <w:t>3</w:t>
      </w:r>
      <w:r>
        <w:rPr>
          <w:rFonts w:hint="eastAsia"/>
          <w:lang w:val="en-US" w:eastAsia="zh-CN"/>
        </w:rPr>
        <w:t>，大的可达1min数万m</w:t>
      </w:r>
      <w:r>
        <w:rPr>
          <w:rFonts w:hint="eastAsia"/>
          <w:vertAlign w:val="superscript"/>
          <w:lang w:val="en-US" w:eastAsia="zh-CN"/>
        </w:rPr>
        <w:t>3</w:t>
      </w:r>
      <w:r>
        <w:rPr>
          <w:rFonts w:hint="eastAsia"/>
          <w:lang w:val="en-US" w:eastAsia="zh-CN"/>
        </w:rPr>
        <w:t>，减少大气污染物的排放。⑶结构简单，维护操作方便。⑷在保证同样高除尘效率的前提下，造价低于电除尘器。⑸采用玻璃纤维、聚四氟乙烯、P84等耐高温滤料时，可在200℃以上的高温条件下运行。⑹对粉尘的特性不敏感，不受粉尘及电阻的影响。</w:t>
      </w:r>
    </w:p>
    <w:p>
      <w:pPr>
        <w:bidi w:val="0"/>
        <w:rPr>
          <w:rFonts w:hint="eastAsia"/>
          <w:lang w:val="en-US" w:eastAsia="zh-CN"/>
        </w:rPr>
      </w:pPr>
      <w:r>
        <w:rPr>
          <w:rFonts w:hint="eastAsia"/>
          <w:lang w:val="en-US" w:eastAsia="zh-CN"/>
        </w:rPr>
        <w:t>综上所述采取布袋除尘器操作便利，且本项目产尘量大，布袋除尘器除尘效率高，造价低，技术经济可行。</w:t>
      </w:r>
    </w:p>
    <w:p>
      <w:pPr>
        <w:bidi w:val="0"/>
        <w:rPr>
          <w:rFonts w:hint="eastAsia"/>
          <w:lang w:val="en-US" w:eastAsia="zh-CN"/>
        </w:rPr>
      </w:pPr>
      <w:r>
        <w:rPr>
          <w:rFonts w:hint="eastAsia"/>
          <w:lang w:val="en-US" w:eastAsia="zh-CN"/>
        </w:rPr>
        <w:t>为减少大风气候及旱季时无组织排放粉尘对环境的污染，本项目拟采取以下防治措施：</w:t>
      </w:r>
    </w:p>
    <w:p>
      <w:pPr>
        <w:bidi w:val="0"/>
        <w:rPr>
          <w:rFonts w:hint="eastAsia"/>
          <w:lang w:val="en-US" w:eastAsia="zh-CN"/>
        </w:rPr>
      </w:pPr>
      <w:r>
        <w:rPr>
          <w:rFonts w:hint="eastAsia"/>
          <w:lang w:val="en-US" w:eastAsia="zh-CN"/>
        </w:rPr>
        <w:t>①在破碎安装可拆卸的集气罩，集气罩连接袋式除尘器，从源头抑制粉尘的产生。</w:t>
      </w:r>
    </w:p>
    <w:p>
      <w:pPr>
        <w:bidi w:val="0"/>
        <w:rPr>
          <w:rFonts w:hint="eastAsia"/>
          <w:lang w:val="en-US" w:eastAsia="zh-CN"/>
        </w:rPr>
      </w:pPr>
      <w:r>
        <w:rPr>
          <w:rFonts w:hint="eastAsia"/>
          <w:lang w:val="en-US" w:eastAsia="zh-CN"/>
        </w:rPr>
        <w:t>②对厂区地面及时清扫，收集沉降粉尘。</w:t>
      </w:r>
    </w:p>
    <w:p>
      <w:pPr>
        <w:bidi w:val="0"/>
        <w:rPr>
          <w:rFonts w:hint="eastAsia"/>
          <w:lang w:val="en-US" w:eastAsia="zh-CN"/>
        </w:rPr>
      </w:pPr>
      <w:r>
        <w:rPr>
          <w:rFonts w:hint="eastAsia"/>
          <w:lang w:val="en-US" w:eastAsia="zh-CN"/>
        </w:rPr>
        <w:t>③在生产区需配喷雾设施，降低周围大气中的粉尘含量，并对地面及时清扫以免出现二次污染。</w:t>
      </w:r>
    </w:p>
    <w:p>
      <w:pPr>
        <w:bidi w:val="0"/>
        <w:rPr>
          <w:rFonts w:hint="eastAsia"/>
          <w:b/>
          <w:bCs/>
          <w:lang w:val="en-US" w:eastAsia="zh-CN"/>
        </w:rPr>
      </w:pPr>
      <w:r>
        <w:rPr>
          <w:rFonts w:hint="eastAsia"/>
          <w:b/>
          <w:bCs/>
          <w:lang w:val="en-US" w:eastAsia="zh-CN"/>
        </w:rPr>
        <w:t>其他措施可行性</w:t>
      </w:r>
    </w:p>
    <w:p>
      <w:pPr>
        <w:bidi w:val="0"/>
      </w:pPr>
      <w:r>
        <w:rPr>
          <w:rFonts w:hint="eastAsia"/>
          <w:lang w:val="en-US" w:eastAsia="zh-CN"/>
        </w:rPr>
        <w:t>1</w:t>
      </w:r>
      <w:r>
        <w:rPr>
          <w:rFonts w:hint="eastAsia"/>
          <w:lang w:eastAsia="zh-CN"/>
        </w:rPr>
        <w:t>）</w:t>
      </w:r>
      <w:r>
        <w:rPr>
          <w:rFonts w:hint="eastAsia"/>
        </w:rPr>
        <w:t>施工现场必须设置控制扬尘污染责任标志牌，标明扬尘污染防治措施、主管部门、责任人及环保监督电话等内容。</w:t>
      </w:r>
    </w:p>
    <w:p>
      <w:pPr>
        <w:bidi w:val="0"/>
      </w:pPr>
      <w:r>
        <w:rPr>
          <w:rFonts w:hint="eastAsia"/>
          <w:lang w:val="en-US" w:eastAsia="zh-CN"/>
        </w:rPr>
        <w:t>2</w:t>
      </w:r>
      <w:r>
        <w:rPr>
          <w:rFonts w:hint="eastAsia"/>
          <w:lang w:eastAsia="zh-CN"/>
        </w:rPr>
        <w:t>）</w:t>
      </w:r>
      <w:r>
        <w:rPr>
          <w:rFonts w:hint="eastAsia"/>
        </w:rPr>
        <w:t>部分施工区围挡有破损，要求加强对围挡进行修整，做到无缝隙，底部设置防溢座，顶端设置压顶。</w:t>
      </w:r>
    </w:p>
    <w:p>
      <w:pPr>
        <w:bidi w:val="0"/>
      </w:pPr>
      <w:r>
        <w:rPr>
          <w:rFonts w:hint="eastAsia"/>
          <w:lang w:val="en-US" w:eastAsia="zh-CN"/>
        </w:rPr>
        <w:t>3</w:t>
      </w:r>
      <w:r>
        <w:rPr>
          <w:rFonts w:hint="eastAsia"/>
          <w:lang w:eastAsia="zh-CN"/>
        </w:rPr>
        <w:t>）</w:t>
      </w:r>
      <w:r>
        <w:rPr>
          <w:rFonts w:hint="eastAsia"/>
        </w:rPr>
        <w:t>施工作业带应保持湿润、无明显浮尘，堆放粉状物料的区域必须建立洒水清扫制度，由专人负责洒水和场地的清扫，每天至少上下班两次。特别是沿途靠近环境敏感点的区域施工时，要加强洒水的频率和强度。施工现场出入口要由专人负责清扫车身及出入口卫生，在除泥、冲洗干净后，方可驶出施工工地。</w:t>
      </w:r>
    </w:p>
    <w:p>
      <w:pPr>
        <w:bidi w:val="0"/>
      </w:pPr>
      <w:r>
        <w:rPr>
          <w:rFonts w:hint="eastAsia"/>
          <w:lang w:val="en-US" w:eastAsia="zh-CN"/>
        </w:rPr>
        <w:t>4</w:t>
      </w:r>
      <w:r>
        <w:rPr>
          <w:rFonts w:hint="eastAsia"/>
          <w:lang w:eastAsia="zh-CN"/>
        </w:rPr>
        <w:t>）</w:t>
      </w:r>
      <w:r>
        <w:rPr>
          <w:rFonts w:hint="eastAsia"/>
        </w:rPr>
        <w:t>施工现场及各种粉尘材料、施工土方及临时堆放的渣土，均按《岳阳市人民政府关于控制市城区扬尘污染的通告》（岳政告【2009】8号）的要求进行覆盖，并设置不低于堆放物高度的封闭性硬质围挡。通过蓬布遮挡等措施，可有效地减缓筑路材料贮存产生扬尘。</w:t>
      </w:r>
    </w:p>
    <w:p>
      <w:pPr>
        <w:bidi w:val="0"/>
      </w:pPr>
      <w:r>
        <w:rPr>
          <w:rFonts w:hint="eastAsia"/>
          <w:lang w:val="en-US" w:eastAsia="zh-CN"/>
        </w:rPr>
        <w:t>5</w:t>
      </w:r>
      <w:r>
        <w:rPr>
          <w:rFonts w:hint="eastAsia"/>
          <w:lang w:eastAsia="zh-CN"/>
        </w:rPr>
        <w:t>）</w:t>
      </w:r>
      <w:r>
        <w:rPr>
          <w:rFonts w:hint="eastAsia"/>
        </w:rPr>
        <w:t>根据《岳阳市人民政府关于控制市城区扬尘污染的通告》（岳政告[2009]8号），君山区属于扬尘控制区，因此要求建设方使用商品混凝土，可有效防止拌合混凝土时产生的扬尘污染。</w:t>
      </w:r>
    </w:p>
    <w:p>
      <w:pPr>
        <w:bidi w:val="0"/>
      </w:pPr>
      <w:r>
        <w:rPr>
          <w:rFonts w:hint="eastAsia"/>
          <w:lang w:val="en-US" w:eastAsia="zh-CN"/>
        </w:rPr>
        <w:t>6</w:t>
      </w:r>
      <w:r>
        <w:rPr>
          <w:rFonts w:hint="eastAsia"/>
          <w:lang w:eastAsia="zh-CN"/>
        </w:rPr>
        <w:t>）</w:t>
      </w:r>
      <w:r>
        <w:rPr>
          <w:rFonts w:hint="eastAsia"/>
        </w:rPr>
        <w:t>施工物料装卸时，应尽量降低物料落差，以最大限度地防止扬尘的产生；同时针对扬尘产生量多物料，及时采取洒水抑尘措施。</w:t>
      </w:r>
    </w:p>
    <w:p>
      <w:pPr>
        <w:bidi w:val="0"/>
      </w:pPr>
      <w:r>
        <w:rPr>
          <w:rFonts w:hint="eastAsia"/>
          <w:lang w:val="en-US" w:eastAsia="zh-CN"/>
        </w:rPr>
        <w:t>7</w:t>
      </w:r>
      <w:r>
        <w:rPr>
          <w:rFonts w:hint="eastAsia"/>
          <w:lang w:eastAsia="zh-CN"/>
        </w:rPr>
        <w:t>）</w:t>
      </w:r>
      <w:r>
        <w:rPr>
          <w:rFonts w:hint="eastAsia"/>
        </w:rPr>
        <w:t>施工现场裸露的场地及时进行覆盖处理或种植植被，按照“宜绿则绿、易盖则盖、分类实施、多策并举”的原则，采取绿化、硬化、洒水、覆盖等措施，防止产生二次扬尘污染。</w:t>
      </w:r>
    </w:p>
    <w:p>
      <w:pPr>
        <w:bidi w:val="0"/>
      </w:pPr>
      <w:r>
        <w:rPr>
          <w:rFonts w:hint="eastAsia"/>
          <w:lang w:val="en-US" w:eastAsia="zh-CN"/>
        </w:rPr>
        <w:t>8</w:t>
      </w:r>
      <w:r>
        <w:rPr>
          <w:rFonts w:hint="eastAsia"/>
          <w:lang w:eastAsia="zh-CN"/>
        </w:rPr>
        <w:t>）</w:t>
      </w:r>
      <w:r>
        <w:rPr>
          <w:rFonts w:hint="eastAsia"/>
        </w:rPr>
        <w:t>施工工地主要扬尘产生点安装视频监控装置，实行施工全过程监控。除抢险、抢修情况外，四级以上大风天气或市政府发布空气质量预警时，不得进行施工作业，并对拆除现象采取覆盖，并用洒水车进行洒水降尘等降尘措施。</w:t>
      </w:r>
    </w:p>
    <w:p>
      <w:pPr>
        <w:bidi w:val="0"/>
      </w:pPr>
      <w:r>
        <w:t>综上，</w:t>
      </w:r>
      <w:r>
        <w:rPr>
          <w:rFonts w:hint="eastAsia"/>
          <w:lang w:eastAsia="zh-CN"/>
        </w:rPr>
        <w:t>项目临时堆场变更后</w:t>
      </w:r>
      <w:r>
        <w:t>通过采取</w:t>
      </w:r>
      <w:r>
        <w:rPr>
          <w:rFonts w:hint="eastAsia"/>
          <w:lang w:eastAsia="zh-CN"/>
        </w:rPr>
        <w:t>现有</w:t>
      </w:r>
      <w:r>
        <w:t>的治理措施后，</w:t>
      </w:r>
      <w:r>
        <w:rPr>
          <w:rFonts w:hint="eastAsia"/>
          <w:lang w:eastAsia="zh-CN"/>
        </w:rPr>
        <w:t>可实现达标排放，</w:t>
      </w:r>
      <w:r>
        <w:t>对周围环境的影响较小。</w:t>
      </w:r>
    </w:p>
    <w:p>
      <w:pPr>
        <w:pStyle w:val="4"/>
        <w:bidi w:val="0"/>
        <w:rPr>
          <w:rFonts w:hint="default"/>
        </w:rPr>
      </w:pPr>
      <w:bookmarkStart w:id="118" w:name="_Toc10492"/>
      <w:bookmarkStart w:id="119" w:name="_Toc10461"/>
      <w:r>
        <w:rPr>
          <w:rFonts w:hint="default"/>
        </w:rPr>
        <w:t>水环境影响分析</w:t>
      </w:r>
      <w:bookmarkEnd w:id="118"/>
      <w:bookmarkEnd w:id="119"/>
    </w:p>
    <w:p>
      <w:pPr>
        <w:bidi w:val="0"/>
        <w:rPr>
          <w:rFonts w:hint="eastAsia"/>
          <w:u w:val="single"/>
          <w:lang w:val="en-US" w:eastAsia="zh-CN"/>
        </w:rPr>
      </w:pPr>
      <w:r>
        <w:rPr>
          <w:rFonts w:hint="eastAsia"/>
          <w:u w:val="single"/>
          <w:lang w:eastAsia="zh-CN"/>
        </w:rPr>
        <w:t>（</w:t>
      </w:r>
      <w:r>
        <w:rPr>
          <w:rFonts w:hint="eastAsia"/>
          <w:u w:val="single"/>
          <w:lang w:val="en-US" w:eastAsia="zh-CN"/>
        </w:rPr>
        <w:t>1</w:t>
      </w:r>
      <w:r>
        <w:rPr>
          <w:rFonts w:hint="eastAsia"/>
          <w:u w:val="single"/>
          <w:lang w:eastAsia="zh-CN"/>
        </w:rPr>
        <w:t>）</w:t>
      </w:r>
      <w:r>
        <w:rPr>
          <w:rFonts w:hint="eastAsia"/>
          <w:u w:val="single"/>
          <w:lang w:val="en-US" w:eastAsia="zh-CN"/>
        </w:rPr>
        <w:t>作业废水</w:t>
      </w:r>
    </w:p>
    <w:p>
      <w:pPr>
        <w:bidi w:val="0"/>
        <w:rPr>
          <w:rFonts w:hint="eastAsia"/>
          <w:u w:val="single"/>
        </w:rPr>
      </w:pPr>
      <w:r>
        <w:rPr>
          <w:rFonts w:hint="eastAsia"/>
          <w:u w:val="single"/>
          <w:lang w:eastAsia="zh-CN"/>
        </w:rPr>
        <w:t>作业</w:t>
      </w:r>
      <w:r>
        <w:rPr>
          <w:rFonts w:hint="eastAsia"/>
          <w:u w:val="single"/>
        </w:rPr>
        <w:t>废水主要来自车辆冲洗水</w:t>
      </w:r>
      <w:r>
        <w:rPr>
          <w:rFonts w:hint="eastAsia"/>
          <w:u w:val="single"/>
          <w:lang w:eastAsia="zh-CN"/>
        </w:rPr>
        <w:t>（</w:t>
      </w:r>
      <w:r>
        <w:rPr>
          <w:rFonts w:hint="eastAsia"/>
          <w:u w:val="single"/>
        </w:rPr>
        <w:t>鉴于地面没有硬化，建议施工车辆异地清洗，离开施工区域时仅清洗轮胎</w:t>
      </w:r>
      <w:r>
        <w:rPr>
          <w:rFonts w:hint="eastAsia"/>
          <w:u w:val="single"/>
          <w:lang w:eastAsia="zh-CN"/>
        </w:rPr>
        <w:t>）</w:t>
      </w:r>
      <w:r>
        <w:rPr>
          <w:rFonts w:hint="eastAsia"/>
          <w:u w:val="single"/>
        </w:rPr>
        <w:t>，其悬浮物浓度较大，不含其他可溶性的有害物质，施工废水产生量较小，要求建设单位在车辆冲洗场所旁修建一个临时沉淀池（容积视实际废水产生量而定，沉淀时间应大于2小时），处理冲洗废水，沉淀后回用于施工场地洒水抑尘。</w:t>
      </w:r>
    </w:p>
    <w:p>
      <w:pPr>
        <w:bidi w:val="0"/>
        <w:rPr>
          <w:rFonts w:hint="eastAsia"/>
          <w:u w:val="single"/>
        </w:rPr>
      </w:pPr>
      <w:r>
        <w:rPr>
          <w:rFonts w:hint="eastAsia"/>
          <w:u w:val="single"/>
        </w:rPr>
        <w:t>项目设置有车辆清洗处，与出入口分开布置。洗车池包括沉砂池、沉淀池、污水池、清水池等部分，污水池中的污水经处理后形成循环可重复利用。</w:t>
      </w:r>
    </w:p>
    <w:p>
      <w:pPr>
        <w:bidi w:val="0"/>
        <w:rPr>
          <w:rFonts w:hint="eastAsia"/>
          <w:u w:val="single"/>
          <w:lang w:val="en-US" w:eastAsia="zh-CN"/>
        </w:rPr>
      </w:pPr>
      <w:r>
        <w:rPr>
          <w:rFonts w:hint="eastAsia"/>
          <w:u w:val="single"/>
          <w:lang w:val="en-US" w:eastAsia="zh-CN"/>
        </w:rPr>
        <w:t>（2）初期雨水</w:t>
      </w:r>
    </w:p>
    <w:p>
      <w:pPr>
        <w:bidi w:val="0"/>
        <w:rPr>
          <w:rFonts w:hint="default"/>
          <w:u w:val="single"/>
          <w:lang w:val="en-US" w:eastAsia="zh-CN"/>
        </w:rPr>
      </w:pPr>
      <w:r>
        <w:rPr>
          <w:rFonts w:hint="default"/>
          <w:u w:val="single"/>
          <w:lang w:val="en-US" w:eastAsia="zh-CN"/>
        </w:rPr>
        <w:t>根据工程分析，项目初期雨水产生量为</w:t>
      </w:r>
      <w:r>
        <w:rPr>
          <w:rFonts w:hint="eastAsia"/>
          <w:u w:val="single"/>
          <w:lang w:val="en-US" w:eastAsia="zh-CN"/>
        </w:rPr>
        <w:t>247.83m</w:t>
      </w:r>
      <w:r>
        <w:rPr>
          <w:rFonts w:hint="eastAsia"/>
          <w:u w:val="single"/>
          <w:vertAlign w:val="superscript"/>
          <w:lang w:val="en-US" w:eastAsia="zh-CN"/>
        </w:rPr>
        <w:t>3</w:t>
      </w:r>
      <w:r>
        <w:rPr>
          <w:rFonts w:hint="default"/>
          <w:u w:val="single"/>
          <w:lang w:val="en-US" w:eastAsia="zh-CN"/>
        </w:rPr>
        <w:t>/次，主要污染物为SS，本项目初期雨水排入</w:t>
      </w:r>
      <w:r>
        <w:rPr>
          <w:rFonts w:hint="eastAsia"/>
          <w:u w:val="single"/>
          <w:lang w:val="en-US" w:eastAsia="zh-CN"/>
        </w:rPr>
        <w:t>场区</w:t>
      </w:r>
      <w:r>
        <w:rPr>
          <w:rFonts w:hint="default"/>
          <w:u w:val="single"/>
          <w:lang w:val="en-US" w:eastAsia="zh-CN"/>
        </w:rPr>
        <w:t>沉淀池内，沉淀池设置阀门，当下雨时将阀门切换至</w:t>
      </w:r>
      <w:r>
        <w:rPr>
          <w:rFonts w:hint="eastAsia"/>
          <w:u w:val="single"/>
          <w:lang w:val="en-US" w:eastAsia="zh-CN"/>
        </w:rPr>
        <w:t>场区</w:t>
      </w:r>
      <w:r>
        <w:rPr>
          <w:rFonts w:hint="default"/>
          <w:u w:val="single"/>
          <w:lang w:val="en-US" w:eastAsia="zh-CN"/>
        </w:rPr>
        <w:t>雨水排口，使雨水流入沉淀池，初期雨水收集10min后，将阀门切换至沉淀池，将</w:t>
      </w:r>
      <w:r>
        <w:rPr>
          <w:rFonts w:hint="eastAsia"/>
          <w:u w:val="single"/>
          <w:lang w:val="en-US" w:eastAsia="zh-CN"/>
        </w:rPr>
        <w:t>场区</w:t>
      </w:r>
      <w:r>
        <w:rPr>
          <w:rFonts w:hint="default"/>
          <w:u w:val="single"/>
          <w:lang w:val="en-US" w:eastAsia="zh-CN"/>
        </w:rPr>
        <w:t>雨水排放至周边水土。未下雨时，将阀门切换至厂区雨水排口侧，使道路冲洗废水进入沉淀池。</w:t>
      </w:r>
      <w:r>
        <w:rPr>
          <w:rFonts w:hint="eastAsia"/>
          <w:u w:val="single"/>
          <w:lang w:val="en-US" w:eastAsia="zh-CN"/>
        </w:rPr>
        <w:t>要求</w:t>
      </w:r>
      <w:r>
        <w:rPr>
          <w:rFonts w:hint="default"/>
          <w:u w:val="single"/>
          <w:lang w:val="en-US" w:eastAsia="zh-CN"/>
        </w:rPr>
        <w:t>在</w:t>
      </w:r>
      <w:r>
        <w:rPr>
          <w:rFonts w:hint="eastAsia"/>
          <w:u w:val="single"/>
          <w:lang w:val="en-US" w:eastAsia="zh-CN"/>
        </w:rPr>
        <w:t>场区</w:t>
      </w:r>
      <w:r>
        <w:rPr>
          <w:rFonts w:hint="default"/>
          <w:u w:val="single"/>
          <w:lang w:val="en-US" w:eastAsia="zh-CN"/>
        </w:rPr>
        <w:t>内四周各设置0.3m×0.4m×400m雨水收集沟，将初期雨水导入废水沉淀池，经沉淀后全部用于</w:t>
      </w:r>
      <w:r>
        <w:rPr>
          <w:rFonts w:hint="eastAsia"/>
          <w:u w:val="single"/>
          <w:lang w:val="en-US" w:eastAsia="zh-CN"/>
        </w:rPr>
        <w:t>作业</w:t>
      </w:r>
      <w:r>
        <w:rPr>
          <w:rFonts w:hint="default"/>
          <w:u w:val="single"/>
          <w:lang w:val="en-US" w:eastAsia="zh-CN"/>
        </w:rPr>
        <w:t>，不外排。</w:t>
      </w:r>
    </w:p>
    <w:p>
      <w:pPr>
        <w:pStyle w:val="4"/>
        <w:bidi w:val="0"/>
        <w:rPr>
          <w:rFonts w:hint="eastAsia"/>
          <w:lang w:eastAsia="zh-CN"/>
        </w:rPr>
      </w:pPr>
      <w:bookmarkStart w:id="120" w:name="_Toc20577"/>
      <w:r>
        <w:rPr>
          <w:rFonts w:hint="eastAsia"/>
          <w:lang w:eastAsia="zh-CN"/>
        </w:rPr>
        <w:t>声</w:t>
      </w:r>
      <w:r>
        <w:rPr>
          <w:rFonts w:hint="eastAsia"/>
        </w:rPr>
        <w:t>环境</w:t>
      </w:r>
      <w:r>
        <w:t>影响分析</w:t>
      </w:r>
      <w:bookmarkEnd w:id="120"/>
    </w:p>
    <w:p>
      <w:pPr>
        <w:ind w:firstLine="480"/>
        <w:rPr>
          <w:szCs w:val="24"/>
        </w:rPr>
      </w:pPr>
      <w:r>
        <w:rPr>
          <w:rFonts w:hint="eastAsia"/>
          <w:szCs w:val="24"/>
        </w:rPr>
        <w:t>本项目噪声主要来源于运输车辆的交通噪声、砂石装卸的落料噪声，其源强为70~80dB（A）。本项目主要采取以下措施减小噪声影响：</w:t>
      </w:r>
    </w:p>
    <w:p>
      <w:pPr>
        <w:ind w:firstLine="480"/>
        <w:rPr>
          <w:szCs w:val="24"/>
        </w:rPr>
      </w:pPr>
      <w:r>
        <w:rPr>
          <w:rFonts w:hint="eastAsia"/>
          <w:szCs w:val="24"/>
        </w:rPr>
        <w:t>①对于运输车辆，强化行车管理制度，厂区内禁鸣限速，最大限度减少流动噪声源的影响；</w:t>
      </w:r>
    </w:p>
    <w:p>
      <w:pPr>
        <w:ind w:firstLine="480"/>
        <w:rPr>
          <w:szCs w:val="24"/>
        </w:rPr>
      </w:pPr>
      <w:r>
        <w:rPr>
          <w:rFonts w:hint="eastAsia"/>
          <w:szCs w:val="24"/>
          <w:lang w:eastAsia="zh-CN"/>
        </w:rPr>
        <w:t>②</w:t>
      </w:r>
      <w:r>
        <w:rPr>
          <w:rFonts w:hint="eastAsia"/>
          <w:szCs w:val="24"/>
        </w:rPr>
        <w:t>砂石卸装车作业时，合理控制落料高度，降低砂石落地产生的噪声；</w:t>
      </w:r>
    </w:p>
    <w:p>
      <w:pPr>
        <w:ind w:firstLine="480"/>
        <w:rPr>
          <w:color w:val="auto"/>
          <w:szCs w:val="24"/>
        </w:rPr>
      </w:pPr>
      <w:r>
        <w:rPr>
          <w:rFonts w:hint="eastAsia"/>
          <w:szCs w:val="24"/>
          <w:lang w:eastAsia="zh-CN"/>
        </w:rPr>
        <w:t>③</w:t>
      </w:r>
      <w:r>
        <w:rPr>
          <w:rFonts w:hint="eastAsia"/>
          <w:szCs w:val="24"/>
        </w:rPr>
        <w:t>夜间禁止进行砂石装</w:t>
      </w:r>
      <w:r>
        <w:rPr>
          <w:rFonts w:hint="eastAsia"/>
          <w:color w:val="auto"/>
          <w:szCs w:val="24"/>
        </w:rPr>
        <w:t>卸作业。</w:t>
      </w:r>
    </w:p>
    <w:p>
      <w:pPr>
        <w:ind w:firstLine="480"/>
        <w:rPr>
          <w:i w:val="0"/>
          <w:iCs w:val="0"/>
          <w:color w:val="auto"/>
          <w:u w:val="none"/>
        </w:rPr>
      </w:pPr>
      <w:r>
        <w:rPr>
          <w:rFonts w:hint="eastAsia"/>
          <w:color w:val="auto"/>
          <w:szCs w:val="24"/>
          <w:u w:val="single"/>
        </w:rPr>
        <w:t>由于</w:t>
      </w:r>
      <w:r>
        <w:rPr>
          <w:rFonts w:hint="eastAsia"/>
          <w:color w:val="auto"/>
          <w:szCs w:val="24"/>
          <w:u w:val="single"/>
          <w:lang w:eastAsia="zh-CN"/>
        </w:rPr>
        <w:t>堆场</w:t>
      </w:r>
      <w:r>
        <w:rPr>
          <w:rFonts w:hint="eastAsia"/>
          <w:color w:val="auto"/>
          <w:szCs w:val="24"/>
          <w:u w:val="single"/>
        </w:rPr>
        <w:t>已建成运营，且</w:t>
      </w:r>
      <w:r>
        <w:rPr>
          <w:rFonts w:hint="eastAsia"/>
          <w:color w:val="auto"/>
          <w:u w:val="single"/>
        </w:rPr>
        <w:t>夜间不进行砂石装卸</w:t>
      </w:r>
      <w:r>
        <w:rPr>
          <w:rFonts w:hint="eastAsia"/>
          <w:color w:val="auto"/>
          <w:u w:val="single"/>
          <w:lang w:eastAsia="zh-CN"/>
        </w:rPr>
        <w:t>及破碎</w:t>
      </w:r>
      <w:r>
        <w:rPr>
          <w:rFonts w:hint="eastAsia"/>
          <w:color w:val="auto"/>
          <w:u w:val="single"/>
        </w:rPr>
        <w:t>作业，</w:t>
      </w:r>
      <w:r>
        <w:rPr>
          <w:rFonts w:hint="eastAsia"/>
          <w:color w:val="auto"/>
          <w:szCs w:val="24"/>
          <w:u w:val="single"/>
        </w:rPr>
        <w:t>为核实厂界噪声排放情况及对周围敏感点的影响，本项目</w:t>
      </w:r>
      <w:r>
        <w:rPr>
          <w:rFonts w:hint="eastAsia"/>
          <w:color w:val="auto"/>
          <w:u w:val="single"/>
        </w:rPr>
        <w:t>在</w:t>
      </w:r>
      <w:r>
        <w:rPr>
          <w:rFonts w:hint="eastAsia"/>
          <w:color w:val="auto"/>
          <w:u w:val="single"/>
          <w:lang w:eastAsia="zh-CN"/>
        </w:rPr>
        <w:t>场</w:t>
      </w:r>
      <w:r>
        <w:rPr>
          <w:rFonts w:hint="eastAsia"/>
          <w:color w:val="auto"/>
          <w:u w:val="single"/>
        </w:rPr>
        <w:t>界外设置</w:t>
      </w:r>
      <w:r>
        <w:rPr>
          <w:rFonts w:hint="eastAsia"/>
          <w:color w:val="auto"/>
          <w:u w:val="single"/>
          <w:lang w:val="en-US" w:eastAsia="zh-CN"/>
        </w:rPr>
        <w:t>4</w:t>
      </w:r>
      <w:r>
        <w:rPr>
          <w:rFonts w:hint="eastAsia"/>
          <w:color w:val="auto"/>
          <w:u w:val="single"/>
        </w:rPr>
        <w:t>个监测点进行昼间噪声实测，</w:t>
      </w:r>
      <w:r>
        <w:rPr>
          <w:rFonts w:hint="eastAsia"/>
          <w:color w:val="auto"/>
          <w:u w:val="single"/>
          <w:lang w:eastAsia="zh-CN"/>
        </w:rPr>
        <w:t>监测期间项目正常运营，</w:t>
      </w:r>
      <w:r>
        <w:rPr>
          <w:rFonts w:hint="eastAsia"/>
          <w:i w:val="0"/>
          <w:iCs w:val="0"/>
          <w:color w:val="auto"/>
          <w:u w:val="none"/>
        </w:rPr>
        <w:t>监测结果如表</w:t>
      </w:r>
      <w:r>
        <w:rPr>
          <w:rFonts w:hint="eastAsia"/>
          <w:i w:val="0"/>
          <w:iCs w:val="0"/>
          <w:color w:val="auto"/>
          <w:u w:val="none"/>
          <w:lang w:val="en-US" w:eastAsia="zh-CN"/>
        </w:rPr>
        <w:t>5.2-6</w:t>
      </w:r>
      <w:r>
        <w:rPr>
          <w:rFonts w:hint="eastAsia"/>
          <w:i w:val="0"/>
          <w:iCs w:val="0"/>
          <w:color w:val="auto"/>
          <w:u w:val="none"/>
        </w:rPr>
        <w:t>中所示。</w:t>
      </w:r>
    </w:p>
    <w:p>
      <w:pPr>
        <w:ind w:firstLine="480"/>
      </w:pPr>
      <w:r>
        <w:rPr>
          <w:rFonts w:hint="eastAsia"/>
        </w:rPr>
        <w:t>根据噪声</w:t>
      </w:r>
      <w:r>
        <w:rPr>
          <w:rFonts w:hint="eastAsia"/>
          <w:lang w:eastAsia="zh-CN"/>
        </w:rPr>
        <w:t>监测</w:t>
      </w:r>
      <w:r>
        <w:rPr>
          <w:rFonts w:hint="eastAsia"/>
        </w:rPr>
        <w:t>结果，本项目东、西、北厂界昼间噪声达到《建筑施工场界环境噪声排放标准》(GB12523-2011)标准要求。</w:t>
      </w:r>
    </w:p>
    <w:p>
      <w:pPr>
        <w:ind w:firstLine="480"/>
        <w:rPr>
          <w:rFonts w:hint="eastAsia"/>
        </w:rPr>
      </w:pPr>
      <w:r>
        <w:rPr>
          <w:rFonts w:hint="eastAsia"/>
          <w:bCs/>
          <w:kern w:val="2"/>
        </w:rPr>
        <w:t>因此，本项目噪声排放</w:t>
      </w:r>
      <w:r>
        <w:rPr>
          <w:rFonts w:hint="eastAsia"/>
        </w:rPr>
        <w:t>对周围环境的影响较小，不会降低当地声环境功能级别。</w:t>
      </w:r>
    </w:p>
    <w:p>
      <w:pPr>
        <w:pStyle w:val="4"/>
        <w:bidi w:val="0"/>
        <w:rPr>
          <w:rFonts w:hint="eastAsia" w:ascii="Times New Roman" w:hAnsi="Times New Roman" w:cs="Times New Roman"/>
          <w:lang w:eastAsia="zh-CN"/>
        </w:rPr>
      </w:pPr>
      <w:bookmarkStart w:id="121" w:name="_Toc15092"/>
      <w:r>
        <w:rPr>
          <w:rFonts w:hint="eastAsia" w:ascii="Times New Roman" w:hAnsi="Times New Roman" w:cs="Times New Roman"/>
          <w:lang w:eastAsia="zh-CN"/>
        </w:rPr>
        <w:t>固体废物</w:t>
      </w:r>
      <w:bookmarkEnd w:id="121"/>
    </w:p>
    <w:p>
      <w:pPr>
        <w:bidi w:val="0"/>
        <w:rPr>
          <w:color w:val="auto"/>
        </w:rPr>
      </w:pPr>
      <w:r>
        <w:rPr>
          <w:rFonts w:hint="eastAsia"/>
        </w:rPr>
        <w:t>本项目堆场范围内不设置生活设施</w:t>
      </w:r>
      <w:r>
        <w:rPr>
          <w:rFonts w:hint="eastAsia"/>
          <w:color w:val="auto"/>
        </w:rPr>
        <w:t>，产生的固废主要为沉淀池沉淀的细小砂石。沉淀池收集处理雨水径流和冲洗废水，主要对废水中的SS进行处理，去除效率以80%计，则本项目沉淀池中产生的沉淀物量约为0.177t/a，沉淀物主要组分为砂石，定期收集后</w:t>
      </w:r>
      <w:r>
        <w:rPr>
          <w:rFonts w:hint="eastAsia"/>
          <w:color w:val="auto"/>
          <w:lang w:val="en-US" w:eastAsia="zh-CN"/>
        </w:rPr>
        <w:t>用于作业</w:t>
      </w:r>
      <w:r>
        <w:rPr>
          <w:rFonts w:hint="eastAsia"/>
          <w:color w:val="auto"/>
        </w:rPr>
        <w:t>。</w:t>
      </w:r>
    </w:p>
    <w:p>
      <w:pPr>
        <w:spacing w:line="360" w:lineRule="auto"/>
        <w:ind w:firstLine="480" w:firstLineChars="200"/>
        <w:rPr>
          <w:rFonts w:hAnsi="宋体"/>
          <w:color w:val="auto"/>
          <w:sz w:val="24"/>
        </w:rPr>
      </w:pPr>
      <w:r>
        <w:rPr>
          <w:rFonts w:hint="eastAsia"/>
          <w:color w:val="auto"/>
          <w:sz w:val="24"/>
        </w:rPr>
        <w:t>本项目对粉尘的处理主要是采用袋式除尘器，被袋式除尘器截留下来的粉尘即为袋式除尘器粉尘，由前面大气污染物源强计算可知，在破碎筛分环节产生的粉尘量为</w:t>
      </w:r>
      <w:r>
        <w:rPr>
          <w:rFonts w:hint="eastAsia"/>
          <w:color w:val="auto"/>
          <w:sz w:val="24"/>
          <w:lang w:val="en-US" w:eastAsia="zh-CN"/>
        </w:rPr>
        <w:t>0.0325</w:t>
      </w:r>
      <w:r>
        <w:rPr>
          <w:rFonts w:hint="eastAsia"/>
          <w:color w:val="auto"/>
          <w:sz w:val="24"/>
        </w:rPr>
        <w:t>t/a，集气罩的效率为</w:t>
      </w:r>
      <w:r>
        <w:rPr>
          <w:rFonts w:hint="eastAsia"/>
          <w:color w:val="auto"/>
          <w:sz w:val="24"/>
          <w:lang w:val="en-US" w:eastAsia="zh-CN"/>
        </w:rPr>
        <w:t>8</w:t>
      </w:r>
      <w:r>
        <w:rPr>
          <w:rFonts w:hint="eastAsia"/>
          <w:color w:val="auto"/>
          <w:sz w:val="24"/>
        </w:rPr>
        <w:t>0%，袋式除尘器的除尘效率为99%，所以可得被袋式除尘器截留下来的粉尘量为</w:t>
      </w:r>
      <w:r>
        <w:rPr>
          <w:rFonts w:hint="eastAsia"/>
          <w:color w:val="auto"/>
          <w:sz w:val="24"/>
          <w:lang w:val="en-US" w:eastAsia="zh-CN"/>
        </w:rPr>
        <w:t>0.02574</w:t>
      </w:r>
      <w:r>
        <w:rPr>
          <w:rFonts w:hint="eastAsia"/>
          <w:color w:val="auto"/>
          <w:sz w:val="24"/>
        </w:rPr>
        <w:t>t。对袋式除尘器反向冲入洁净气体可使袋式除尘器截留的粉尘脱落。该部分粉尘可</w:t>
      </w:r>
      <w:r>
        <w:rPr>
          <w:rFonts w:hint="eastAsia"/>
          <w:color w:val="auto"/>
          <w:sz w:val="24"/>
          <w:lang w:eastAsia="zh-CN"/>
        </w:rPr>
        <w:t>直接用于施工作业</w:t>
      </w:r>
      <w:r>
        <w:rPr>
          <w:rFonts w:hint="eastAsia"/>
          <w:color w:val="auto"/>
          <w:sz w:val="24"/>
        </w:rPr>
        <w:t>。</w:t>
      </w:r>
    </w:p>
    <w:p>
      <w:pPr>
        <w:bidi w:val="0"/>
        <w:rPr>
          <w:color w:val="auto"/>
        </w:rPr>
      </w:pPr>
      <w:r>
        <w:rPr>
          <w:rFonts w:hint="eastAsia"/>
          <w:color w:val="auto"/>
          <w:lang w:eastAsia="zh-CN"/>
        </w:rPr>
        <w:t>堆场</w:t>
      </w:r>
      <w:r>
        <w:rPr>
          <w:rFonts w:hint="eastAsia"/>
          <w:color w:val="auto"/>
        </w:rPr>
        <w:t>固体废弃物均得到合理处置，对周围环境影响较小，具体处置方式见</w:t>
      </w:r>
      <w:r>
        <w:rPr>
          <w:rFonts w:hint="eastAsia"/>
          <w:color w:val="auto"/>
          <w:lang w:eastAsia="zh-CN"/>
        </w:rPr>
        <w:t>下</w:t>
      </w:r>
      <w:r>
        <w:rPr>
          <w:rFonts w:hint="eastAsia"/>
          <w:color w:val="auto"/>
        </w:rPr>
        <w:t>表。</w:t>
      </w:r>
    </w:p>
    <w:p>
      <w:pPr>
        <w:pStyle w:val="29"/>
        <w:bidi w:val="0"/>
        <w:rPr>
          <w:color w:val="auto"/>
        </w:rPr>
      </w:pPr>
      <w:r>
        <w:rPr>
          <w:rFonts w:hint="eastAsia"/>
          <w:color w:val="auto"/>
        </w:rPr>
        <w:t>表</w:t>
      </w:r>
      <w:r>
        <w:rPr>
          <w:rFonts w:hint="eastAsia"/>
          <w:color w:val="auto"/>
          <w:lang w:val="en-US" w:eastAsia="zh-CN"/>
        </w:rPr>
        <w:t>6.4</w:t>
      </w:r>
      <w:r>
        <w:rPr>
          <w:rFonts w:hint="eastAsia"/>
          <w:color w:val="auto"/>
        </w:rPr>
        <w:t>-1  固体废弃物利用处置情况</w:t>
      </w:r>
    </w:p>
    <w:tbl>
      <w:tblPr>
        <w:tblStyle w:val="21"/>
        <w:tblW w:w="9214"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225"/>
        <w:gridCol w:w="1089"/>
        <w:gridCol w:w="851"/>
        <w:gridCol w:w="709"/>
        <w:gridCol w:w="1134"/>
        <w:gridCol w:w="1134"/>
        <w:gridCol w:w="992"/>
        <w:gridCol w:w="99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88" w:type="dxa"/>
            <w:tcBorders>
              <w:left w:val="single" w:color="auto" w:sz="12" w:space="0"/>
            </w:tcBorders>
            <w:vAlign w:val="center"/>
          </w:tcPr>
          <w:p>
            <w:pPr>
              <w:pStyle w:val="30"/>
              <w:bidi w:val="0"/>
              <w:jc w:val="center"/>
              <w:rPr>
                <w:color w:val="auto"/>
              </w:rPr>
            </w:pPr>
            <w:r>
              <w:rPr>
                <w:color w:val="auto"/>
              </w:rPr>
              <w:t>名称</w:t>
            </w:r>
          </w:p>
        </w:tc>
        <w:tc>
          <w:tcPr>
            <w:tcW w:w="1225" w:type="dxa"/>
            <w:vAlign w:val="center"/>
          </w:tcPr>
          <w:p>
            <w:pPr>
              <w:pStyle w:val="30"/>
              <w:bidi w:val="0"/>
              <w:jc w:val="center"/>
              <w:rPr>
                <w:color w:val="auto"/>
              </w:rPr>
            </w:pPr>
            <w:r>
              <w:rPr>
                <w:color w:val="auto"/>
              </w:rPr>
              <w:t>属性</w:t>
            </w:r>
          </w:p>
        </w:tc>
        <w:tc>
          <w:tcPr>
            <w:tcW w:w="1089" w:type="dxa"/>
            <w:vAlign w:val="center"/>
          </w:tcPr>
          <w:p>
            <w:pPr>
              <w:pStyle w:val="30"/>
              <w:bidi w:val="0"/>
              <w:jc w:val="center"/>
              <w:rPr>
                <w:color w:val="auto"/>
              </w:rPr>
            </w:pPr>
            <w:r>
              <w:rPr>
                <w:color w:val="auto"/>
              </w:rPr>
              <w:t>主要成分</w:t>
            </w:r>
          </w:p>
        </w:tc>
        <w:tc>
          <w:tcPr>
            <w:tcW w:w="851" w:type="dxa"/>
            <w:vAlign w:val="center"/>
          </w:tcPr>
          <w:p>
            <w:pPr>
              <w:pStyle w:val="30"/>
              <w:bidi w:val="0"/>
              <w:jc w:val="center"/>
              <w:rPr>
                <w:color w:val="auto"/>
              </w:rPr>
            </w:pPr>
            <w:r>
              <w:rPr>
                <w:color w:val="auto"/>
              </w:rPr>
              <w:t>鉴别</w:t>
            </w:r>
          </w:p>
          <w:p>
            <w:pPr>
              <w:pStyle w:val="30"/>
              <w:bidi w:val="0"/>
              <w:jc w:val="center"/>
              <w:rPr>
                <w:color w:val="auto"/>
              </w:rPr>
            </w:pPr>
            <w:r>
              <w:rPr>
                <w:color w:val="auto"/>
              </w:rPr>
              <w:t>方法</w:t>
            </w:r>
          </w:p>
        </w:tc>
        <w:tc>
          <w:tcPr>
            <w:tcW w:w="709" w:type="dxa"/>
            <w:vAlign w:val="center"/>
          </w:tcPr>
          <w:p>
            <w:pPr>
              <w:pStyle w:val="30"/>
              <w:bidi w:val="0"/>
              <w:jc w:val="center"/>
              <w:rPr>
                <w:color w:val="auto"/>
              </w:rPr>
            </w:pPr>
            <w:r>
              <w:rPr>
                <w:color w:val="auto"/>
              </w:rPr>
              <w:t>危险</w:t>
            </w:r>
          </w:p>
          <w:p>
            <w:pPr>
              <w:pStyle w:val="30"/>
              <w:bidi w:val="0"/>
              <w:jc w:val="center"/>
              <w:rPr>
                <w:color w:val="auto"/>
              </w:rPr>
            </w:pPr>
            <w:r>
              <w:rPr>
                <w:color w:val="auto"/>
              </w:rPr>
              <w:t>特性</w:t>
            </w:r>
          </w:p>
        </w:tc>
        <w:tc>
          <w:tcPr>
            <w:tcW w:w="1134" w:type="dxa"/>
            <w:vAlign w:val="center"/>
          </w:tcPr>
          <w:p>
            <w:pPr>
              <w:pStyle w:val="30"/>
              <w:bidi w:val="0"/>
              <w:jc w:val="center"/>
              <w:rPr>
                <w:color w:val="auto"/>
              </w:rPr>
            </w:pPr>
            <w:r>
              <w:rPr>
                <w:color w:val="auto"/>
              </w:rPr>
              <w:t>废物类别</w:t>
            </w:r>
          </w:p>
        </w:tc>
        <w:tc>
          <w:tcPr>
            <w:tcW w:w="1134" w:type="dxa"/>
            <w:vAlign w:val="center"/>
          </w:tcPr>
          <w:p>
            <w:pPr>
              <w:pStyle w:val="30"/>
              <w:bidi w:val="0"/>
              <w:jc w:val="center"/>
              <w:rPr>
                <w:color w:val="auto"/>
              </w:rPr>
            </w:pPr>
            <w:r>
              <w:rPr>
                <w:color w:val="auto"/>
              </w:rPr>
              <w:t>废物代码</w:t>
            </w:r>
          </w:p>
        </w:tc>
        <w:tc>
          <w:tcPr>
            <w:tcW w:w="992" w:type="dxa"/>
            <w:vAlign w:val="center"/>
          </w:tcPr>
          <w:p>
            <w:pPr>
              <w:pStyle w:val="30"/>
              <w:bidi w:val="0"/>
              <w:jc w:val="center"/>
              <w:rPr>
                <w:color w:val="auto"/>
              </w:rPr>
            </w:pPr>
            <w:r>
              <w:rPr>
                <w:color w:val="auto"/>
              </w:rPr>
              <w:t>产生量（t/a）</w:t>
            </w:r>
          </w:p>
        </w:tc>
        <w:tc>
          <w:tcPr>
            <w:tcW w:w="992" w:type="dxa"/>
            <w:tcBorders>
              <w:right w:val="single" w:color="auto" w:sz="12" w:space="0"/>
            </w:tcBorders>
          </w:tcPr>
          <w:p>
            <w:pPr>
              <w:pStyle w:val="30"/>
              <w:bidi w:val="0"/>
              <w:jc w:val="center"/>
              <w:rPr>
                <w:color w:val="auto"/>
              </w:rPr>
            </w:pPr>
            <w:r>
              <w:rPr>
                <w:color w:val="auto"/>
              </w:rPr>
              <w:t>处理处置方法</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88" w:type="dxa"/>
            <w:tcBorders>
              <w:left w:val="single" w:color="auto" w:sz="12" w:space="0"/>
            </w:tcBorders>
            <w:vAlign w:val="center"/>
          </w:tcPr>
          <w:p>
            <w:pPr>
              <w:pStyle w:val="30"/>
              <w:bidi w:val="0"/>
              <w:jc w:val="center"/>
              <w:rPr>
                <w:color w:val="auto"/>
              </w:rPr>
            </w:pPr>
            <w:r>
              <w:rPr>
                <w:rFonts w:hint="eastAsia"/>
                <w:color w:val="auto"/>
              </w:rPr>
              <w:t>沉淀砂石</w:t>
            </w:r>
          </w:p>
        </w:tc>
        <w:tc>
          <w:tcPr>
            <w:tcW w:w="1225" w:type="dxa"/>
            <w:tcBorders>
              <w:top w:val="single" w:color="auto" w:sz="4" w:space="0"/>
              <w:bottom w:val="single" w:color="auto" w:sz="4" w:space="0"/>
            </w:tcBorders>
            <w:vAlign w:val="center"/>
          </w:tcPr>
          <w:p>
            <w:pPr>
              <w:pStyle w:val="30"/>
              <w:bidi w:val="0"/>
              <w:jc w:val="center"/>
              <w:rPr>
                <w:color w:val="auto"/>
              </w:rPr>
            </w:pPr>
            <w:r>
              <w:rPr>
                <w:color w:val="auto"/>
              </w:rPr>
              <w:t>一般工业固废</w:t>
            </w:r>
          </w:p>
        </w:tc>
        <w:tc>
          <w:tcPr>
            <w:tcW w:w="1089" w:type="dxa"/>
            <w:vAlign w:val="center"/>
          </w:tcPr>
          <w:p>
            <w:pPr>
              <w:pStyle w:val="30"/>
              <w:bidi w:val="0"/>
              <w:jc w:val="center"/>
              <w:rPr>
                <w:rFonts w:hint="eastAsia" w:eastAsia="宋体"/>
                <w:color w:val="auto"/>
                <w:lang w:eastAsia="zh-CN"/>
              </w:rPr>
            </w:pPr>
            <w:r>
              <w:rPr>
                <w:rFonts w:hint="eastAsia"/>
                <w:color w:val="auto"/>
                <w:lang w:eastAsia="zh-CN"/>
              </w:rPr>
              <w:t>砂石</w:t>
            </w:r>
          </w:p>
        </w:tc>
        <w:tc>
          <w:tcPr>
            <w:tcW w:w="851" w:type="dxa"/>
            <w:vAlign w:val="center"/>
          </w:tcPr>
          <w:p>
            <w:pPr>
              <w:pStyle w:val="30"/>
              <w:bidi w:val="0"/>
              <w:jc w:val="center"/>
              <w:rPr>
                <w:color w:val="auto"/>
              </w:rPr>
            </w:pPr>
            <w:r>
              <w:rPr>
                <w:color w:val="auto"/>
              </w:rPr>
              <w:t>/</w:t>
            </w:r>
          </w:p>
        </w:tc>
        <w:tc>
          <w:tcPr>
            <w:tcW w:w="709" w:type="dxa"/>
            <w:vAlign w:val="center"/>
          </w:tcPr>
          <w:p>
            <w:pPr>
              <w:pStyle w:val="30"/>
              <w:bidi w:val="0"/>
              <w:jc w:val="center"/>
              <w:rPr>
                <w:color w:val="auto"/>
              </w:rPr>
            </w:pPr>
            <w:r>
              <w:rPr>
                <w:color w:val="auto"/>
              </w:rPr>
              <w:t>/</w:t>
            </w:r>
          </w:p>
        </w:tc>
        <w:tc>
          <w:tcPr>
            <w:tcW w:w="1134" w:type="dxa"/>
            <w:vAlign w:val="center"/>
          </w:tcPr>
          <w:p>
            <w:pPr>
              <w:pStyle w:val="30"/>
              <w:bidi w:val="0"/>
              <w:jc w:val="center"/>
              <w:rPr>
                <w:color w:val="auto"/>
              </w:rPr>
            </w:pPr>
            <w:r>
              <w:rPr>
                <w:color w:val="auto"/>
              </w:rPr>
              <w:t>/</w:t>
            </w:r>
          </w:p>
        </w:tc>
        <w:tc>
          <w:tcPr>
            <w:tcW w:w="1134" w:type="dxa"/>
            <w:vAlign w:val="center"/>
          </w:tcPr>
          <w:p>
            <w:pPr>
              <w:pStyle w:val="30"/>
              <w:bidi w:val="0"/>
              <w:jc w:val="center"/>
              <w:rPr>
                <w:color w:val="auto"/>
              </w:rPr>
            </w:pPr>
            <w:r>
              <w:rPr>
                <w:color w:val="auto"/>
              </w:rPr>
              <w:t>/</w:t>
            </w:r>
          </w:p>
        </w:tc>
        <w:tc>
          <w:tcPr>
            <w:tcW w:w="992" w:type="dxa"/>
            <w:vAlign w:val="center"/>
          </w:tcPr>
          <w:p>
            <w:pPr>
              <w:pStyle w:val="30"/>
              <w:bidi w:val="0"/>
              <w:jc w:val="center"/>
              <w:rPr>
                <w:color w:val="auto"/>
              </w:rPr>
            </w:pPr>
            <w:r>
              <w:rPr>
                <w:rFonts w:hint="eastAsia"/>
                <w:color w:val="auto"/>
              </w:rPr>
              <w:t>0.177</w:t>
            </w:r>
          </w:p>
        </w:tc>
        <w:tc>
          <w:tcPr>
            <w:tcW w:w="992" w:type="dxa"/>
            <w:vMerge w:val="restart"/>
            <w:tcBorders>
              <w:right w:val="single" w:color="auto" w:sz="12" w:space="0"/>
            </w:tcBorders>
            <w:vAlign w:val="center"/>
          </w:tcPr>
          <w:p>
            <w:pPr>
              <w:pStyle w:val="30"/>
              <w:bidi w:val="0"/>
              <w:jc w:val="center"/>
              <w:rPr>
                <w:rFonts w:hint="eastAsia" w:eastAsia="宋体"/>
                <w:color w:val="auto"/>
                <w:lang w:eastAsia="zh-CN"/>
              </w:rPr>
            </w:pPr>
            <w:r>
              <w:rPr>
                <w:rFonts w:hint="eastAsia"/>
                <w:color w:val="auto"/>
                <w:lang w:eastAsia="zh-CN"/>
              </w:rPr>
              <w:t>用于施工作业</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88" w:type="dxa"/>
            <w:tcBorders>
              <w:left w:val="single" w:color="auto" w:sz="12" w:space="0"/>
            </w:tcBorders>
            <w:vAlign w:val="center"/>
          </w:tcPr>
          <w:p>
            <w:pPr>
              <w:pStyle w:val="30"/>
              <w:bidi w:val="0"/>
              <w:jc w:val="center"/>
              <w:rPr>
                <w:rFonts w:hint="eastAsia" w:eastAsia="宋体"/>
                <w:color w:val="auto"/>
                <w:lang w:eastAsia="zh-CN"/>
              </w:rPr>
            </w:pPr>
            <w:r>
              <w:rPr>
                <w:rFonts w:hint="eastAsia"/>
                <w:color w:val="auto"/>
                <w:lang w:eastAsia="zh-CN"/>
              </w:rPr>
              <w:t>收集粉尘</w:t>
            </w:r>
          </w:p>
        </w:tc>
        <w:tc>
          <w:tcPr>
            <w:tcW w:w="1225" w:type="dxa"/>
            <w:tcBorders>
              <w:top w:val="single" w:color="auto" w:sz="4" w:space="0"/>
            </w:tcBorders>
            <w:vAlign w:val="center"/>
          </w:tcPr>
          <w:p>
            <w:pPr>
              <w:pStyle w:val="30"/>
              <w:bidi w:val="0"/>
              <w:jc w:val="center"/>
              <w:rPr>
                <w:color w:val="auto"/>
              </w:rPr>
            </w:pPr>
            <w:r>
              <w:rPr>
                <w:color w:val="auto"/>
              </w:rPr>
              <w:t>一般工业固废</w:t>
            </w:r>
          </w:p>
        </w:tc>
        <w:tc>
          <w:tcPr>
            <w:tcW w:w="1089" w:type="dxa"/>
            <w:vAlign w:val="center"/>
          </w:tcPr>
          <w:p>
            <w:pPr>
              <w:pStyle w:val="30"/>
              <w:bidi w:val="0"/>
              <w:jc w:val="center"/>
              <w:rPr>
                <w:rFonts w:hint="eastAsia"/>
                <w:color w:val="auto"/>
                <w:lang w:eastAsia="zh-CN"/>
              </w:rPr>
            </w:pPr>
            <w:r>
              <w:rPr>
                <w:rFonts w:hint="eastAsia"/>
                <w:color w:val="auto"/>
                <w:lang w:eastAsia="zh-CN"/>
              </w:rPr>
              <w:t>粉尘</w:t>
            </w:r>
          </w:p>
        </w:tc>
        <w:tc>
          <w:tcPr>
            <w:tcW w:w="851" w:type="dxa"/>
            <w:vAlign w:val="center"/>
          </w:tcPr>
          <w:p>
            <w:pPr>
              <w:pStyle w:val="30"/>
              <w:bidi w:val="0"/>
              <w:jc w:val="center"/>
              <w:rPr>
                <w:rFonts w:hint="eastAsia" w:eastAsia="宋体"/>
                <w:color w:val="auto"/>
                <w:lang w:val="en-US" w:eastAsia="zh-CN"/>
              </w:rPr>
            </w:pPr>
            <w:r>
              <w:rPr>
                <w:rFonts w:hint="eastAsia"/>
                <w:color w:val="auto"/>
                <w:lang w:val="en-US" w:eastAsia="zh-CN"/>
              </w:rPr>
              <w:t>/</w:t>
            </w:r>
          </w:p>
        </w:tc>
        <w:tc>
          <w:tcPr>
            <w:tcW w:w="709" w:type="dxa"/>
            <w:vAlign w:val="center"/>
          </w:tcPr>
          <w:p>
            <w:pPr>
              <w:pStyle w:val="30"/>
              <w:bidi w:val="0"/>
              <w:jc w:val="center"/>
              <w:rPr>
                <w:rFonts w:hint="eastAsia" w:eastAsia="宋体"/>
                <w:color w:val="auto"/>
                <w:lang w:val="en-US" w:eastAsia="zh-CN"/>
              </w:rPr>
            </w:pPr>
            <w:r>
              <w:rPr>
                <w:rFonts w:hint="eastAsia"/>
                <w:color w:val="auto"/>
                <w:lang w:val="en-US" w:eastAsia="zh-CN"/>
              </w:rPr>
              <w:t>/</w:t>
            </w:r>
          </w:p>
        </w:tc>
        <w:tc>
          <w:tcPr>
            <w:tcW w:w="1134" w:type="dxa"/>
            <w:vAlign w:val="center"/>
          </w:tcPr>
          <w:p>
            <w:pPr>
              <w:pStyle w:val="30"/>
              <w:bidi w:val="0"/>
              <w:jc w:val="center"/>
              <w:rPr>
                <w:rFonts w:hint="eastAsia" w:eastAsia="宋体"/>
                <w:color w:val="auto"/>
                <w:lang w:val="en-US" w:eastAsia="zh-CN"/>
              </w:rPr>
            </w:pPr>
            <w:r>
              <w:rPr>
                <w:rFonts w:hint="eastAsia"/>
                <w:color w:val="auto"/>
                <w:lang w:val="en-US" w:eastAsia="zh-CN"/>
              </w:rPr>
              <w:t>/</w:t>
            </w:r>
          </w:p>
        </w:tc>
        <w:tc>
          <w:tcPr>
            <w:tcW w:w="1134" w:type="dxa"/>
            <w:vAlign w:val="center"/>
          </w:tcPr>
          <w:p>
            <w:pPr>
              <w:pStyle w:val="30"/>
              <w:bidi w:val="0"/>
              <w:jc w:val="center"/>
              <w:rPr>
                <w:rFonts w:hint="eastAsia" w:eastAsia="宋体"/>
                <w:color w:val="auto"/>
                <w:lang w:val="en-US" w:eastAsia="zh-CN"/>
              </w:rPr>
            </w:pPr>
            <w:r>
              <w:rPr>
                <w:rFonts w:hint="eastAsia"/>
                <w:color w:val="auto"/>
                <w:lang w:val="en-US" w:eastAsia="zh-CN"/>
              </w:rPr>
              <w:t>/</w:t>
            </w:r>
          </w:p>
        </w:tc>
        <w:tc>
          <w:tcPr>
            <w:tcW w:w="992" w:type="dxa"/>
            <w:vAlign w:val="center"/>
          </w:tcPr>
          <w:p>
            <w:pPr>
              <w:pStyle w:val="30"/>
              <w:bidi w:val="0"/>
              <w:jc w:val="center"/>
              <w:rPr>
                <w:rFonts w:hint="default" w:eastAsia="宋体"/>
                <w:color w:val="auto"/>
                <w:lang w:val="en-US" w:eastAsia="zh-CN"/>
              </w:rPr>
            </w:pPr>
            <w:r>
              <w:rPr>
                <w:rFonts w:hint="eastAsia"/>
                <w:color w:val="auto"/>
                <w:lang w:val="en-US" w:eastAsia="zh-CN"/>
              </w:rPr>
              <w:t>0.02574</w:t>
            </w:r>
          </w:p>
        </w:tc>
        <w:tc>
          <w:tcPr>
            <w:tcW w:w="992" w:type="dxa"/>
            <w:vMerge w:val="continue"/>
            <w:tcBorders>
              <w:right w:val="single" w:color="auto" w:sz="12" w:space="0"/>
            </w:tcBorders>
            <w:vAlign w:val="center"/>
          </w:tcPr>
          <w:p>
            <w:pPr>
              <w:pStyle w:val="30"/>
              <w:bidi w:val="0"/>
              <w:jc w:val="center"/>
              <w:rPr>
                <w:rFonts w:hint="eastAsia"/>
                <w:color w:val="auto"/>
                <w:lang w:eastAsia="zh-CN"/>
              </w:rPr>
            </w:pPr>
          </w:p>
        </w:tc>
      </w:tr>
    </w:tbl>
    <w:p>
      <w:pPr>
        <w:pStyle w:val="4"/>
        <w:bidi w:val="0"/>
        <w:rPr>
          <w:color w:val="auto"/>
        </w:rPr>
      </w:pPr>
      <w:bookmarkStart w:id="122" w:name="_Toc18149"/>
      <w:bookmarkStart w:id="123" w:name="_Toc3229"/>
      <w:bookmarkStart w:id="124" w:name="_Toc517214633"/>
      <w:r>
        <w:rPr>
          <w:rFonts w:hint="eastAsia"/>
          <w:b/>
          <w:bCs/>
          <w:color w:val="auto"/>
          <w:sz w:val="24"/>
        </w:rPr>
        <w:t>生态环境影响</w:t>
      </w:r>
      <w:bookmarkEnd w:id="122"/>
    </w:p>
    <w:p>
      <w:pPr>
        <w:bidi w:val="0"/>
        <w:rPr>
          <w:rFonts w:hint="eastAsia"/>
          <w:u w:val="single"/>
        </w:rPr>
      </w:pPr>
      <w:r>
        <w:rPr>
          <w:rFonts w:hint="eastAsia"/>
          <w:u w:val="single"/>
          <w:lang w:eastAsia="zh-CN"/>
        </w:rPr>
        <w:t>此外项目渣土运输过程中会沿途会经过居民区，运输路线如附图所示，为避免扬尘污染物料洒落，评价要求：①车辆应使用厢式封闭车或加盖篷布；②避免在交通高峰期运输物料，按规定时段、规定路线运输。运输车辆仅限15吨以下货车，运输时确保运输车辆全覆盖和不发生跑冒滴漏情况；分批次运输，在中转站未达到环保要求前，不允许中途转运。</w:t>
      </w:r>
    </w:p>
    <w:p>
      <w:pPr>
        <w:bidi w:val="0"/>
        <w:rPr>
          <w:rFonts w:hint="eastAsia"/>
          <w:color w:val="auto"/>
          <w:u w:val="single"/>
        </w:rPr>
      </w:pPr>
      <w:r>
        <w:rPr>
          <w:rFonts w:hint="eastAsia"/>
          <w:u w:val="single"/>
        </w:rPr>
        <w:t>本项目对生</w:t>
      </w:r>
      <w:r>
        <w:rPr>
          <w:rFonts w:hint="eastAsia"/>
          <w:color w:val="auto"/>
          <w:u w:val="single"/>
        </w:rPr>
        <w:t>态环境的主要</w:t>
      </w:r>
      <w:r>
        <w:rPr>
          <w:rFonts w:hint="eastAsia"/>
          <w:color w:val="auto"/>
          <w:u w:val="single"/>
          <w:lang w:eastAsia="zh-CN"/>
        </w:rPr>
        <w:t>为</w:t>
      </w:r>
      <w:r>
        <w:rPr>
          <w:rFonts w:hint="eastAsia"/>
          <w:color w:val="auto"/>
          <w:u w:val="single"/>
        </w:rPr>
        <w:t>对土地利用的影响，对植被、植物、动物的影响，以及对湖南东洞庭湖国家级自然保护区的影响，本环评将按减缓、补偿和重建的次序提出防护及恢复，</w:t>
      </w:r>
      <w:r>
        <w:rPr>
          <w:rFonts w:hint="eastAsia"/>
          <w:color w:val="auto"/>
          <w:u w:val="single"/>
          <w:lang w:eastAsia="zh-CN"/>
        </w:rPr>
        <w:t>项目</w:t>
      </w:r>
      <w:r>
        <w:rPr>
          <w:rFonts w:hint="eastAsia"/>
          <w:color w:val="auto"/>
          <w:u w:val="single"/>
        </w:rPr>
        <w:t>建设完成后，</w:t>
      </w:r>
      <w:r>
        <w:rPr>
          <w:rFonts w:hint="eastAsia"/>
          <w:sz w:val="24"/>
          <w:u w:val="single"/>
          <w:lang w:eastAsia="zh-CN"/>
        </w:rPr>
        <w:t>施工期结束后按照《岳阳市君山区桥头堡三角坪片区棚改及配套建设项目（一期）材料堆场临时用地土地复垦方案》进行复垦</w:t>
      </w:r>
      <w:r>
        <w:rPr>
          <w:rFonts w:hint="eastAsia"/>
          <w:sz w:val="24"/>
          <w:u w:val="single"/>
        </w:rPr>
        <w:t>。</w:t>
      </w:r>
      <w:r>
        <w:rPr>
          <w:rFonts w:hint="eastAsia"/>
          <w:color w:val="auto"/>
          <w:u w:val="single"/>
          <w:lang w:eastAsia="zh-CN"/>
        </w:rPr>
        <w:t>，</w:t>
      </w:r>
      <w:r>
        <w:rPr>
          <w:rFonts w:hint="eastAsia"/>
          <w:color w:val="auto"/>
          <w:u w:val="single"/>
        </w:rPr>
        <w:t>可实现区域生态系统重建，改善临时占地区域生态环境，恢复临时占地所在区域土地功能。修复后的土地不涉及建设项目。</w:t>
      </w:r>
    </w:p>
    <w:p>
      <w:pPr>
        <w:bidi w:val="0"/>
        <w:rPr>
          <w:u w:val="single"/>
        </w:rPr>
      </w:pPr>
      <w:r>
        <w:rPr>
          <w:rFonts w:hint="eastAsia"/>
          <w:color w:val="auto"/>
          <w:u w:val="single"/>
          <w:lang w:eastAsia="zh-CN"/>
        </w:rPr>
        <w:t>根据</w:t>
      </w:r>
      <w:r>
        <w:rPr>
          <w:rFonts w:hint="eastAsia"/>
          <w:u w:val="single"/>
        </w:rPr>
        <w:t>项目生态专题</w:t>
      </w:r>
      <w:r>
        <w:rPr>
          <w:rFonts w:hint="eastAsia"/>
          <w:u w:val="single"/>
          <w:lang w:eastAsia="zh-CN"/>
        </w:rPr>
        <w:t>专题临时堆场位于湖南东洞庭湖国家级自然保护区实验区内。项目建设符合国家产业政策及相关规划，项目可促进区域道路网结构的完善，有利于沿线区域社会经济的发展。项目在施工期对周边生态环境带来不同程度的不利影响，在认真落实专题报告提出的生态环境保护减缓措施，所产生的不利影响可以得到有效的控制的前提下，项目的建设是可行的。</w:t>
      </w:r>
    </w:p>
    <w:p>
      <w:pPr>
        <w:pStyle w:val="4"/>
        <w:bidi w:val="0"/>
      </w:pPr>
      <w:bookmarkStart w:id="125" w:name="_Toc13899"/>
      <w:r>
        <w:t>变更后工程总量控制</w:t>
      </w:r>
      <w:bookmarkEnd w:id="123"/>
      <w:bookmarkEnd w:id="124"/>
      <w:bookmarkEnd w:id="125"/>
    </w:p>
    <w:p>
      <w:pPr>
        <w:bidi w:val="0"/>
        <w:rPr>
          <w:rFonts w:hint="eastAsia"/>
          <w:lang w:val="en-US" w:eastAsia="zh-CN"/>
        </w:rPr>
      </w:pPr>
      <w:r>
        <w:rPr>
          <w:rFonts w:hint="eastAsia"/>
          <w:lang w:val="en-US" w:eastAsia="zh-CN"/>
        </w:rPr>
        <w:t>本堆场为</w:t>
      </w:r>
      <w:r>
        <w:rPr>
          <w:rFonts w:hint="default"/>
          <w:lang w:val="en-US" w:eastAsia="zh-CN"/>
        </w:rPr>
        <w:t>岳阳市君山区水利安保工程(二洲子村-旅游路)项目</w:t>
      </w:r>
      <w:r>
        <w:rPr>
          <w:rFonts w:hint="eastAsia"/>
          <w:lang w:val="en-US" w:eastAsia="zh-CN"/>
        </w:rPr>
        <w:t>的临时堆场，为临时占地工程，无需设置总量控制指标。</w:t>
      </w:r>
    </w:p>
    <w:p>
      <w:pPr>
        <w:pStyle w:val="4"/>
        <w:bidi w:val="0"/>
      </w:pPr>
      <w:bookmarkStart w:id="126" w:name="_Toc517214631"/>
      <w:bookmarkStart w:id="127" w:name="_Toc430909476"/>
      <w:bookmarkStart w:id="128" w:name="_Toc20468"/>
      <w:bookmarkStart w:id="129" w:name="_Toc3039"/>
      <w:r>
        <w:t>环保投资估算</w:t>
      </w:r>
      <w:bookmarkEnd w:id="126"/>
      <w:bookmarkEnd w:id="127"/>
      <w:bookmarkEnd w:id="128"/>
      <w:bookmarkEnd w:id="129"/>
    </w:p>
    <w:p>
      <w:pPr>
        <w:bidi w:val="0"/>
        <w:rPr>
          <w:highlight w:val="none"/>
        </w:rPr>
      </w:pPr>
      <w:r>
        <w:rPr>
          <w:highlight w:val="none"/>
          <w:u w:val="none"/>
        </w:rPr>
        <w:t>根据建设项目环境保护“三同时”的要求，为确保工程运行时涉及到的各项环保措施落实到位，必须在项目建设总投资中投入一定比例的环保资金用于污染治理。</w:t>
      </w:r>
    </w:p>
    <w:p>
      <w:pPr>
        <w:pStyle w:val="29"/>
        <w:bidi w:val="0"/>
        <w:rPr>
          <w:u w:val="single"/>
          <w:lang w:val="zh-CN"/>
        </w:rPr>
      </w:pPr>
      <w:r>
        <w:rPr>
          <w:u w:val="single"/>
          <w:lang w:val="zh-CN"/>
        </w:rPr>
        <w:t>表</w:t>
      </w:r>
      <w:r>
        <w:rPr>
          <w:rFonts w:hint="eastAsia"/>
          <w:u w:val="single"/>
          <w:lang w:val="en-US" w:eastAsia="zh-CN"/>
        </w:rPr>
        <w:t>6.</w:t>
      </w:r>
      <w:r>
        <w:rPr>
          <w:u w:val="single"/>
        </w:rPr>
        <w:t>7-</w:t>
      </w:r>
      <w:r>
        <w:rPr>
          <w:rFonts w:hint="eastAsia"/>
          <w:u w:val="single"/>
        </w:rPr>
        <w:t xml:space="preserve">1   </w:t>
      </w:r>
      <w:r>
        <w:rPr>
          <w:u w:val="single"/>
          <w:lang w:val="zh-CN"/>
        </w:rPr>
        <w:t>环保投资一览表</w:t>
      </w:r>
    </w:p>
    <w:tbl>
      <w:tblPr>
        <w:tblStyle w:val="22"/>
        <w:tblW w:w="897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32"/>
        <w:gridCol w:w="1796"/>
        <w:gridCol w:w="3395"/>
        <w:gridCol w:w="1418"/>
        <w:gridCol w:w="133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32" w:type="dxa"/>
            <w:vAlign w:val="center"/>
          </w:tcPr>
          <w:p>
            <w:pPr>
              <w:pStyle w:val="30"/>
              <w:widowControl w:val="0"/>
              <w:bidi w:val="0"/>
              <w:rPr>
                <w:u w:val="single"/>
              </w:rPr>
            </w:pPr>
            <w:r>
              <w:rPr>
                <w:u w:val="single"/>
              </w:rPr>
              <w:t>项目</w:t>
            </w:r>
          </w:p>
        </w:tc>
        <w:tc>
          <w:tcPr>
            <w:tcW w:w="1796" w:type="dxa"/>
            <w:vAlign w:val="center"/>
          </w:tcPr>
          <w:p>
            <w:pPr>
              <w:pStyle w:val="30"/>
              <w:widowControl w:val="0"/>
              <w:bidi w:val="0"/>
              <w:rPr>
                <w:u w:val="single"/>
                <w:lang w:val="zh-CN"/>
              </w:rPr>
            </w:pPr>
            <w:r>
              <w:rPr>
                <w:rFonts w:hint="eastAsia"/>
                <w:u w:val="single"/>
                <w:lang w:val="zh-CN"/>
              </w:rPr>
              <w:t>污染物</w:t>
            </w:r>
          </w:p>
        </w:tc>
        <w:tc>
          <w:tcPr>
            <w:tcW w:w="3395" w:type="dxa"/>
            <w:vAlign w:val="center"/>
          </w:tcPr>
          <w:p>
            <w:pPr>
              <w:pStyle w:val="30"/>
              <w:widowControl w:val="0"/>
              <w:bidi w:val="0"/>
              <w:rPr>
                <w:u w:val="single"/>
              </w:rPr>
            </w:pPr>
            <w:r>
              <w:rPr>
                <w:u w:val="single"/>
              </w:rPr>
              <w:t>措施</w:t>
            </w:r>
          </w:p>
        </w:tc>
        <w:tc>
          <w:tcPr>
            <w:tcW w:w="1418" w:type="dxa"/>
            <w:vAlign w:val="center"/>
          </w:tcPr>
          <w:p>
            <w:pPr>
              <w:pStyle w:val="30"/>
              <w:widowControl w:val="0"/>
              <w:bidi w:val="0"/>
              <w:rPr>
                <w:u w:val="single"/>
              </w:rPr>
            </w:pPr>
            <w:r>
              <w:rPr>
                <w:u w:val="single"/>
              </w:rPr>
              <w:t>投资</w:t>
            </w:r>
            <w:r>
              <w:rPr>
                <w:rFonts w:hint="eastAsia"/>
                <w:u w:val="single"/>
              </w:rPr>
              <w:t>/万元</w:t>
            </w:r>
          </w:p>
        </w:tc>
        <w:tc>
          <w:tcPr>
            <w:tcW w:w="1332" w:type="dxa"/>
            <w:vAlign w:val="center"/>
          </w:tcPr>
          <w:p>
            <w:pPr>
              <w:pStyle w:val="30"/>
              <w:widowControl w:val="0"/>
              <w:bidi w:val="0"/>
              <w:rPr>
                <w:u w:val="single"/>
                <w:lang w:val="zh-CN"/>
              </w:rPr>
            </w:pPr>
            <w:r>
              <w:rPr>
                <w:rFonts w:hint="eastAsia"/>
                <w:u w:val="single"/>
                <w:lang w:val="zh-CN"/>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32" w:type="dxa"/>
            <w:vMerge w:val="restart"/>
            <w:vAlign w:val="center"/>
          </w:tcPr>
          <w:p>
            <w:pPr>
              <w:pStyle w:val="30"/>
              <w:widowControl w:val="0"/>
              <w:bidi w:val="0"/>
              <w:rPr>
                <w:u w:val="single"/>
              </w:rPr>
            </w:pPr>
            <w:r>
              <w:rPr>
                <w:u w:val="single"/>
              </w:rPr>
              <w:t>废水治理</w:t>
            </w:r>
          </w:p>
        </w:tc>
        <w:tc>
          <w:tcPr>
            <w:tcW w:w="1796" w:type="dxa"/>
            <w:vAlign w:val="center"/>
          </w:tcPr>
          <w:p>
            <w:pPr>
              <w:pStyle w:val="30"/>
              <w:widowControl w:val="0"/>
              <w:bidi w:val="0"/>
              <w:rPr>
                <w:u w:val="single"/>
                <w:lang w:val="zh-CN"/>
              </w:rPr>
            </w:pPr>
            <w:r>
              <w:rPr>
                <w:rFonts w:hint="eastAsia"/>
                <w:u w:val="single"/>
                <w:lang w:val="zh-CN"/>
              </w:rPr>
              <w:t>车辆冲洗水</w:t>
            </w:r>
          </w:p>
        </w:tc>
        <w:tc>
          <w:tcPr>
            <w:tcW w:w="3395" w:type="dxa"/>
            <w:vAlign w:val="center"/>
          </w:tcPr>
          <w:p>
            <w:pPr>
              <w:pStyle w:val="30"/>
              <w:widowControl w:val="0"/>
              <w:bidi w:val="0"/>
              <w:rPr>
                <w:u w:val="single"/>
              </w:rPr>
            </w:pPr>
            <w:r>
              <w:rPr>
                <w:rFonts w:hint="eastAsia"/>
                <w:u w:val="single"/>
              </w:rPr>
              <w:t>沉淀后回用于抑尘洒水，不外排。</w:t>
            </w:r>
          </w:p>
        </w:tc>
        <w:tc>
          <w:tcPr>
            <w:tcW w:w="1418" w:type="dxa"/>
            <w:vAlign w:val="center"/>
          </w:tcPr>
          <w:p>
            <w:pPr>
              <w:pStyle w:val="30"/>
              <w:widowControl w:val="0"/>
              <w:bidi w:val="0"/>
              <w:rPr>
                <w:rFonts w:hint="eastAsia" w:eastAsia="宋体"/>
                <w:u w:val="single"/>
                <w:lang w:eastAsia="zh-CN"/>
              </w:rPr>
            </w:pPr>
            <w:r>
              <w:rPr>
                <w:rFonts w:hint="eastAsia"/>
                <w:u w:val="single"/>
                <w:lang w:val="en-US" w:eastAsia="zh-CN"/>
              </w:rPr>
              <w:t>2</w:t>
            </w:r>
          </w:p>
        </w:tc>
        <w:tc>
          <w:tcPr>
            <w:tcW w:w="1332" w:type="dxa"/>
            <w:vAlign w:val="center"/>
          </w:tcPr>
          <w:p>
            <w:pPr>
              <w:pStyle w:val="30"/>
              <w:widowControl w:val="0"/>
              <w:bidi w:val="0"/>
              <w:rPr>
                <w:u w:val="single"/>
                <w:lang w:val="zh-CN"/>
              </w:rPr>
            </w:pPr>
            <w:r>
              <w:rPr>
                <w:rFonts w:hint="eastAsia"/>
                <w:u w:val="single"/>
                <w:lang w:val="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32" w:type="dxa"/>
            <w:vMerge w:val="continue"/>
            <w:vAlign w:val="center"/>
          </w:tcPr>
          <w:p>
            <w:pPr>
              <w:pStyle w:val="30"/>
              <w:widowControl w:val="0"/>
              <w:bidi w:val="0"/>
              <w:rPr>
                <w:u w:val="single"/>
              </w:rPr>
            </w:pPr>
          </w:p>
        </w:tc>
        <w:tc>
          <w:tcPr>
            <w:tcW w:w="1796" w:type="dxa"/>
            <w:vAlign w:val="center"/>
          </w:tcPr>
          <w:p>
            <w:pPr>
              <w:pStyle w:val="30"/>
              <w:widowControl w:val="0"/>
              <w:bidi w:val="0"/>
              <w:rPr>
                <w:u w:val="single"/>
                <w:lang w:val="zh-CN"/>
              </w:rPr>
            </w:pPr>
            <w:r>
              <w:rPr>
                <w:rFonts w:hint="eastAsia"/>
                <w:u w:val="single"/>
                <w:lang w:val="zh-CN"/>
              </w:rPr>
              <w:t>初期雨水</w:t>
            </w:r>
          </w:p>
        </w:tc>
        <w:tc>
          <w:tcPr>
            <w:tcW w:w="3395" w:type="dxa"/>
            <w:vAlign w:val="center"/>
          </w:tcPr>
          <w:p>
            <w:pPr>
              <w:pStyle w:val="30"/>
              <w:widowControl w:val="0"/>
              <w:bidi w:val="0"/>
              <w:rPr>
                <w:rFonts w:hint="eastAsia" w:eastAsia="宋体"/>
                <w:u w:val="single"/>
                <w:lang w:eastAsia="zh-CN"/>
              </w:rPr>
            </w:pPr>
            <w:r>
              <w:rPr>
                <w:rFonts w:hint="eastAsia"/>
                <w:u w:val="single"/>
                <w:lang w:eastAsia="zh-CN"/>
              </w:rPr>
              <w:t>收集池</w:t>
            </w:r>
          </w:p>
        </w:tc>
        <w:tc>
          <w:tcPr>
            <w:tcW w:w="1418" w:type="dxa"/>
            <w:vAlign w:val="center"/>
          </w:tcPr>
          <w:p>
            <w:pPr>
              <w:pStyle w:val="30"/>
              <w:widowControl w:val="0"/>
              <w:bidi w:val="0"/>
              <w:rPr>
                <w:rFonts w:hint="eastAsia" w:eastAsia="宋体"/>
                <w:u w:val="single"/>
                <w:lang w:eastAsia="zh-CN"/>
              </w:rPr>
            </w:pPr>
            <w:r>
              <w:rPr>
                <w:rFonts w:hint="eastAsia"/>
                <w:u w:val="single"/>
                <w:lang w:val="en-US" w:eastAsia="zh-CN"/>
              </w:rPr>
              <w:t>2</w:t>
            </w:r>
          </w:p>
        </w:tc>
        <w:tc>
          <w:tcPr>
            <w:tcW w:w="1332" w:type="dxa"/>
            <w:vAlign w:val="center"/>
          </w:tcPr>
          <w:p>
            <w:pPr>
              <w:pStyle w:val="30"/>
              <w:widowControl w:val="0"/>
              <w:bidi w:val="0"/>
              <w:rPr>
                <w:u w:val="single"/>
                <w:lang w:val="zh-CN"/>
              </w:rPr>
            </w:pPr>
            <w:r>
              <w:rPr>
                <w:rFonts w:hint="eastAsia"/>
                <w:u w:val="single"/>
                <w:lang w:val="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32" w:type="dxa"/>
            <w:vMerge w:val="restart"/>
            <w:vAlign w:val="center"/>
          </w:tcPr>
          <w:p>
            <w:pPr>
              <w:pStyle w:val="30"/>
              <w:widowControl w:val="0"/>
              <w:bidi w:val="0"/>
              <w:rPr>
                <w:u w:val="single"/>
              </w:rPr>
            </w:pPr>
            <w:r>
              <w:rPr>
                <w:u w:val="single"/>
              </w:rPr>
              <w:t>废气治理</w:t>
            </w:r>
          </w:p>
        </w:tc>
        <w:tc>
          <w:tcPr>
            <w:tcW w:w="1796" w:type="dxa"/>
            <w:vAlign w:val="center"/>
          </w:tcPr>
          <w:p>
            <w:pPr>
              <w:pStyle w:val="30"/>
              <w:widowControl w:val="0"/>
              <w:bidi w:val="0"/>
              <w:rPr>
                <w:u w:val="single"/>
                <w:lang w:val="zh-CN"/>
              </w:rPr>
            </w:pPr>
            <w:r>
              <w:rPr>
                <w:rFonts w:hint="eastAsia"/>
                <w:u w:val="single"/>
                <w:lang w:val="zh-CN"/>
              </w:rPr>
              <w:t>扬尘</w:t>
            </w:r>
          </w:p>
        </w:tc>
        <w:tc>
          <w:tcPr>
            <w:tcW w:w="3395" w:type="dxa"/>
            <w:vAlign w:val="center"/>
          </w:tcPr>
          <w:p>
            <w:pPr>
              <w:pStyle w:val="30"/>
              <w:widowControl w:val="0"/>
              <w:bidi w:val="0"/>
              <w:rPr>
                <w:u w:val="single"/>
              </w:rPr>
            </w:pPr>
            <w:r>
              <w:rPr>
                <w:u w:val="single"/>
              </w:rPr>
              <w:t>洒水、堆放材料的</w:t>
            </w:r>
            <w:r>
              <w:rPr>
                <w:rFonts w:hint="eastAsia"/>
                <w:u w:val="single"/>
              </w:rPr>
              <w:t>蓬布遮盖</w:t>
            </w:r>
          </w:p>
          <w:p>
            <w:pPr>
              <w:pStyle w:val="30"/>
              <w:widowControl w:val="0"/>
              <w:bidi w:val="0"/>
              <w:rPr>
                <w:rFonts w:hint="eastAsia" w:eastAsia="宋体"/>
                <w:u w:val="single"/>
                <w:lang w:eastAsia="zh-CN"/>
              </w:rPr>
            </w:pPr>
            <w:r>
              <w:rPr>
                <w:u w:val="single"/>
              </w:rPr>
              <w:t>及建设围挡</w:t>
            </w:r>
          </w:p>
        </w:tc>
        <w:tc>
          <w:tcPr>
            <w:tcW w:w="1418" w:type="dxa"/>
            <w:vAlign w:val="center"/>
          </w:tcPr>
          <w:p>
            <w:pPr>
              <w:pStyle w:val="30"/>
              <w:widowControl w:val="0"/>
              <w:bidi w:val="0"/>
              <w:rPr>
                <w:rFonts w:hint="default" w:eastAsia="宋体"/>
                <w:u w:val="single"/>
                <w:lang w:val="en-US" w:eastAsia="zh-CN"/>
              </w:rPr>
            </w:pPr>
            <w:r>
              <w:rPr>
                <w:rFonts w:hint="eastAsia"/>
                <w:u w:val="single"/>
                <w:lang w:val="en-US" w:eastAsia="zh-CN"/>
              </w:rPr>
              <w:t>10</w:t>
            </w:r>
          </w:p>
        </w:tc>
        <w:tc>
          <w:tcPr>
            <w:tcW w:w="1332" w:type="dxa"/>
            <w:vAlign w:val="center"/>
          </w:tcPr>
          <w:p>
            <w:pPr>
              <w:pStyle w:val="30"/>
              <w:widowControl w:val="0"/>
              <w:bidi w:val="0"/>
              <w:rPr>
                <w:u w:val="single"/>
                <w:lang w:val="zh-CN"/>
              </w:rPr>
            </w:pPr>
            <w:r>
              <w:rPr>
                <w:rFonts w:hint="eastAsia"/>
                <w:u w:val="single"/>
                <w:lang w:val="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32" w:type="dxa"/>
            <w:vMerge w:val="continue"/>
            <w:vAlign w:val="center"/>
          </w:tcPr>
          <w:p>
            <w:pPr>
              <w:pStyle w:val="30"/>
              <w:widowControl w:val="0"/>
              <w:bidi w:val="0"/>
              <w:rPr>
                <w:u w:val="single"/>
              </w:rPr>
            </w:pPr>
          </w:p>
        </w:tc>
        <w:tc>
          <w:tcPr>
            <w:tcW w:w="1796" w:type="dxa"/>
            <w:vAlign w:val="center"/>
          </w:tcPr>
          <w:p>
            <w:pPr>
              <w:pStyle w:val="30"/>
              <w:widowControl w:val="0"/>
              <w:bidi w:val="0"/>
              <w:rPr>
                <w:rFonts w:hint="eastAsia"/>
                <w:u w:val="single"/>
                <w:lang w:val="zh-CN"/>
              </w:rPr>
            </w:pPr>
            <w:r>
              <w:rPr>
                <w:rFonts w:hint="eastAsia"/>
                <w:u w:val="single"/>
                <w:lang w:val="zh-CN"/>
              </w:rPr>
              <w:t>破碎粉尘</w:t>
            </w:r>
          </w:p>
        </w:tc>
        <w:tc>
          <w:tcPr>
            <w:tcW w:w="3395" w:type="dxa"/>
            <w:vAlign w:val="center"/>
          </w:tcPr>
          <w:p>
            <w:pPr>
              <w:pStyle w:val="30"/>
              <w:widowControl w:val="0"/>
              <w:bidi w:val="0"/>
              <w:rPr>
                <w:rFonts w:hint="default" w:eastAsia="宋体"/>
                <w:u w:val="single"/>
                <w:lang w:val="en-US" w:eastAsia="zh-CN"/>
              </w:rPr>
            </w:pPr>
            <w:r>
              <w:rPr>
                <w:rFonts w:hint="eastAsia"/>
                <w:u w:val="single"/>
                <w:lang w:eastAsia="zh-CN"/>
              </w:rPr>
              <w:t>集气罩</w:t>
            </w:r>
            <w:r>
              <w:rPr>
                <w:rFonts w:hint="eastAsia"/>
                <w:u w:val="single"/>
                <w:lang w:val="en-US" w:eastAsia="zh-CN"/>
              </w:rPr>
              <w:t>+布袋除尘+15排气筒</w:t>
            </w:r>
          </w:p>
        </w:tc>
        <w:tc>
          <w:tcPr>
            <w:tcW w:w="1418" w:type="dxa"/>
            <w:vAlign w:val="center"/>
          </w:tcPr>
          <w:p>
            <w:pPr>
              <w:pStyle w:val="30"/>
              <w:widowControl w:val="0"/>
              <w:bidi w:val="0"/>
              <w:rPr>
                <w:rFonts w:hint="default"/>
                <w:u w:val="single"/>
                <w:lang w:val="en-US" w:eastAsia="zh-CN"/>
              </w:rPr>
            </w:pPr>
            <w:r>
              <w:rPr>
                <w:rFonts w:hint="eastAsia"/>
                <w:u w:val="single"/>
                <w:lang w:val="en-US" w:eastAsia="zh-CN"/>
              </w:rPr>
              <w:t>10</w:t>
            </w:r>
          </w:p>
        </w:tc>
        <w:tc>
          <w:tcPr>
            <w:tcW w:w="1332" w:type="dxa"/>
            <w:vAlign w:val="center"/>
          </w:tcPr>
          <w:p>
            <w:pPr>
              <w:pStyle w:val="30"/>
              <w:widowControl w:val="0"/>
              <w:bidi w:val="0"/>
              <w:rPr>
                <w:rFonts w:hint="eastAsia"/>
                <w:u w:val="single"/>
                <w:lang w:val="zh-CN"/>
              </w:rPr>
            </w:pPr>
            <w:r>
              <w:rPr>
                <w:rFonts w:hint="eastAsia"/>
                <w:u w:val="single"/>
                <w:lang w:val="zh-CN"/>
              </w:rPr>
              <w:t>新增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32" w:type="dxa"/>
            <w:vAlign w:val="center"/>
          </w:tcPr>
          <w:p>
            <w:pPr>
              <w:pStyle w:val="30"/>
              <w:widowControl w:val="0"/>
              <w:bidi w:val="0"/>
              <w:rPr>
                <w:u w:val="single"/>
              </w:rPr>
            </w:pPr>
            <w:r>
              <w:rPr>
                <w:rFonts w:hint="eastAsia"/>
                <w:u w:val="single"/>
              </w:rPr>
              <w:t>噪声治理</w:t>
            </w:r>
          </w:p>
        </w:tc>
        <w:tc>
          <w:tcPr>
            <w:tcW w:w="1796" w:type="dxa"/>
            <w:vAlign w:val="center"/>
          </w:tcPr>
          <w:p>
            <w:pPr>
              <w:pStyle w:val="30"/>
              <w:widowControl w:val="0"/>
              <w:bidi w:val="0"/>
              <w:rPr>
                <w:u w:val="single"/>
                <w:lang w:val="zh-CN"/>
              </w:rPr>
            </w:pPr>
            <w:r>
              <w:rPr>
                <w:rFonts w:hint="eastAsia"/>
                <w:u w:val="single"/>
                <w:lang w:val="zh-CN"/>
              </w:rPr>
              <w:t>噪声</w:t>
            </w:r>
          </w:p>
        </w:tc>
        <w:tc>
          <w:tcPr>
            <w:tcW w:w="3395" w:type="dxa"/>
            <w:vAlign w:val="center"/>
          </w:tcPr>
          <w:p>
            <w:pPr>
              <w:pStyle w:val="30"/>
              <w:widowControl w:val="0"/>
              <w:bidi w:val="0"/>
              <w:rPr>
                <w:rFonts w:hint="eastAsia" w:eastAsia="宋体"/>
                <w:u w:val="single"/>
                <w:lang w:eastAsia="zh-CN"/>
              </w:rPr>
            </w:pPr>
            <w:r>
              <w:rPr>
                <w:rFonts w:hint="eastAsia"/>
                <w:u w:val="single"/>
                <w:lang w:val="en-US" w:eastAsia="zh-CN"/>
              </w:rPr>
              <w:t>/</w:t>
            </w:r>
          </w:p>
        </w:tc>
        <w:tc>
          <w:tcPr>
            <w:tcW w:w="1418" w:type="dxa"/>
            <w:vAlign w:val="center"/>
          </w:tcPr>
          <w:p>
            <w:pPr>
              <w:pStyle w:val="30"/>
              <w:widowControl w:val="0"/>
              <w:bidi w:val="0"/>
              <w:rPr>
                <w:rFonts w:hint="eastAsia" w:eastAsia="宋体"/>
                <w:u w:val="single"/>
                <w:lang w:eastAsia="zh-CN"/>
              </w:rPr>
            </w:pPr>
            <w:r>
              <w:rPr>
                <w:rFonts w:hint="eastAsia"/>
                <w:u w:val="single"/>
                <w:lang w:val="en-US" w:eastAsia="zh-CN"/>
              </w:rPr>
              <w:t>/</w:t>
            </w:r>
          </w:p>
        </w:tc>
        <w:tc>
          <w:tcPr>
            <w:tcW w:w="1332" w:type="dxa"/>
            <w:vAlign w:val="center"/>
          </w:tcPr>
          <w:p>
            <w:pPr>
              <w:pStyle w:val="30"/>
              <w:widowControl w:val="0"/>
              <w:bidi w:val="0"/>
              <w:rPr>
                <w:rFonts w:hint="eastAsia" w:eastAsia="宋体"/>
                <w:u w:val="single"/>
                <w:lang w:val="zh-CN" w:eastAsia="zh-CN"/>
              </w:rPr>
            </w:pPr>
            <w:r>
              <w:rPr>
                <w:rFonts w:hint="eastAsia"/>
                <w:u w:val="singl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032" w:type="dxa"/>
            <w:vAlign w:val="center"/>
          </w:tcPr>
          <w:p>
            <w:pPr>
              <w:pStyle w:val="30"/>
              <w:widowControl w:val="0"/>
              <w:bidi w:val="0"/>
              <w:rPr>
                <w:u w:val="single"/>
              </w:rPr>
            </w:pPr>
            <w:r>
              <w:rPr>
                <w:u w:val="single"/>
              </w:rPr>
              <w:t>固体废物</w:t>
            </w:r>
          </w:p>
        </w:tc>
        <w:tc>
          <w:tcPr>
            <w:tcW w:w="1796" w:type="dxa"/>
            <w:vAlign w:val="center"/>
          </w:tcPr>
          <w:p>
            <w:pPr>
              <w:pStyle w:val="30"/>
              <w:widowControl w:val="0"/>
              <w:bidi w:val="0"/>
              <w:rPr>
                <w:u w:val="single"/>
                <w:lang w:val="zh-CN"/>
              </w:rPr>
            </w:pPr>
            <w:r>
              <w:rPr>
                <w:rFonts w:hint="eastAsia"/>
                <w:u w:val="single"/>
                <w:lang w:val="zh-CN"/>
              </w:rPr>
              <w:t>沉淀池泥沙</w:t>
            </w:r>
          </w:p>
        </w:tc>
        <w:tc>
          <w:tcPr>
            <w:tcW w:w="3395" w:type="dxa"/>
            <w:vAlign w:val="center"/>
          </w:tcPr>
          <w:p>
            <w:pPr>
              <w:pStyle w:val="30"/>
              <w:widowControl w:val="0"/>
              <w:bidi w:val="0"/>
              <w:rPr>
                <w:rFonts w:hint="eastAsia" w:eastAsia="宋体"/>
                <w:u w:val="single"/>
                <w:lang w:eastAsia="zh-CN"/>
              </w:rPr>
            </w:pPr>
            <w:r>
              <w:rPr>
                <w:rFonts w:hint="eastAsia"/>
                <w:u w:val="single"/>
                <w:lang w:eastAsia="zh-CN"/>
              </w:rPr>
              <w:t>回用于施工作业</w:t>
            </w:r>
          </w:p>
        </w:tc>
        <w:tc>
          <w:tcPr>
            <w:tcW w:w="1418" w:type="dxa"/>
            <w:vAlign w:val="center"/>
          </w:tcPr>
          <w:p>
            <w:pPr>
              <w:pStyle w:val="30"/>
              <w:widowControl w:val="0"/>
              <w:bidi w:val="0"/>
              <w:rPr>
                <w:rFonts w:hint="eastAsia" w:eastAsia="宋体"/>
                <w:u w:val="single"/>
                <w:lang w:eastAsia="zh-CN"/>
              </w:rPr>
            </w:pPr>
            <w:r>
              <w:rPr>
                <w:rFonts w:hint="eastAsia"/>
                <w:u w:val="single"/>
                <w:lang w:val="en-US" w:eastAsia="zh-CN"/>
              </w:rPr>
              <w:t>1</w:t>
            </w:r>
          </w:p>
        </w:tc>
        <w:tc>
          <w:tcPr>
            <w:tcW w:w="1332" w:type="dxa"/>
            <w:vAlign w:val="center"/>
          </w:tcPr>
          <w:p>
            <w:pPr>
              <w:pStyle w:val="30"/>
              <w:widowControl w:val="0"/>
              <w:bidi w:val="0"/>
              <w:rPr>
                <w:u w:val="single"/>
                <w:lang w:val="zh-CN"/>
              </w:rPr>
            </w:pPr>
            <w:r>
              <w:rPr>
                <w:rFonts w:hint="eastAsia"/>
                <w:u w:val="single"/>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6223" w:type="dxa"/>
            <w:gridSpan w:val="3"/>
            <w:vAlign w:val="center"/>
          </w:tcPr>
          <w:p>
            <w:pPr>
              <w:pStyle w:val="30"/>
              <w:widowControl w:val="0"/>
              <w:bidi w:val="0"/>
              <w:rPr>
                <w:u w:val="single"/>
              </w:rPr>
            </w:pPr>
            <w:r>
              <w:rPr>
                <w:u w:val="single"/>
              </w:rPr>
              <w:t>合计</w:t>
            </w:r>
          </w:p>
        </w:tc>
        <w:tc>
          <w:tcPr>
            <w:tcW w:w="1418" w:type="dxa"/>
            <w:vAlign w:val="center"/>
          </w:tcPr>
          <w:p>
            <w:pPr>
              <w:pStyle w:val="30"/>
              <w:widowControl w:val="0"/>
              <w:bidi w:val="0"/>
              <w:rPr>
                <w:rFonts w:hint="default" w:eastAsia="宋体"/>
                <w:u w:val="single"/>
                <w:lang w:val="en-US" w:eastAsia="zh-CN"/>
              </w:rPr>
            </w:pPr>
            <w:r>
              <w:rPr>
                <w:rFonts w:hint="eastAsia"/>
                <w:u w:val="single"/>
                <w:lang w:val="en-US" w:eastAsia="zh-CN"/>
              </w:rPr>
              <w:t>25</w:t>
            </w:r>
          </w:p>
        </w:tc>
        <w:tc>
          <w:tcPr>
            <w:tcW w:w="1332" w:type="dxa"/>
            <w:vAlign w:val="center"/>
          </w:tcPr>
          <w:p>
            <w:pPr>
              <w:pStyle w:val="30"/>
              <w:widowControl w:val="0"/>
              <w:bidi w:val="0"/>
              <w:rPr>
                <w:u w:val="single"/>
                <w:lang w:val="zh-CN"/>
              </w:rPr>
            </w:pPr>
          </w:p>
        </w:tc>
      </w:tr>
    </w:tbl>
    <w:p>
      <w:pPr>
        <w:pStyle w:val="4"/>
        <w:bidi w:val="0"/>
      </w:pPr>
      <w:bookmarkStart w:id="130" w:name="_Toc18304"/>
      <w:bookmarkStart w:id="131" w:name="_Toc517214632"/>
      <w:bookmarkStart w:id="132" w:name="_Toc29405"/>
      <w:r>
        <w:t>环保竣工验收</w:t>
      </w:r>
      <w:bookmarkEnd w:id="130"/>
      <w:bookmarkEnd w:id="131"/>
      <w:bookmarkEnd w:id="132"/>
    </w:p>
    <w:p>
      <w:pPr>
        <w:bidi w:val="0"/>
        <w:rPr>
          <w:rFonts w:hint="eastAsia"/>
        </w:rPr>
      </w:pPr>
      <w:r>
        <w:t>根据《中华人民共和国环境噪声污染防治法》</w:t>
      </w:r>
      <w:r>
        <w:rPr>
          <w:rFonts w:hint="eastAsia"/>
        </w:rPr>
        <w:t>、</w:t>
      </w:r>
      <w:r>
        <w:t>《中华人民共和国固体废物污染环境防治法》</w:t>
      </w:r>
      <w:r>
        <w:rPr>
          <w:rFonts w:hint="eastAsia"/>
        </w:rPr>
        <w:t>、</w:t>
      </w:r>
      <w:r>
        <w:t>《关于发布〈建设项目竣工环境保护验收暂行办法〉的公告》（国</w:t>
      </w:r>
      <w:r>
        <w:rPr>
          <w:rFonts w:hint="default"/>
        </w:rPr>
        <w:t>环规环评〔2017〕4号）以及其他有关规</w:t>
      </w:r>
      <w:r>
        <w:t>定</w:t>
      </w:r>
      <w:r>
        <w:rPr>
          <w:rFonts w:hint="eastAsia"/>
        </w:rPr>
        <w:t>，</w:t>
      </w:r>
      <w:r>
        <w:t>本项目建成投入初步运营后，建设单位需向浏阳市</w:t>
      </w:r>
      <w:r>
        <w:rPr>
          <w:rFonts w:hint="eastAsia"/>
        </w:rPr>
        <w:t>环境</w:t>
      </w:r>
      <w:r>
        <w:t>环保局申请</w:t>
      </w:r>
      <w:r>
        <w:rPr>
          <w:rFonts w:hint="eastAsia"/>
        </w:rPr>
        <w:t>对项目</w:t>
      </w:r>
      <w:r>
        <w:t>（噪声、固体废物污染防治设施）竣工环境保护验收申请</w:t>
      </w:r>
      <w:r>
        <w:rPr>
          <w:rFonts w:hint="eastAsia"/>
        </w:rPr>
        <w:t>，项目（废水和大气污染防治措施）可进行</w:t>
      </w:r>
      <w:r>
        <w:t>自主验收整改。</w:t>
      </w:r>
    </w:p>
    <w:p>
      <w:pPr>
        <w:bidi w:val="0"/>
      </w:pPr>
      <w:r>
        <w:rPr>
          <w:rFonts w:hint="eastAsia"/>
        </w:rPr>
        <w:t>自主</w:t>
      </w:r>
      <w:r>
        <w:t>环保竣工验收参照《建设项目竣工环境保护验收暂行办法》（国环规环评[2017]4号）进行。</w:t>
      </w:r>
    </w:p>
    <w:p>
      <w:pPr>
        <w:bidi w:val="0"/>
      </w:pPr>
      <w:r>
        <w:t>本项目竣工环保验收内容见表</w:t>
      </w:r>
      <w:r>
        <w:rPr>
          <w:rFonts w:hint="eastAsia"/>
          <w:lang w:val="en-US" w:eastAsia="zh-CN"/>
        </w:rPr>
        <w:t>6.8</w:t>
      </w:r>
      <w:r>
        <w:t>-</w:t>
      </w:r>
      <w:r>
        <w:rPr>
          <w:rFonts w:hint="eastAsia"/>
          <w:lang w:val="en-US" w:eastAsia="zh-CN"/>
        </w:rPr>
        <w:t>1</w:t>
      </w:r>
      <w:r>
        <w:t>。</w:t>
      </w:r>
    </w:p>
    <w:p>
      <w:pPr>
        <w:pStyle w:val="29"/>
        <w:bidi w:val="0"/>
      </w:pPr>
      <w:r>
        <w:t>表</w:t>
      </w:r>
      <w:r>
        <w:rPr>
          <w:rFonts w:hint="eastAsia"/>
          <w:lang w:val="en-US" w:eastAsia="zh-CN"/>
        </w:rPr>
        <w:t>6.8-1</w:t>
      </w:r>
      <w:r>
        <w:t xml:space="preserve">   竣工环保验收一览表</w:t>
      </w:r>
    </w:p>
    <w:tbl>
      <w:tblPr>
        <w:tblStyle w:val="21"/>
        <w:tblW w:w="8923"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shd w:val="clear" w:color="auto" w:fill="auto"/>
        <w:tblLayout w:type="fixed"/>
        <w:tblCellMar>
          <w:top w:w="0" w:type="dxa"/>
          <w:left w:w="108" w:type="dxa"/>
          <w:bottom w:w="0" w:type="dxa"/>
          <w:right w:w="108" w:type="dxa"/>
        </w:tblCellMar>
      </w:tblPr>
      <w:tblGrid>
        <w:gridCol w:w="1072"/>
        <w:gridCol w:w="1277"/>
        <w:gridCol w:w="1254"/>
        <w:gridCol w:w="3607"/>
        <w:gridCol w:w="1713"/>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shd w:val="clear" w:color="auto" w:fill="auto"/>
          <w:tblCellMar>
            <w:top w:w="0" w:type="dxa"/>
            <w:left w:w="108" w:type="dxa"/>
            <w:bottom w:w="0" w:type="dxa"/>
            <w:right w:w="108" w:type="dxa"/>
          </w:tblCellMar>
        </w:tblPrEx>
        <w:trPr>
          <w:cantSplit/>
          <w:trHeight w:val="482" w:hRule="atLeast"/>
          <w:jc w:val="center"/>
        </w:trPr>
        <w:tc>
          <w:tcPr>
            <w:tcW w:w="1072" w:type="dxa"/>
            <w:tcBorders>
              <w:tl2br w:val="nil"/>
              <w:tr2bl w:val="nil"/>
            </w:tcBorders>
            <w:shd w:val="clear" w:color="auto" w:fill="auto"/>
            <w:noWrap w:val="0"/>
            <w:vAlign w:val="center"/>
          </w:tcPr>
          <w:p>
            <w:pPr>
              <w:pStyle w:val="30"/>
              <w:bidi w:val="0"/>
              <w:rPr>
                <w:rFonts w:hint="eastAsia"/>
                <w:lang w:eastAsia="zh-CN"/>
              </w:rPr>
            </w:pPr>
            <w:r>
              <w:rPr>
                <w:rFonts w:hint="default"/>
              </w:rPr>
              <w:t>污染类型</w:t>
            </w:r>
          </w:p>
        </w:tc>
        <w:tc>
          <w:tcPr>
            <w:tcW w:w="1277" w:type="dxa"/>
            <w:tcBorders>
              <w:tl2br w:val="nil"/>
              <w:tr2bl w:val="nil"/>
            </w:tcBorders>
            <w:shd w:val="clear" w:color="auto" w:fill="auto"/>
            <w:noWrap w:val="0"/>
            <w:vAlign w:val="center"/>
          </w:tcPr>
          <w:p>
            <w:pPr>
              <w:pStyle w:val="30"/>
              <w:bidi w:val="0"/>
              <w:rPr>
                <w:rFonts w:hint="default"/>
              </w:rPr>
            </w:pPr>
            <w:r>
              <w:rPr>
                <w:rFonts w:hint="default"/>
              </w:rPr>
              <w:t>验收项目</w:t>
            </w:r>
          </w:p>
        </w:tc>
        <w:tc>
          <w:tcPr>
            <w:tcW w:w="1254" w:type="dxa"/>
            <w:tcBorders>
              <w:tl2br w:val="nil"/>
              <w:tr2bl w:val="nil"/>
            </w:tcBorders>
            <w:shd w:val="clear" w:color="auto" w:fill="auto"/>
            <w:noWrap w:val="0"/>
            <w:vAlign w:val="center"/>
          </w:tcPr>
          <w:p>
            <w:pPr>
              <w:pStyle w:val="30"/>
              <w:bidi w:val="0"/>
              <w:rPr>
                <w:rFonts w:hint="default"/>
              </w:rPr>
            </w:pPr>
            <w:r>
              <w:rPr>
                <w:rFonts w:hint="default"/>
              </w:rPr>
              <w:t>验收因子</w:t>
            </w:r>
          </w:p>
        </w:tc>
        <w:tc>
          <w:tcPr>
            <w:tcW w:w="3607" w:type="dxa"/>
            <w:tcBorders>
              <w:tl2br w:val="nil"/>
              <w:tr2bl w:val="nil"/>
            </w:tcBorders>
            <w:shd w:val="clear" w:color="auto" w:fill="auto"/>
            <w:noWrap w:val="0"/>
            <w:tcMar>
              <w:left w:w="57" w:type="dxa"/>
              <w:right w:w="57" w:type="dxa"/>
            </w:tcMar>
            <w:vAlign w:val="center"/>
          </w:tcPr>
          <w:p>
            <w:pPr>
              <w:pStyle w:val="30"/>
              <w:bidi w:val="0"/>
              <w:rPr>
                <w:rFonts w:hint="default"/>
              </w:rPr>
            </w:pPr>
            <w:r>
              <w:rPr>
                <w:rFonts w:hint="default"/>
              </w:rPr>
              <w:t>防治措施</w:t>
            </w:r>
          </w:p>
        </w:tc>
        <w:tc>
          <w:tcPr>
            <w:tcW w:w="1713" w:type="dxa"/>
            <w:tcBorders>
              <w:tl2br w:val="nil"/>
              <w:tr2bl w:val="nil"/>
            </w:tcBorders>
            <w:shd w:val="clear" w:color="auto" w:fill="auto"/>
            <w:noWrap w:val="0"/>
            <w:vAlign w:val="center"/>
          </w:tcPr>
          <w:p>
            <w:pPr>
              <w:pStyle w:val="30"/>
              <w:bidi w:val="0"/>
              <w:rPr>
                <w:rFonts w:hint="default"/>
              </w:rPr>
            </w:pPr>
            <w:r>
              <w:rPr>
                <w:rFonts w:hint="default"/>
              </w:rPr>
              <w:t>验收标准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834" w:hRule="atLeast"/>
          <w:jc w:val="center"/>
        </w:trPr>
        <w:tc>
          <w:tcPr>
            <w:tcW w:w="1072" w:type="dxa"/>
            <w:vMerge w:val="restart"/>
            <w:tcBorders>
              <w:tl2br w:val="nil"/>
              <w:tr2bl w:val="nil"/>
            </w:tcBorders>
            <w:shd w:val="clear" w:color="auto" w:fill="auto"/>
            <w:noWrap w:val="0"/>
            <w:vAlign w:val="center"/>
          </w:tcPr>
          <w:p>
            <w:pPr>
              <w:pStyle w:val="30"/>
              <w:bidi w:val="0"/>
              <w:rPr>
                <w:rFonts w:hint="eastAsia"/>
                <w:lang w:val="en-US" w:eastAsia="zh-CN"/>
              </w:rPr>
            </w:pPr>
            <w:r>
              <w:rPr>
                <w:rFonts w:hint="eastAsia"/>
                <w:lang w:val="en-US" w:eastAsia="zh-CN"/>
              </w:rPr>
              <w:t>废气</w:t>
            </w:r>
          </w:p>
        </w:tc>
        <w:tc>
          <w:tcPr>
            <w:tcW w:w="1277" w:type="dxa"/>
            <w:tcBorders>
              <w:tl2br w:val="nil"/>
              <w:tr2bl w:val="nil"/>
            </w:tcBorders>
            <w:shd w:val="clear" w:color="auto" w:fill="auto"/>
            <w:noWrap w:val="0"/>
            <w:vAlign w:val="center"/>
          </w:tcPr>
          <w:p>
            <w:pPr>
              <w:pStyle w:val="30"/>
              <w:bidi w:val="0"/>
              <w:rPr>
                <w:rFonts w:hint="default"/>
              </w:rPr>
            </w:pPr>
            <w:r>
              <w:rPr>
                <w:rFonts w:hint="default"/>
              </w:rPr>
              <w:t>施工场地</w:t>
            </w:r>
          </w:p>
        </w:tc>
        <w:tc>
          <w:tcPr>
            <w:tcW w:w="1254" w:type="dxa"/>
            <w:tcBorders>
              <w:tl2br w:val="nil"/>
              <w:tr2bl w:val="nil"/>
            </w:tcBorders>
            <w:shd w:val="clear" w:color="auto" w:fill="auto"/>
            <w:noWrap w:val="0"/>
            <w:vAlign w:val="center"/>
          </w:tcPr>
          <w:p>
            <w:pPr>
              <w:pStyle w:val="30"/>
              <w:bidi w:val="0"/>
              <w:rPr>
                <w:rFonts w:hint="default"/>
              </w:rPr>
            </w:pPr>
            <w:r>
              <w:rPr>
                <w:rFonts w:hint="default"/>
              </w:rPr>
              <w:t>施工扬尘</w:t>
            </w:r>
          </w:p>
        </w:tc>
        <w:tc>
          <w:tcPr>
            <w:tcW w:w="3607" w:type="dxa"/>
            <w:tcBorders>
              <w:tl2br w:val="nil"/>
              <w:tr2bl w:val="nil"/>
            </w:tcBorders>
            <w:shd w:val="clear" w:color="auto" w:fill="auto"/>
            <w:noWrap w:val="0"/>
            <w:tcMar>
              <w:left w:w="57" w:type="dxa"/>
              <w:right w:w="57" w:type="dxa"/>
            </w:tcMar>
            <w:vAlign w:val="center"/>
          </w:tcPr>
          <w:p>
            <w:pPr>
              <w:pStyle w:val="30"/>
              <w:bidi w:val="0"/>
              <w:rPr>
                <w:rFonts w:hint="default"/>
              </w:rPr>
            </w:pPr>
            <w:r>
              <w:rPr>
                <w:rFonts w:hint="default"/>
              </w:rPr>
              <w:t>①定期洒水；②设置围挡；③</w:t>
            </w:r>
            <w:r>
              <w:t>粉状材料堆放时设篷盖</w:t>
            </w:r>
            <w:r>
              <w:rPr>
                <w:rFonts w:hint="eastAsia"/>
                <w:lang w:eastAsia="zh-CN"/>
              </w:rPr>
              <w:t>；④</w:t>
            </w:r>
            <w:r>
              <w:rPr>
                <w:rFonts w:hint="default"/>
              </w:rPr>
              <w:t>运输车辆采用密闭车斗，保证物料不外漏；</w:t>
            </w:r>
          </w:p>
        </w:tc>
        <w:tc>
          <w:tcPr>
            <w:tcW w:w="1713" w:type="dxa"/>
            <w:vMerge w:val="restart"/>
            <w:tcBorders>
              <w:tl2br w:val="nil"/>
              <w:tr2bl w:val="nil"/>
            </w:tcBorders>
            <w:shd w:val="clear" w:color="auto" w:fill="auto"/>
            <w:noWrap w:val="0"/>
            <w:vAlign w:val="center"/>
          </w:tcPr>
          <w:p>
            <w:pPr>
              <w:pStyle w:val="30"/>
              <w:bidi w:val="0"/>
              <w:rPr>
                <w:rFonts w:hint="default"/>
              </w:rPr>
            </w:pPr>
            <w:r>
              <w:rPr>
                <w:rFonts w:hint="default"/>
              </w:rPr>
              <w:t>《大气污染物综合排放标准》</w:t>
            </w:r>
            <w:r>
              <w:rPr>
                <w:rFonts w:hint="eastAsia"/>
              </w:rPr>
              <w:t>（</w:t>
            </w:r>
            <w:r>
              <w:rPr>
                <w:rFonts w:hint="default"/>
              </w:rPr>
              <w:t>GB16297-1996</w:t>
            </w:r>
            <w:r>
              <w:rPr>
                <w:rFonts w:hint="eastAsia"/>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536" w:hRule="atLeast"/>
          <w:jc w:val="center"/>
        </w:trPr>
        <w:tc>
          <w:tcPr>
            <w:tcW w:w="1072" w:type="dxa"/>
            <w:vMerge w:val="continue"/>
            <w:tcBorders>
              <w:tl2br w:val="nil"/>
              <w:tr2bl w:val="nil"/>
            </w:tcBorders>
            <w:shd w:val="clear" w:color="auto" w:fill="auto"/>
            <w:noWrap w:val="0"/>
            <w:vAlign w:val="center"/>
          </w:tcPr>
          <w:p>
            <w:pPr>
              <w:pStyle w:val="30"/>
              <w:bidi w:val="0"/>
              <w:rPr>
                <w:rFonts w:hint="eastAsia"/>
                <w:lang w:val="en-US" w:eastAsia="zh-CN"/>
              </w:rPr>
            </w:pPr>
          </w:p>
        </w:tc>
        <w:tc>
          <w:tcPr>
            <w:tcW w:w="1277" w:type="dxa"/>
            <w:tcBorders>
              <w:tl2br w:val="nil"/>
              <w:tr2bl w:val="nil"/>
            </w:tcBorders>
            <w:shd w:val="clear" w:color="auto" w:fill="auto"/>
            <w:noWrap w:val="0"/>
            <w:vAlign w:val="center"/>
          </w:tcPr>
          <w:p>
            <w:pPr>
              <w:pStyle w:val="30"/>
              <w:bidi w:val="0"/>
              <w:rPr>
                <w:rFonts w:hint="eastAsia" w:eastAsia="宋体"/>
                <w:lang w:eastAsia="zh-CN"/>
              </w:rPr>
            </w:pPr>
            <w:r>
              <w:rPr>
                <w:rFonts w:hint="eastAsia"/>
                <w:lang w:eastAsia="zh-CN"/>
              </w:rPr>
              <w:t>破碎粉尘</w:t>
            </w:r>
          </w:p>
        </w:tc>
        <w:tc>
          <w:tcPr>
            <w:tcW w:w="1254" w:type="dxa"/>
            <w:tcBorders>
              <w:tl2br w:val="nil"/>
              <w:tr2bl w:val="nil"/>
            </w:tcBorders>
            <w:shd w:val="clear" w:color="auto" w:fill="auto"/>
            <w:noWrap w:val="0"/>
            <w:vAlign w:val="center"/>
          </w:tcPr>
          <w:p>
            <w:pPr>
              <w:pStyle w:val="30"/>
              <w:bidi w:val="0"/>
              <w:rPr>
                <w:rFonts w:hint="eastAsia" w:eastAsia="宋体"/>
                <w:lang w:eastAsia="zh-CN"/>
              </w:rPr>
            </w:pPr>
            <w:r>
              <w:rPr>
                <w:rFonts w:hint="eastAsia"/>
                <w:lang w:eastAsia="zh-CN"/>
              </w:rPr>
              <w:t>粉尘</w:t>
            </w:r>
          </w:p>
        </w:tc>
        <w:tc>
          <w:tcPr>
            <w:tcW w:w="3607" w:type="dxa"/>
            <w:tcBorders>
              <w:tl2br w:val="nil"/>
              <w:tr2bl w:val="nil"/>
            </w:tcBorders>
            <w:shd w:val="clear" w:color="auto" w:fill="auto"/>
            <w:noWrap w:val="0"/>
            <w:tcMar>
              <w:left w:w="57" w:type="dxa"/>
              <w:right w:w="57" w:type="dxa"/>
            </w:tcMar>
            <w:vAlign w:val="center"/>
          </w:tcPr>
          <w:p>
            <w:pPr>
              <w:pStyle w:val="30"/>
              <w:bidi w:val="0"/>
              <w:rPr>
                <w:rFonts w:hint="default"/>
              </w:rPr>
            </w:pPr>
            <w:r>
              <w:rPr>
                <w:rFonts w:hint="eastAsia"/>
                <w:lang w:eastAsia="zh-CN"/>
              </w:rPr>
              <w:t>集气罩</w:t>
            </w:r>
            <w:r>
              <w:rPr>
                <w:rFonts w:hint="eastAsia"/>
                <w:lang w:val="en-US" w:eastAsia="zh-CN"/>
              </w:rPr>
              <w:t>+布袋除尘+15排气筒</w:t>
            </w:r>
          </w:p>
        </w:tc>
        <w:tc>
          <w:tcPr>
            <w:tcW w:w="1713" w:type="dxa"/>
            <w:vMerge w:val="continue"/>
            <w:tcBorders>
              <w:tl2br w:val="nil"/>
              <w:tr2bl w:val="nil"/>
            </w:tcBorders>
            <w:shd w:val="clear" w:color="auto" w:fill="auto"/>
            <w:noWrap w:val="0"/>
            <w:vAlign w:val="center"/>
          </w:tcPr>
          <w:p>
            <w:pPr>
              <w:pStyle w:val="30"/>
              <w:bidi w:val="0"/>
              <w:rPr>
                <w:rFonts w:hint="default"/>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446" w:hRule="atLeast"/>
          <w:jc w:val="center"/>
        </w:trPr>
        <w:tc>
          <w:tcPr>
            <w:tcW w:w="1072" w:type="dxa"/>
            <w:vMerge w:val="restart"/>
            <w:tcBorders>
              <w:tl2br w:val="nil"/>
              <w:tr2bl w:val="nil"/>
            </w:tcBorders>
            <w:shd w:val="clear" w:color="auto" w:fill="auto"/>
            <w:noWrap w:val="0"/>
            <w:vAlign w:val="center"/>
          </w:tcPr>
          <w:p>
            <w:pPr>
              <w:pStyle w:val="30"/>
              <w:bidi w:val="0"/>
              <w:rPr>
                <w:rFonts w:hint="eastAsia"/>
                <w:lang w:eastAsia="zh-CN"/>
              </w:rPr>
            </w:pPr>
            <w:r>
              <w:rPr>
                <w:rFonts w:hint="eastAsia"/>
                <w:lang w:val="en-US" w:eastAsia="zh-CN"/>
              </w:rPr>
              <w:t>废水</w:t>
            </w:r>
          </w:p>
        </w:tc>
        <w:tc>
          <w:tcPr>
            <w:tcW w:w="1277" w:type="dxa"/>
            <w:tcBorders>
              <w:tl2br w:val="nil"/>
              <w:tr2bl w:val="nil"/>
            </w:tcBorders>
            <w:shd w:val="clear" w:color="auto" w:fill="auto"/>
            <w:noWrap w:val="0"/>
            <w:vAlign w:val="center"/>
          </w:tcPr>
          <w:p>
            <w:pPr>
              <w:pStyle w:val="30"/>
              <w:bidi w:val="0"/>
              <w:rPr>
                <w:rFonts w:hint="eastAsia"/>
                <w:lang w:eastAsia="zh-CN"/>
              </w:rPr>
            </w:pPr>
            <w:r>
              <w:rPr>
                <w:rFonts w:hint="eastAsia"/>
                <w:lang w:val="zh-CN"/>
              </w:rPr>
              <w:t>车辆冲洗水</w:t>
            </w:r>
          </w:p>
        </w:tc>
        <w:tc>
          <w:tcPr>
            <w:tcW w:w="1254" w:type="dxa"/>
            <w:tcBorders>
              <w:tl2br w:val="nil"/>
              <w:tr2bl w:val="nil"/>
            </w:tcBorders>
            <w:shd w:val="clear" w:color="auto" w:fill="auto"/>
            <w:noWrap w:val="0"/>
            <w:vAlign w:val="center"/>
          </w:tcPr>
          <w:p>
            <w:pPr>
              <w:pStyle w:val="30"/>
              <w:bidi w:val="0"/>
              <w:rPr>
                <w:rFonts w:hint="default"/>
              </w:rPr>
            </w:pPr>
            <w:r>
              <w:rPr>
                <w:rFonts w:hint="default"/>
              </w:rPr>
              <w:t>SS</w:t>
            </w:r>
          </w:p>
        </w:tc>
        <w:tc>
          <w:tcPr>
            <w:tcW w:w="3607" w:type="dxa"/>
            <w:tcBorders>
              <w:tl2br w:val="nil"/>
              <w:tr2bl w:val="nil"/>
            </w:tcBorders>
            <w:shd w:val="clear" w:color="auto" w:fill="auto"/>
            <w:noWrap w:val="0"/>
            <w:vAlign w:val="center"/>
          </w:tcPr>
          <w:p>
            <w:pPr>
              <w:pStyle w:val="30"/>
              <w:bidi w:val="0"/>
              <w:rPr>
                <w:rFonts w:hint="eastAsia" w:eastAsia="宋体"/>
                <w:lang w:eastAsia="zh-CN"/>
              </w:rPr>
            </w:pPr>
            <w:r>
              <w:rPr>
                <w:rFonts w:hint="default"/>
              </w:rPr>
              <w:t>沉淀池</w:t>
            </w:r>
            <w:r>
              <w:rPr>
                <w:rFonts w:hint="eastAsia"/>
                <w:lang w:eastAsia="zh-CN"/>
              </w:rPr>
              <w:t>沉淀洒水抑尘</w:t>
            </w:r>
          </w:p>
        </w:tc>
        <w:tc>
          <w:tcPr>
            <w:tcW w:w="1713" w:type="dxa"/>
            <w:tcBorders>
              <w:tl2br w:val="nil"/>
              <w:tr2bl w:val="nil"/>
            </w:tcBorders>
            <w:shd w:val="clear" w:color="auto" w:fill="auto"/>
            <w:noWrap w:val="0"/>
            <w:vAlign w:val="center"/>
          </w:tcPr>
          <w:p>
            <w:pPr>
              <w:pStyle w:val="30"/>
              <w:bidi w:val="0"/>
              <w:rPr>
                <w:rFonts w:hint="eastAsia" w:eastAsia="宋体"/>
                <w:lang w:eastAsia="zh-CN"/>
              </w:rPr>
            </w:pPr>
            <w:r>
              <w:rPr>
                <w:rFonts w:hint="eastAsia"/>
                <w:lang w:eastAsia="zh-CN"/>
              </w:rPr>
              <w:t>不外排</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616" w:hRule="atLeast"/>
          <w:jc w:val="center"/>
        </w:trPr>
        <w:tc>
          <w:tcPr>
            <w:tcW w:w="1072" w:type="dxa"/>
            <w:vMerge w:val="continue"/>
            <w:tcBorders>
              <w:tl2br w:val="nil"/>
              <w:tr2bl w:val="nil"/>
            </w:tcBorders>
            <w:shd w:val="clear" w:color="auto" w:fill="auto"/>
            <w:noWrap w:val="0"/>
            <w:vAlign w:val="center"/>
          </w:tcPr>
          <w:p>
            <w:pPr>
              <w:pStyle w:val="30"/>
              <w:bidi w:val="0"/>
            </w:pPr>
          </w:p>
        </w:tc>
        <w:tc>
          <w:tcPr>
            <w:tcW w:w="1277" w:type="dxa"/>
            <w:tcBorders>
              <w:tl2br w:val="nil"/>
              <w:tr2bl w:val="nil"/>
            </w:tcBorders>
            <w:shd w:val="clear" w:color="auto" w:fill="auto"/>
            <w:noWrap w:val="0"/>
            <w:vAlign w:val="center"/>
          </w:tcPr>
          <w:p>
            <w:pPr>
              <w:pStyle w:val="30"/>
              <w:bidi w:val="0"/>
              <w:rPr>
                <w:rFonts w:hint="eastAsia"/>
                <w:lang w:eastAsia="zh-CN"/>
              </w:rPr>
            </w:pPr>
            <w:r>
              <w:rPr>
                <w:rFonts w:hint="eastAsia"/>
                <w:lang w:val="zh-CN"/>
              </w:rPr>
              <w:t>初期雨水</w:t>
            </w:r>
          </w:p>
        </w:tc>
        <w:tc>
          <w:tcPr>
            <w:tcW w:w="1254" w:type="dxa"/>
            <w:tcBorders>
              <w:tl2br w:val="nil"/>
              <w:tr2bl w:val="nil"/>
            </w:tcBorders>
            <w:shd w:val="clear" w:color="auto" w:fill="auto"/>
            <w:noWrap w:val="0"/>
            <w:vAlign w:val="center"/>
          </w:tcPr>
          <w:p>
            <w:pPr>
              <w:pStyle w:val="30"/>
              <w:bidi w:val="0"/>
              <w:rPr>
                <w:rFonts w:hint="default"/>
                <w:lang w:val="en-US" w:eastAsia="zh-CN"/>
              </w:rPr>
            </w:pPr>
            <w:r>
              <w:rPr>
                <w:rFonts w:hint="eastAsia"/>
                <w:lang w:val="en-US" w:eastAsia="zh-CN"/>
              </w:rPr>
              <w:t>SS</w:t>
            </w:r>
          </w:p>
        </w:tc>
        <w:tc>
          <w:tcPr>
            <w:tcW w:w="3607" w:type="dxa"/>
            <w:tcBorders>
              <w:tl2br w:val="nil"/>
              <w:tr2bl w:val="nil"/>
            </w:tcBorders>
            <w:shd w:val="clear" w:color="auto" w:fill="auto"/>
            <w:noWrap w:val="0"/>
            <w:vAlign w:val="center"/>
          </w:tcPr>
          <w:p>
            <w:pPr>
              <w:pStyle w:val="30"/>
              <w:bidi w:val="0"/>
              <w:rPr>
                <w:rFonts w:hint="eastAsia"/>
                <w:lang w:eastAsia="zh-CN"/>
              </w:rPr>
            </w:pPr>
            <w:r>
              <w:rPr>
                <w:rFonts w:hint="eastAsia"/>
                <w:lang w:eastAsia="zh-CN"/>
              </w:rPr>
              <w:t>收集池</w:t>
            </w:r>
          </w:p>
        </w:tc>
        <w:tc>
          <w:tcPr>
            <w:tcW w:w="1713" w:type="dxa"/>
            <w:tcBorders>
              <w:tl2br w:val="nil"/>
              <w:tr2bl w:val="nil"/>
            </w:tcBorders>
            <w:shd w:val="clear" w:color="auto" w:fill="auto"/>
            <w:noWrap w:val="0"/>
            <w:vAlign w:val="center"/>
          </w:tcPr>
          <w:p>
            <w:pPr>
              <w:pStyle w:val="30"/>
              <w:bidi w:val="0"/>
              <w:rPr>
                <w:rFonts w:hint="eastAsia"/>
                <w:lang w:eastAsia="zh-CN"/>
              </w:rPr>
            </w:pPr>
            <w:r>
              <w:rPr>
                <w:rFonts w:hint="eastAsia"/>
                <w:lang w:eastAsia="zh-CN"/>
              </w:rPr>
              <w:t>不外排</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393" w:hRule="atLeast"/>
          <w:jc w:val="center"/>
        </w:trPr>
        <w:tc>
          <w:tcPr>
            <w:tcW w:w="1072" w:type="dxa"/>
            <w:tcBorders>
              <w:tl2br w:val="nil"/>
              <w:tr2bl w:val="nil"/>
            </w:tcBorders>
            <w:shd w:val="clear" w:color="auto" w:fill="auto"/>
            <w:noWrap w:val="0"/>
            <w:vAlign w:val="center"/>
          </w:tcPr>
          <w:p>
            <w:pPr>
              <w:pStyle w:val="30"/>
              <w:bidi w:val="0"/>
              <w:rPr>
                <w:rFonts w:hint="default"/>
              </w:rPr>
            </w:pPr>
            <w:r>
              <w:rPr>
                <w:rFonts w:hint="default"/>
              </w:rPr>
              <w:t>固</w:t>
            </w:r>
          </w:p>
          <w:p>
            <w:pPr>
              <w:pStyle w:val="30"/>
              <w:bidi w:val="0"/>
              <w:rPr>
                <w:rFonts w:hint="default"/>
              </w:rPr>
            </w:pPr>
            <w:r>
              <w:rPr>
                <w:rFonts w:hint="default"/>
              </w:rPr>
              <w:t>体</w:t>
            </w:r>
          </w:p>
          <w:p>
            <w:pPr>
              <w:pStyle w:val="30"/>
              <w:bidi w:val="0"/>
              <w:rPr>
                <w:rFonts w:hint="default"/>
              </w:rPr>
            </w:pPr>
            <w:r>
              <w:rPr>
                <w:rFonts w:hint="default"/>
              </w:rPr>
              <w:t>废</w:t>
            </w:r>
          </w:p>
          <w:p>
            <w:pPr>
              <w:pStyle w:val="30"/>
              <w:bidi w:val="0"/>
              <w:rPr>
                <w:rFonts w:hint="default"/>
              </w:rPr>
            </w:pPr>
            <w:r>
              <w:rPr>
                <w:rFonts w:hint="default"/>
              </w:rPr>
              <w:t>物</w:t>
            </w:r>
          </w:p>
        </w:tc>
        <w:tc>
          <w:tcPr>
            <w:tcW w:w="1277" w:type="dxa"/>
            <w:tcBorders>
              <w:tl2br w:val="nil"/>
              <w:tr2bl w:val="nil"/>
            </w:tcBorders>
            <w:shd w:val="clear" w:color="auto" w:fill="auto"/>
            <w:noWrap w:val="0"/>
            <w:vAlign w:val="center"/>
          </w:tcPr>
          <w:p>
            <w:pPr>
              <w:pStyle w:val="30"/>
              <w:bidi w:val="0"/>
              <w:rPr>
                <w:rFonts w:hint="eastAsia" w:eastAsia="宋体"/>
                <w:lang w:eastAsia="zh-CN"/>
              </w:rPr>
            </w:pPr>
            <w:r>
              <w:rPr>
                <w:rFonts w:hint="eastAsia"/>
                <w:lang w:eastAsia="zh-CN"/>
              </w:rPr>
              <w:t>沉淀池砂石</w:t>
            </w:r>
          </w:p>
        </w:tc>
        <w:tc>
          <w:tcPr>
            <w:tcW w:w="1254" w:type="dxa"/>
            <w:tcBorders>
              <w:tl2br w:val="nil"/>
              <w:tr2bl w:val="nil"/>
            </w:tcBorders>
            <w:shd w:val="clear" w:color="auto" w:fill="auto"/>
            <w:noWrap w:val="0"/>
            <w:vAlign w:val="center"/>
          </w:tcPr>
          <w:p>
            <w:pPr>
              <w:pStyle w:val="30"/>
              <w:bidi w:val="0"/>
              <w:rPr>
                <w:rFonts w:hint="eastAsia" w:eastAsia="宋体"/>
                <w:lang w:eastAsia="zh-CN"/>
              </w:rPr>
            </w:pPr>
            <w:r>
              <w:rPr>
                <w:rFonts w:hint="eastAsia"/>
                <w:lang w:eastAsia="zh-CN"/>
              </w:rPr>
              <w:t>砂石</w:t>
            </w:r>
          </w:p>
        </w:tc>
        <w:tc>
          <w:tcPr>
            <w:tcW w:w="3607" w:type="dxa"/>
            <w:tcBorders>
              <w:tl2br w:val="nil"/>
              <w:tr2bl w:val="nil"/>
            </w:tcBorders>
            <w:shd w:val="clear" w:color="auto" w:fill="auto"/>
            <w:noWrap w:val="0"/>
            <w:vAlign w:val="center"/>
          </w:tcPr>
          <w:p>
            <w:pPr>
              <w:pStyle w:val="30"/>
              <w:bidi w:val="0"/>
              <w:rPr>
                <w:rFonts w:hint="eastAsia" w:eastAsia="宋体"/>
                <w:lang w:eastAsia="zh-CN"/>
              </w:rPr>
            </w:pPr>
            <w:r>
              <w:rPr>
                <w:rFonts w:hint="eastAsia"/>
                <w:lang w:eastAsia="zh-CN"/>
              </w:rPr>
              <w:t>用于施工作业</w:t>
            </w:r>
          </w:p>
        </w:tc>
        <w:tc>
          <w:tcPr>
            <w:tcW w:w="1713" w:type="dxa"/>
            <w:tcBorders>
              <w:tl2br w:val="nil"/>
              <w:tr2bl w:val="nil"/>
            </w:tcBorders>
            <w:shd w:val="clear" w:color="auto" w:fill="auto"/>
            <w:noWrap w:val="0"/>
            <w:vAlign w:val="center"/>
          </w:tcPr>
          <w:p>
            <w:pPr>
              <w:pStyle w:val="30"/>
              <w:bidi w:val="0"/>
              <w:rPr>
                <w:rFonts w:hint="default"/>
              </w:rPr>
            </w:pPr>
            <w:r>
              <w:t>综合利用</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635" w:hRule="atLeast"/>
          <w:jc w:val="center"/>
        </w:trPr>
        <w:tc>
          <w:tcPr>
            <w:tcW w:w="1072" w:type="dxa"/>
            <w:tcBorders>
              <w:tl2br w:val="nil"/>
              <w:tr2bl w:val="nil"/>
            </w:tcBorders>
            <w:shd w:val="clear" w:color="auto" w:fill="auto"/>
            <w:noWrap w:val="0"/>
            <w:vAlign w:val="center"/>
          </w:tcPr>
          <w:p>
            <w:pPr>
              <w:pStyle w:val="30"/>
              <w:bidi w:val="0"/>
              <w:rPr>
                <w:rFonts w:hint="eastAsia"/>
                <w:lang w:eastAsia="zh-CN"/>
              </w:rPr>
            </w:pPr>
            <w:r>
              <w:rPr>
                <w:rFonts w:hint="eastAsia"/>
                <w:lang w:eastAsia="zh-CN"/>
              </w:rPr>
              <w:t>噪声</w:t>
            </w:r>
          </w:p>
        </w:tc>
        <w:tc>
          <w:tcPr>
            <w:tcW w:w="6138" w:type="dxa"/>
            <w:gridSpan w:val="3"/>
            <w:tcBorders>
              <w:tl2br w:val="nil"/>
              <w:tr2bl w:val="nil"/>
            </w:tcBorders>
            <w:shd w:val="clear" w:color="auto" w:fill="auto"/>
            <w:noWrap w:val="0"/>
            <w:vAlign w:val="center"/>
          </w:tcPr>
          <w:p>
            <w:pPr>
              <w:pStyle w:val="30"/>
              <w:bidi w:val="0"/>
            </w:pPr>
            <w:r>
              <w:t>施工期：合理组织施工、控制夜间和中午休息时间施工、加强工地管理、设置围挡作为临时隔声屏障</w:t>
            </w:r>
          </w:p>
        </w:tc>
        <w:tc>
          <w:tcPr>
            <w:tcW w:w="1713" w:type="dxa"/>
            <w:tcBorders>
              <w:tl2br w:val="nil"/>
              <w:tr2bl w:val="nil"/>
            </w:tcBorders>
            <w:shd w:val="clear" w:color="auto" w:fill="auto"/>
            <w:noWrap w:val="0"/>
            <w:vAlign w:val="center"/>
          </w:tcPr>
          <w:p>
            <w:pPr>
              <w:pStyle w:val="30"/>
              <w:bidi w:val="0"/>
              <w:rPr>
                <w:rFonts w:hint="eastAsia"/>
                <w:lang w:val="en-US" w:eastAsia="zh-CN"/>
              </w:rPr>
            </w:pPr>
            <w:r>
              <w:t>达到《建筑施工场界环境噪声排放标准》(GB12523-2011)标准要求。</w:t>
            </w:r>
          </w:p>
        </w:tc>
      </w:tr>
    </w:tbl>
    <w:p>
      <w:pPr>
        <w:pStyle w:val="3"/>
        <w:bidi w:val="0"/>
      </w:pPr>
      <w:bookmarkStart w:id="133" w:name="_Toc517214634"/>
      <w:bookmarkStart w:id="134" w:name="_Toc10356"/>
      <w:bookmarkStart w:id="135" w:name="_Toc14004"/>
      <w:r>
        <w:t>结论与建议</w:t>
      </w:r>
      <w:bookmarkEnd w:id="133"/>
      <w:bookmarkEnd w:id="134"/>
      <w:bookmarkEnd w:id="135"/>
    </w:p>
    <w:p>
      <w:pPr>
        <w:pStyle w:val="4"/>
        <w:bidi w:val="0"/>
      </w:pPr>
      <w:bookmarkStart w:id="136" w:name="_Toc12753"/>
      <w:bookmarkStart w:id="137" w:name="_Toc12097"/>
      <w:bookmarkStart w:id="138" w:name="_Toc517214637"/>
      <w:r>
        <w:t>结论</w:t>
      </w:r>
      <w:bookmarkEnd w:id="136"/>
      <w:bookmarkEnd w:id="137"/>
      <w:bookmarkEnd w:id="138"/>
    </w:p>
    <w:p>
      <w:pPr>
        <w:bidi w:val="0"/>
      </w:pPr>
      <w:r>
        <w:t>综上所述，本工程变更后</w:t>
      </w:r>
      <w:r>
        <w:rPr>
          <w:rFonts w:hint="eastAsia"/>
        </w:rPr>
        <w:t>，</w:t>
      </w:r>
      <w:r>
        <w:rPr>
          <w:rFonts w:hint="eastAsia"/>
          <w:lang w:eastAsia="zh-CN"/>
        </w:rPr>
        <w:t>临时堆场的位置及面积发生变化，同时在临时堆场内设置破碎区，</w:t>
      </w:r>
      <w:r>
        <w:rPr>
          <w:rFonts w:hint="eastAsia"/>
          <w:highlight w:val="none"/>
        </w:rPr>
        <w:t>此外项目</w:t>
      </w:r>
      <w:r>
        <w:rPr>
          <w:rFonts w:hint="eastAsia"/>
          <w:lang w:val="en-US" w:eastAsia="zh-CN"/>
        </w:rPr>
        <w:t>建设内容道路工程、涵洞结构工程、堤防工程、给排水工程、景观绿化及环境保护工程、交通配套设施工程、照明工程、S306省道临时保通道路及起点处连接道复建工程等均未发生变化，</w:t>
      </w:r>
      <w:r>
        <w:rPr>
          <w:rFonts w:hint="eastAsia"/>
          <w:highlight w:val="none"/>
        </w:rPr>
        <w:t>设备</w:t>
      </w:r>
      <w:r>
        <w:rPr>
          <w:rFonts w:hint="eastAsia"/>
          <w:highlight w:val="none"/>
          <w:lang w:eastAsia="zh-CN"/>
        </w:rPr>
        <w:t>、</w:t>
      </w:r>
      <w:r>
        <w:rPr>
          <w:rFonts w:hint="eastAsia"/>
          <w:highlight w:val="none"/>
        </w:rPr>
        <w:t>公用工程、</w:t>
      </w:r>
      <w:r>
        <w:rPr>
          <w:rFonts w:hint="eastAsia"/>
          <w:highlight w:val="none"/>
          <w:lang w:eastAsia="zh-CN"/>
        </w:rPr>
        <w:t>施工营地设置、</w:t>
      </w:r>
      <w:r>
        <w:rPr>
          <w:rFonts w:hint="eastAsia"/>
          <w:highlight w:val="none"/>
        </w:rPr>
        <w:t>劳动定员等不发生改变。</w:t>
      </w:r>
      <w:r>
        <w:t>项目在落实原环评批复的各项环保措施</w:t>
      </w:r>
      <w:r>
        <w:rPr>
          <w:rFonts w:hint="eastAsia"/>
          <w:lang w:eastAsia="zh-CN"/>
        </w:rPr>
        <w:t>，在项目建设完成后对该临时堆场进行复垦，</w:t>
      </w:r>
      <w:r>
        <w:rPr>
          <w:rFonts w:hint="eastAsia"/>
          <w:color w:val="auto"/>
        </w:rPr>
        <w:t>恢复临时占地所在区域土地功能</w:t>
      </w:r>
      <w:r>
        <w:rPr>
          <w:rFonts w:hint="eastAsia"/>
          <w:color w:val="auto"/>
          <w:lang w:eastAsia="zh-CN"/>
        </w:rPr>
        <w:t>的</w:t>
      </w:r>
      <w:r>
        <w:t>前提下，从环保的角度分析，项目变更可行。</w:t>
      </w:r>
    </w:p>
    <w:p>
      <w:pPr>
        <w:pStyle w:val="4"/>
        <w:bidi w:val="0"/>
      </w:pPr>
      <w:bookmarkStart w:id="139" w:name="_Toc503609614"/>
      <w:bookmarkStart w:id="140" w:name="_Toc517214638"/>
      <w:bookmarkStart w:id="141" w:name="_Toc30239"/>
      <w:bookmarkStart w:id="142" w:name="_Toc11855"/>
      <w:r>
        <w:t>建议</w:t>
      </w:r>
      <w:bookmarkEnd w:id="139"/>
      <w:bookmarkEnd w:id="140"/>
      <w:bookmarkEnd w:id="141"/>
      <w:r>
        <w:rPr>
          <w:rFonts w:hint="eastAsia"/>
          <w:lang w:eastAsia="zh-CN"/>
        </w:rPr>
        <w:t>及要求</w:t>
      </w:r>
      <w:bookmarkEnd w:id="142"/>
    </w:p>
    <w:p>
      <w:pPr>
        <w:spacing w:line="360" w:lineRule="auto"/>
        <w:ind w:firstLine="480" w:firstLineChars="200"/>
        <w:rPr>
          <w:sz w:val="24"/>
        </w:rPr>
      </w:pPr>
      <w:r>
        <w:rPr>
          <w:sz w:val="24"/>
        </w:rPr>
        <w:t>1、建设单位应认真落实环保“三同时”，做到废气、废水和噪声治理措施与主体工程建设同时设计、同时施工、同时验收。</w:t>
      </w:r>
    </w:p>
    <w:p>
      <w:pPr>
        <w:spacing w:line="360" w:lineRule="auto"/>
        <w:ind w:firstLine="480" w:firstLineChars="200"/>
        <w:rPr>
          <w:sz w:val="24"/>
        </w:rPr>
      </w:pPr>
      <w:r>
        <w:rPr>
          <w:rFonts w:hint="eastAsia"/>
          <w:sz w:val="24"/>
        </w:rPr>
        <w:t>2、项目运营期可能给环境产生一定影响，应加强管理，重视对环境敏感点的影响，采取措施消除或减轻这些影响。</w:t>
      </w:r>
    </w:p>
    <w:p>
      <w:pPr>
        <w:bidi w:val="0"/>
      </w:pPr>
      <w:r>
        <w:rPr>
          <w:rFonts w:hint="eastAsia"/>
          <w:lang w:val="en-US" w:eastAsia="zh-CN"/>
        </w:rPr>
        <w:t>3</w:t>
      </w:r>
      <w:r>
        <w:t>、避开大风、大雨天气施工作业，定期对施工场地进行洒水降尘。</w:t>
      </w:r>
    </w:p>
    <w:p>
      <w:pPr>
        <w:bidi w:val="0"/>
      </w:pPr>
      <w:r>
        <w:rPr>
          <w:rFonts w:hint="eastAsia"/>
          <w:lang w:val="en-US" w:eastAsia="zh-CN"/>
        </w:rPr>
        <w:t>4</w:t>
      </w:r>
      <w:r>
        <w:t>、在施工现场周围设置围挡隔离，根据施工特点，选择合适时段，合理分配工期，避免扰民。</w:t>
      </w:r>
    </w:p>
    <w:p>
      <w:pPr>
        <w:spacing w:line="360" w:lineRule="auto"/>
        <w:ind w:firstLine="480" w:firstLineChars="200"/>
        <w:rPr>
          <w:rFonts w:hint="eastAsia" w:eastAsia="宋体"/>
          <w:lang w:val="en-US" w:eastAsia="zh-CN"/>
        </w:rPr>
      </w:pPr>
      <w:r>
        <w:rPr>
          <w:rFonts w:hint="eastAsia"/>
          <w:sz w:val="24"/>
          <w:lang w:val="en-US" w:eastAsia="zh-CN"/>
        </w:rPr>
        <w:t>5</w:t>
      </w:r>
      <w:r>
        <w:rPr>
          <w:rFonts w:hint="eastAsia"/>
          <w:sz w:val="24"/>
        </w:rPr>
        <w:t>、做好沿线护坡、绿化能有效减少水土流失，提高沿线景观，改善大气环境质量，因此</w:t>
      </w:r>
      <w:r>
        <w:rPr>
          <w:rFonts w:hint="eastAsia"/>
          <w:bCs/>
          <w:sz w:val="24"/>
        </w:rPr>
        <w:t>道路</w:t>
      </w:r>
      <w:r>
        <w:rPr>
          <w:rFonts w:hint="eastAsia"/>
          <w:sz w:val="24"/>
        </w:rPr>
        <w:t>坡肩种植草皮，减少水土流失。</w:t>
      </w:r>
    </w:p>
    <w:p>
      <w:pPr>
        <w:spacing w:line="360" w:lineRule="auto"/>
        <w:ind w:firstLine="480" w:firstLineChars="200"/>
        <w:rPr>
          <w:rFonts w:hint="eastAsia" w:eastAsia="宋体"/>
          <w:u w:val="single"/>
          <w:lang w:val="en-US" w:eastAsia="zh-CN"/>
        </w:rPr>
      </w:pPr>
      <w:r>
        <w:rPr>
          <w:rFonts w:hint="eastAsia"/>
          <w:sz w:val="24"/>
          <w:u w:val="single"/>
          <w:lang w:val="en-US" w:eastAsia="zh-CN"/>
        </w:rPr>
        <w:t>6</w:t>
      </w:r>
      <w:r>
        <w:rPr>
          <w:rFonts w:hint="eastAsia"/>
          <w:sz w:val="24"/>
          <w:u w:val="single"/>
        </w:rPr>
        <w:t>、</w:t>
      </w:r>
      <w:r>
        <w:rPr>
          <w:rFonts w:hint="eastAsia"/>
          <w:sz w:val="24"/>
          <w:u w:val="single"/>
          <w:lang w:eastAsia="zh-CN"/>
        </w:rPr>
        <w:t>施工期结束后按照《岳阳市君山区桥头堡三角坪片区棚改及配套建设项目（一期）材料堆场临时用地土地复垦方案》进行复垦</w:t>
      </w:r>
      <w:r>
        <w:rPr>
          <w:rFonts w:hint="eastAsia"/>
          <w:sz w:val="24"/>
          <w:u w:val="single"/>
        </w:rPr>
        <w:t>。</w:t>
      </w:r>
    </w:p>
    <w:p>
      <w:pPr>
        <w:pStyle w:val="38"/>
        <w:rPr>
          <w:rFonts w:hint="default"/>
          <w:lang w:val="en-US" w:eastAsia="zh-CN"/>
        </w:rPr>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Cambria Math">
    <w:panose1 w:val="02040503050406030204"/>
    <w:charset w:val="00"/>
    <w:family w:val="roman"/>
    <w:pitch w:val="default"/>
    <w:sig w:usb0="E00002FF" w:usb1="42002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68F8235"/>
    <w:multiLevelType w:val="multilevel"/>
    <w:tmpl w:val="D68F8235"/>
    <w:lvl w:ilvl="0" w:tentative="0">
      <w:start w:val="1"/>
      <w:numFmt w:val="decimal"/>
      <w:pStyle w:val="3"/>
      <w:lvlText w:val="%1."/>
      <w:lvlJc w:val="left"/>
      <w:pPr>
        <w:ind w:left="432" w:hanging="432"/>
      </w:pPr>
      <w:rPr>
        <w:rFonts w:hint="default"/>
      </w:rPr>
    </w:lvl>
    <w:lvl w:ilvl="1" w:tentative="0">
      <w:start w:val="1"/>
      <w:numFmt w:val="decimal"/>
      <w:pStyle w:val="4"/>
      <w:lvlText w:val="%1.%2."/>
      <w:lvlJc w:val="left"/>
      <w:pPr>
        <w:ind w:left="575" w:hanging="575"/>
      </w:pPr>
      <w:rPr>
        <w:rFonts w:hint="default"/>
      </w:rPr>
    </w:lvl>
    <w:lvl w:ilvl="2" w:tentative="0">
      <w:start w:val="1"/>
      <w:numFmt w:val="decimal"/>
      <w:pStyle w:val="2"/>
      <w:lvlText w:val="%1.%2.%3."/>
      <w:lvlJc w:val="left"/>
      <w:pPr>
        <w:ind w:left="720" w:hanging="720"/>
      </w:pPr>
      <w:rPr>
        <w:rFonts w:hint="default"/>
      </w:rPr>
    </w:lvl>
    <w:lvl w:ilvl="3" w:tentative="0">
      <w:start w:val="1"/>
      <w:numFmt w:val="decimal"/>
      <w:pStyle w:val="5"/>
      <w:lvlText w:val="%1.%2.%3.%4."/>
      <w:lvlJc w:val="left"/>
      <w:pPr>
        <w:ind w:left="864" w:hanging="864"/>
      </w:pPr>
      <w:rPr>
        <w:rFonts w:hint="default"/>
      </w:rPr>
    </w:lvl>
    <w:lvl w:ilvl="4" w:tentative="0">
      <w:start w:val="1"/>
      <w:numFmt w:val="decimal"/>
      <w:pStyle w:val="6"/>
      <w:lvlText w:val="%1.%2.%3.%4.%5."/>
      <w:lvlJc w:val="left"/>
      <w:pPr>
        <w:ind w:left="1008" w:hanging="1008"/>
      </w:pPr>
      <w:rPr>
        <w:rFonts w:hint="default"/>
      </w:rPr>
    </w:lvl>
    <w:lvl w:ilvl="5" w:tentative="0">
      <w:start w:val="1"/>
      <w:numFmt w:val="decimal"/>
      <w:pStyle w:val="7"/>
      <w:lvlText w:val="%1.%2.%3.%4.%5.%6."/>
      <w:lvlJc w:val="left"/>
      <w:pPr>
        <w:ind w:left="1151" w:hanging="1151"/>
      </w:pPr>
      <w:rPr>
        <w:rFonts w:hint="default"/>
      </w:rPr>
    </w:lvl>
    <w:lvl w:ilvl="6" w:tentative="0">
      <w:start w:val="1"/>
      <w:numFmt w:val="decimal"/>
      <w:pStyle w:val="8"/>
      <w:lvlText w:val="%1.%2.%3.%4.%5.%6.%7."/>
      <w:lvlJc w:val="left"/>
      <w:pPr>
        <w:ind w:left="1296" w:hanging="1296"/>
      </w:pPr>
      <w:rPr>
        <w:rFonts w:hint="default"/>
      </w:rPr>
    </w:lvl>
    <w:lvl w:ilvl="7" w:tentative="0">
      <w:start w:val="1"/>
      <w:numFmt w:val="decimal"/>
      <w:pStyle w:val="9"/>
      <w:lvlText w:val="%1.%2.%3.%4.%5.%6.%7.%8."/>
      <w:lvlJc w:val="left"/>
      <w:pPr>
        <w:ind w:left="1440" w:hanging="1440"/>
      </w:pPr>
      <w:rPr>
        <w:rFonts w:hint="default"/>
      </w:rPr>
    </w:lvl>
    <w:lvl w:ilvl="8" w:tentative="0">
      <w:start w:val="1"/>
      <w:numFmt w:val="decimal"/>
      <w:pStyle w:val="10"/>
      <w:lvlText w:val="%1.%2.%3.%4.%5.%6.%7.%8.%9."/>
      <w:lvlJc w:val="left"/>
      <w:pPr>
        <w:ind w:left="1583" w:hanging="1583"/>
      </w:pPr>
      <w:rPr>
        <w:rFonts w:hint="default"/>
      </w:rPr>
    </w:lvl>
  </w:abstractNum>
  <w:abstractNum w:abstractNumId="1">
    <w:nsid w:val="F82E48C8"/>
    <w:multiLevelType w:val="singleLevel"/>
    <w:tmpl w:val="F82E48C8"/>
    <w:lvl w:ilvl="0" w:tentative="0">
      <w:start w:val="1"/>
      <w:numFmt w:val="decimal"/>
      <w:suff w:val="nothing"/>
      <w:lvlText w:val="%1、"/>
      <w:lvlJc w:val="left"/>
    </w:lvl>
  </w:abstractNum>
  <w:abstractNum w:abstractNumId="2">
    <w:nsid w:val="FD10CF36"/>
    <w:multiLevelType w:val="singleLevel"/>
    <w:tmpl w:val="FD10CF36"/>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976C91"/>
    <w:rsid w:val="0000309B"/>
    <w:rsid w:val="002B79C3"/>
    <w:rsid w:val="00D85FD5"/>
    <w:rsid w:val="014D0BBA"/>
    <w:rsid w:val="018366D0"/>
    <w:rsid w:val="01D63598"/>
    <w:rsid w:val="02203D5F"/>
    <w:rsid w:val="03FD1CEC"/>
    <w:rsid w:val="043E660F"/>
    <w:rsid w:val="04F10319"/>
    <w:rsid w:val="05A60A6F"/>
    <w:rsid w:val="05C56591"/>
    <w:rsid w:val="067863A0"/>
    <w:rsid w:val="06AC4A40"/>
    <w:rsid w:val="06C74416"/>
    <w:rsid w:val="091824F1"/>
    <w:rsid w:val="091D2EAC"/>
    <w:rsid w:val="092D76D4"/>
    <w:rsid w:val="09501CC8"/>
    <w:rsid w:val="09B158A6"/>
    <w:rsid w:val="0A3D56D4"/>
    <w:rsid w:val="0A897BD0"/>
    <w:rsid w:val="0A980C59"/>
    <w:rsid w:val="0B2E112B"/>
    <w:rsid w:val="0B5961C8"/>
    <w:rsid w:val="0BE75E4E"/>
    <w:rsid w:val="0BF00E1D"/>
    <w:rsid w:val="0C412CCC"/>
    <w:rsid w:val="0C830080"/>
    <w:rsid w:val="0CAB1F3B"/>
    <w:rsid w:val="0D791683"/>
    <w:rsid w:val="0E8A390C"/>
    <w:rsid w:val="0EAE7D2C"/>
    <w:rsid w:val="0ECB516E"/>
    <w:rsid w:val="0F895DE5"/>
    <w:rsid w:val="101A3F0C"/>
    <w:rsid w:val="10F94381"/>
    <w:rsid w:val="126C629D"/>
    <w:rsid w:val="12F0507C"/>
    <w:rsid w:val="1309652E"/>
    <w:rsid w:val="13143930"/>
    <w:rsid w:val="141F3F98"/>
    <w:rsid w:val="143F350A"/>
    <w:rsid w:val="15345BC0"/>
    <w:rsid w:val="15C35C31"/>
    <w:rsid w:val="16833C0C"/>
    <w:rsid w:val="16834628"/>
    <w:rsid w:val="16864D28"/>
    <w:rsid w:val="16AF7D02"/>
    <w:rsid w:val="183C008E"/>
    <w:rsid w:val="18DC185F"/>
    <w:rsid w:val="19324773"/>
    <w:rsid w:val="194508B5"/>
    <w:rsid w:val="195F400C"/>
    <w:rsid w:val="19853C1D"/>
    <w:rsid w:val="1A627C92"/>
    <w:rsid w:val="1AA61A05"/>
    <w:rsid w:val="1ABF7EC1"/>
    <w:rsid w:val="1B0825AC"/>
    <w:rsid w:val="1B4D25C2"/>
    <w:rsid w:val="1C3D3BB8"/>
    <w:rsid w:val="1C617435"/>
    <w:rsid w:val="1C717103"/>
    <w:rsid w:val="1C8F28F2"/>
    <w:rsid w:val="1CB363B6"/>
    <w:rsid w:val="1CE601A3"/>
    <w:rsid w:val="1D707627"/>
    <w:rsid w:val="1DCD67EE"/>
    <w:rsid w:val="1EB22573"/>
    <w:rsid w:val="1ED952CF"/>
    <w:rsid w:val="1F527AF5"/>
    <w:rsid w:val="1FBE13D6"/>
    <w:rsid w:val="1FEE03E5"/>
    <w:rsid w:val="206A3E81"/>
    <w:rsid w:val="20A1107B"/>
    <w:rsid w:val="21AA5FC8"/>
    <w:rsid w:val="22212D1D"/>
    <w:rsid w:val="222C33E1"/>
    <w:rsid w:val="23D23272"/>
    <w:rsid w:val="23F763CC"/>
    <w:rsid w:val="243F21FE"/>
    <w:rsid w:val="255A180E"/>
    <w:rsid w:val="255B5910"/>
    <w:rsid w:val="258F19E5"/>
    <w:rsid w:val="25945D54"/>
    <w:rsid w:val="262510C0"/>
    <w:rsid w:val="264B4023"/>
    <w:rsid w:val="265E2254"/>
    <w:rsid w:val="26EF44A2"/>
    <w:rsid w:val="27542207"/>
    <w:rsid w:val="27B35558"/>
    <w:rsid w:val="27EA33A2"/>
    <w:rsid w:val="27F11774"/>
    <w:rsid w:val="283524F7"/>
    <w:rsid w:val="28D34AF6"/>
    <w:rsid w:val="28E6543E"/>
    <w:rsid w:val="290B6193"/>
    <w:rsid w:val="29BA3B19"/>
    <w:rsid w:val="29FD3CA8"/>
    <w:rsid w:val="2A0C39AD"/>
    <w:rsid w:val="2A3A53CB"/>
    <w:rsid w:val="2A667633"/>
    <w:rsid w:val="2A8D36D0"/>
    <w:rsid w:val="2B102625"/>
    <w:rsid w:val="2B9B27E5"/>
    <w:rsid w:val="2C551039"/>
    <w:rsid w:val="2C865AF2"/>
    <w:rsid w:val="2D0557A9"/>
    <w:rsid w:val="2D783078"/>
    <w:rsid w:val="2DED3C00"/>
    <w:rsid w:val="2E0445AA"/>
    <w:rsid w:val="2E13354E"/>
    <w:rsid w:val="2E264161"/>
    <w:rsid w:val="2E3167D7"/>
    <w:rsid w:val="2E5F14FA"/>
    <w:rsid w:val="2EF746CF"/>
    <w:rsid w:val="2F03152C"/>
    <w:rsid w:val="2F24130E"/>
    <w:rsid w:val="2F6F39DC"/>
    <w:rsid w:val="2FED2D02"/>
    <w:rsid w:val="300013B5"/>
    <w:rsid w:val="315E79E7"/>
    <w:rsid w:val="317116BE"/>
    <w:rsid w:val="317C54E3"/>
    <w:rsid w:val="31D93251"/>
    <w:rsid w:val="31E54D29"/>
    <w:rsid w:val="31F847FE"/>
    <w:rsid w:val="32301017"/>
    <w:rsid w:val="32790F4A"/>
    <w:rsid w:val="32F7088B"/>
    <w:rsid w:val="32FA08A1"/>
    <w:rsid w:val="33CE4076"/>
    <w:rsid w:val="33D55222"/>
    <w:rsid w:val="33D96463"/>
    <w:rsid w:val="34272EEB"/>
    <w:rsid w:val="350522DC"/>
    <w:rsid w:val="352A0BD9"/>
    <w:rsid w:val="353D5609"/>
    <w:rsid w:val="35657F7B"/>
    <w:rsid w:val="375E6C48"/>
    <w:rsid w:val="3804776B"/>
    <w:rsid w:val="381609E1"/>
    <w:rsid w:val="38CF6810"/>
    <w:rsid w:val="391C30CB"/>
    <w:rsid w:val="393209D5"/>
    <w:rsid w:val="39532680"/>
    <w:rsid w:val="39610BA1"/>
    <w:rsid w:val="397260A5"/>
    <w:rsid w:val="399E5224"/>
    <w:rsid w:val="3A4A6B2F"/>
    <w:rsid w:val="3A900C32"/>
    <w:rsid w:val="3AA524A4"/>
    <w:rsid w:val="3AF91901"/>
    <w:rsid w:val="3B0E16EC"/>
    <w:rsid w:val="3B636F7C"/>
    <w:rsid w:val="3BAF7C52"/>
    <w:rsid w:val="3C3D13B6"/>
    <w:rsid w:val="3CC30221"/>
    <w:rsid w:val="3D7052A4"/>
    <w:rsid w:val="3D8C5984"/>
    <w:rsid w:val="3DA76A65"/>
    <w:rsid w:val="3DC257DF"/>
    <w:rsid w:val="3E852417"/>
    <w:rsid w:val="3E91293F"/>
    <w:rsid w:val="3E976C91"/>
    <w:rsid w:val="3EA8208B"/>
    <w:rsid w:val="3EC54699"/>
    <w:rsid w:val="3FE875CF"/>
    <w:rsid w:val="400839EA"/>
    <w:rsid w:val="409843CC"/>
    <w:rsid w:val="40B43A99"/>
    <w:rsid w:val="40C96DDC"/>
    <w:rsid w:val="40CD01AD"/>
    <w:rsid w:val="40CF114A"/>
    <w:rsid w:val="40FE53D6"/>
    <w:rsid w:val="41583F7F"/>
    <w:rsid w:val="418A51F6"/>
    <w:rsid w:val="418F586D"/>
    <w:rsid w:val="422D44CC"/>
    <w:rsid w:val="43224B05"/>
    <w:rsid w:val="43AB38D1"/>
    <w:rsid w:val="43CD37F5"/>
    <w:rsid w:val="44FB7C13"/>
    <w:rsid w:val="457860D2"/>
    <w:rsid w:val="45ED1CC8"/>
    <w:rsid w:val="461942AA"/>
    <w:rsid w:val="463741E5"/>
    <w:rsid w:val="46416FB4"/>
    <w:rsid w:val="46B2658E"/>
    <w:rsid w:val="46C50274"/>
    <w:rsid w:val="46F44B16"/>
    <w:rsid w:val="4703594A"/>
    <w:rsid w:val="4760303A"/>
    <w:rsid w:val="47BE03D0"/>
    <w:rsid w:val="4835476D"/>
    <w:rsid w:val="484434E9"/>
    <w:rsid w:val="487F0641"/>
    <w:rsid w:val="489E155A"/>
    <w:rsid w:val="498D5DEA"/>
    <w:rsid w:val="49C97E75"/>
    <w:rsid w:val="4A422DD4"/>
    <w:rsid w:val="4A9A4E7D"/>
    <w:rsid w:val="4AA11BB9"/>
    <w:rsid w:val="4B0B3795"/>
    <w:rsid w:val="4B52291A"/>
    <w:rsid w:val="4BBB551F"/>
    <w:rsid w:val="4C8D2C54"/>
    <w:rsid w:val="4CD06648"/>
    <w:rsid w:val="4D16293B"/>
    <w:rsid w:val="4D781219"/>
    <w:rsid w:val="4DB1260D"/>
    <w:rsid w:val="4DD54243"/>
    <w:rsid w:val="4DF43EC7"/>
    <w:rsid w:val="4E0D6677"/>
    <w:rsid w:val="4E3D5EC2"/>
    <w:rsid w:val="4E9B36D9"/>
    <w:rsid w:val="4EB86704"/>
    <w:rsid w:val="4EEC4081"/>
    <w:rsid w:val="4F1A1835"/>
    <w:rsid w:val="4F540247"/>
    <w:rsid w:val="501873E4"/>
    <w:rsid w:val="502E198F"/>
    <w:rsid w:val="50505B03"/>
    <w:rsid w:val="506B5D4B"/>
    <w:rsid w:val="506F6462"/>
    <w:rsid w:val="5075620D"/>
    <w:rsid w:val="50CC789E"/>
    <w:rsid w:val="51302913"/>
    <w:rsid w:val="515B5253"/>
    <w:rsid w:val="525370E9"/>
    <w:rsid w:val="529B0BD3"/>
    <w:rsid w:val="52FF237F"/>
    <w:rsid w:val="53132514"/>
    <w:rsid w:val="534F183A"/>
    <w:rsid w:val="538A09C8"/>
    <w:rsid w:val="53C2077C"/>
    <w:rsid w:val="53F1418C"/>
    <w:rsid w:val="54014478"/>
    <w:rsid w:val="54A9611A"/>
    <w:rsid w:val="54E170C0"/>
    <w:rsid w:val="54F8767A"/>
    <w:rsid w:val="55F32710"/>
    <w:rsid w:val="561E160F"/>
    <w:rsid w:val="56515D8F"/>
    <w:rsid w:val="566917DA"/>
    <w:rsid w:val="56B205D7"/>
    <w:rsid w:val="56B905B2"/>
    <w:rsid w:val="575A57B6"/>
    <w:rsid w:val="57E002D1"/>
    <w:rsid w:val="57E4744A"/>
    <w:rsid w:val="57E74332"/>
    <w:rsid w:val="57F00F9A"/>
    <w:rsid w:val="591B5A09"/>
    <w:rsid w:val="59282FC0"/>
    <w:rsid w:val="597277FB"/>
    <w:rsid w:val="5998051B"/>
    <w:rsid w:val="5A3D7617"/>
    <w:rsid w:val="5A6A7383"/>
    <w:rsid w:val="5AAB4BBF"/>
    <w:rsid w:val="5AF3229C"/>
    <w:rsid w:val="5B2C4313"/>
    <w:rsid w:val="5B9A1AB2"/>
    <w:rsid w:val="5BC82551"/>
    <w:rsid w:val="5BCC69FD"/>
    <w:rsid w:val="5C364595"/>
    <w:rsid w:val="5C413BC8"/>
    <w:rsid w:val="5CE86ACB"/>
    <w:rsid w:val="5CE908DA"/>
    <w:rsid w:val="5D827E7B"/>
    <w:rsid w:val="5E071590"/>
    <w:rsid w:val="5E6C0429"/>
    <w:rsid w:val="5E7A24A8"/>
    <w:rsid w:val="5F6E56EF"/>
    <w:rsid w:val="5FB216A7"/>
    <w:rsid w:val="5FFB6E66"/>
    <w:rsid w:val="604206F4"/>
    <w:rsid w:val="608B1041"/>
    <w:rsid w:val="60AD3BD3"/>
    <w:rsid w:val="60C32F70"/>
    <w:rsid w:val="611949DB"/>
    <w:rsid w:val="622343E8"/>
    <w:rsid w:val="62AE3613"/>
    <w:rsid w:val="62E554E9"/>
    <w:rsid w:val="62F31AFE"/>
    <w:rsid w:val="630E7CA7"/>
    <w:rsid w:val="634E7042"/>
    <w:rsid w:val="636A5F05"/>
    <w:rsid w:val="63D92E8D"/>
    <w:rsid w:val="63E309F8"/>
    <w:rsid w:val="642568BB"/>
    <w:rsid w:val="64BA531E"/>
    <w:rsid w:val="65496AAA"/>
    <w:rsid w:val="656E10C3"/>
    <w:rsid w:val="65D31977"/>
    <w:rsid w:val="65D964D1"/>
    <w:rsid w:val="68C740C4"/>
    <w:rsid w:val="69077624"/>
    <w:rsid w:val="692E2292"/>
    <w:rsid w:val="69522482"/>
    <w:rsid w:val="69B15B0A"/>
    <w:rsid w:val="6A3C5CAD"/>
    <w:rsid w:val="6A8878DE"/>
    <w:rsid w:val="6AC35088"/>
    <w:rsid w:val="6AFF1D54"/>
    <w:rsid w:val="6B4F3674"/>
    <w:rsid w:val="6B6B1836"/>
    <w:rsid w:val="6CE12B37"/>
    <w:rsid w:val="6D441D76"/>
    <w:rsid w:val="6D86272E"/>
    <w:rsid w:val="6DFB5D8B"/>
    <w:rsid w:val="6E58232E"/>
    <w:rsid w:val="6ED941E5"/>
    <w:rsid w:val="6F3E1ED2"/>
    <w:rsid w:val="701F1508"/>
    <w:rsid w:val="70607702"/>
    <w:rsid w:val="708C40CE"/>
    <w:rsid w:val="70A16B3C"/>
    <w:rsid w:val="70B21424"/>
    <w:rsid w:val="70DD4F61"/>
    <w:rsid w:val="70E23522"/>
    <w:rsid w:val="71773327"/>
    <w:rsid w:val="71A972A9"/>
    <w:rsid w:val="7217214F"/>
    <w:rsid w:val="72216865"/>
    <w:rsid w:val="72760775"/>
    <w:rsid w:val="72866E81"/>
    <w:rsid w:val="736A4079"/>
    <w:rsid w:val="73CC04F6"/>
    <w:rsid w:val="73DC39DD"/>
    <w:rsid w:val="744D74BB"/>
    <w:rsid w:val="74D26389"/>
    <w:rsid w:val="75365AF3"/>
    <w:rsid w:val="75621F04"/>
    <w:rsid w:val="763F3783"/>
    <w:rsid w:val="76423FE4"/>
    <w:rsid w:val="76466B98"/>
    <w:rsid w:val="7677343A"/>
    <w:rsid w:val="771B0679"/>
    <w:rsid w:val="77A93826"/>
    <w:rsid w:val="77EA71A2"/>
    <w:rsid w:val="787332F5"/>
    <w:rsid w:val="788C62D8"/>
    <w:rsid w:val="78CE3D71"/>
    <w:rsid w:val="78FC3235"/>
    <w:rsid w:val="79686E0D"/>
    <w:rsid w:val="7A0707CE"/>
    <w:rsid w:val="7A116260"/>
    <w:rsid w:val="7A643439"/>
    <w:rsid w:val="7AB236A8"/>
    <w:rsid w:val="7AD0398A"/>
    <w:rsid w:val="7B9D2EF1"/>
    <w:rsid w:val="7BCF6BB7"/>
    <w:rsid w:val="7C1E1C64"/>
    <w:rsid w:val="7C345CAA"/>
    <w:rsid w:val="7C4B617D"/>
    <w:rsid w:val="7C8D084D"/>
    <w:rsid w:val="7C9F411A"/>
    <w:rsid w:val="7CCB5F89"/>
    <w:rsid w:val="7D241E26"/>
    <w:rsid w:val="7D340E99"/>
    <w:rsid w:val="7D4403D9"/>
    <w:rsid w:val="7D5448BC"/>
    <w:rsid w:val="7D9876C6"/>
    <w:rsid w:val="7DA43561"/>
    <w:rsid w:val="7ED22D95"/>
    <w:rsid w:val="7F1B3870"/>
    <w:rsid w:val="7F2015F5"/>
    <w:rsid w:val="7F5F78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topLinePunct w:val="0"/>
      <w:spacing w:line="360" w:lineRule="auto"/>
      <w:ind w:firstLine="480" w:firstLineChars="200"/>
      <w:jc w:val="both"/>
    </w:pPr>
    <w:rPr>
      <w:rFonts w:ascii="Times New Roman" w:hAnsi="Times New Roman" w:eastAsia="宋体" w:cs="Times New Roman"/>
      <w:kern w:val="2"/>
      <w:sz w:val="24"/>
      <w:szCs w:val="24"/>
      <w:lang w:val="en-US" w:eastAsia="zh-CN" w:bidi="ar-SA"/>
    </w:rPr>
  </w:style>
  <w:style w:type="paragraph" w:styleId="3">
    <w:name w:val="heading 1"/>
    <w:next w:val="4"/>
    <w:link w:val="46"/>
    <w:qFormat/>
    <w:uiPriority w:val="0"/>
    <w:pPr>
      <w:keepNext/>
      <w:keepLines/>
      <w:pageBreakBefore/>
      <w:numPr>
        <w:ilvl w:val="0"/>
        <w:numId w:val="1"/>
      </w:numPr>
      <w:tabs>
        <w:tab w:val="left" w:pos="425"/>
      </w:tabs>
      <w:spacing w:line="360" w:lineRule="auto"/>
      <w:ind w:left="0" w:firstLine="0" w:firstLineChars="0"/>
      <w:jc w:val="left"/>
      <w:outlineLvl w:val="0"/>
    </w:pPr>
    <w:rPr>
      <w:rFonts w:ascii="Times New Roman" w:hAnsi="Times New Roman" w:eastAsia="宋体" w:cs="Times New Roman"/>
      <w:b/>
      <w:bCs/>
      <w:kern w:val="44"/>
      <w:sz w:val="32"/>
      <w:szCs w:val="44"/>
    </w:rPr>
  </w:style>
  <w:style w:type="paragraph" w:styleId="4">
    <w:name w:val="heading 2"/>
    <w:basedOn w:val="1"/>
    <w:next w:val="1"/>
    <w:link w:val="45"/>
    <w:qFormat/>
    <w:uiPriority w:val="0"/>
    <w:pPr>
      <w:keepNext w:val="0"/>
      <w:keepLines w:val="0"/>
      <w:numPr>
        <w:ilvl w:val="1"/>
        <w:numId w:val="1"/>
      </w:numPr>
      <w:tabs>
        <w:tab w:val="left" w:pos="630"/>
      </w:tabs>
      <w:spacing w:beforeLines="0" w:afterLines="0" w:line="360" w:lineRule="auto"/>
      <w:ind w:left="0" w:firstLine="0" w:firstLineChars="0"/>
      <w:outlineLvl w:val="1"/>
    </w:pPr>
    <w:rPr>
      <w:rFonts w:ascii="Times New Roman" w:hAnsi="Times New Roman" w:eastAsia="宋体"/>
      <w:b/>
      <w:sz w:val="28"/>
    </w:rPr>
  </w:style>
  <w:style w:type="paragraph" w:styleId="2">
    <w:name w:val="heading 3"/>
    <w:basedOn w:val="1"/>
    <w:next w:val="1"/>
    <w:link w:val="35"/>
    <w:unhideWhenUsed/>
    <w:qFormat/>
    <w:uiPriority w:val="0"/>
    <w:pPr>
      <w:numPr>
        <w:ilvl w:val="2"/>
        <w:numId w:val="1"/>
      </w:numPr>
      <w:tabs>
        <w:tab w:val="left" w:pos="567"/>
        <w:tab w:val="left" w:pos="709"/>
      </w:tabs>
      <w:spacing w:line="360" w:lineRule="auto"/>
      <w:ind w:left="0" w:firstLine="0" w:firstLineChars="0"/>
      <w:jc w:val="left"/>
      <w:outlineLvl w:val="2"/>
    </w:pPr>
    <w:rPr>
      <w:rFonts w:ascii="Times New Roman" w:hAnsi="Times New Roman" w:eastAsia="宋体"/>
      <w:b/>
      <w:bCs/>
      <w:sz w:val="24"/>
      <w:szCs w:val="32"/>
    </w:rPr>
  </w:style>
  <w:style w:type="paragraph" w:styleId="5">
    <w:name w:val="heading 4"/>
    <w:basedOn w:val="1"/>
    <w:next w:val="1"/>
    <w:unhideWhenUsed/>
    <w:qFormat/>
    <w:uiPriority w:val="0"/>
    <w:pPr>
      <w:keepNext/>
      <w:keepLines/>
      <w:numPr>
        <w:ilvl w:val="3"/>
        <w:numId w:val="1"/>
      </w:numPr>
      <w:spacing w:before="280" w:beforeLines="0" w:beforeAutospacing="0" w:after="290" w:afterLines="0" w:afterAutospacing="0" w:line="360" w:lineRule="auto"/>
      <w:ind w:left="864" w:hanging="864" w:firstLineChars="0"/>
      <w:outlineLvl w:val="3"/>
    </w:pPr>
    <w:rPr>
      <w:rFonts w:ascii="Arial" w:hAnsi="Arial" w:eastAsia="宋体"/>
      <w:b/>
      <w:sz w:val="24"/>
    </w:rPr>
  </w:style>
  <w:style w:type="paragraph" w:styleId="6">
    <w:name w:val="heading 5"/>
    <w:basedOn w:val="1"/>
    <w:next w:val="1"/>
    <w:unhideWhenUsed/>
    <w:qFormat/>
    <w:uiPriority w:val="0"/>
    <w:pPr>
      <w:keepNext/>
      <w:keepLines/>
      <w:numPr>
        <w:ilvl w:val="4"/>
        <w:numId w:val="1"/>
      </w:numPr>
      <w:spacing w:before="280" w:beforeLines="0" w:beforeAutospacing="0" w:after="290" w:afterLines="0" w:afterAutospacing="0" w:line="372" w:lineRule="auto"/>
      <w:ind w:left="1008" w:hanging="1008" w:firstLineChars="0"/>
      <w:outlineLvl w:val="4"/>
    </w:pPr>
    <w:rPr>
      <w:b/>
      <w:sz w:val="28"/>
    </w:rPr>
  </w:style>
  <w:style w:type="paragraph" w:styleId="7">
    <w:name w:val="heading 6"/>
    <w:basedOn w:val="1"/>
    <w:next w:val="1"/>
    <w:link w:val="51"/>
    <w:semiHidden/>
    <w:unhideWhenUsed/>
    <w:qFormat/>
    <w:uiPriority w:val="0"/>
    <w:pPr>
      <w:keepNext/>
      <w:keepLines/>
      <w:numPr>
        <w:ilvl w:val="5"/>
        <w:numId w:val="1"/>
      </w:numPr>
      <w:spacing w:before="240" w:beforeLines="0" w:beforeAutospacing="0" w:after="64" w:afterLines="0" w:afterAutospacing="0" w:line="317" w:lineRule="auto"/>
      <w:ind w:left="1151" w:hanging="1151" w:firstLineChars="0"/>
      <w:outlineLvl w:val="5"/>
    </w:pPr>
    <w:rPr>
      <w:rFonts w:ascii="Arial" w:hAnsi="Arial" w:eastAsia="黑体"/>
      <w:b/>
      <w:sz w:val="24"/>
    </w:rPr>
  </w:style>
  <w:style w:type="paragraph" w:styleId="8">
    <w:name w:val="heading 7"/>
    <w:basedOn w:val="1"/>
    <w:next w:val="1"/>
    <w:semiHidden/>
    <w:unhideWhenUsed/>
    <w:qFormat/>
    <w:uiPriority w:val="0"/>
    <w:pPr>
      <w:keepNext/>
      <w:keepLines/>
      <w:numPr>
        <w:ilvl w:val="6"/>
        <w:numId w:val="1"/>
      </w:numPr>
      <w:spacing w:before="240" w:beforeLines="0" w:beforeAutospacing="0" w:after="64" w:afterLines="0" w:afterAutospacing="0" w:line="317" w:lineRule="auto"/>
      <w:ind w:left="1296" w:hanging="1296" w:firstLineChars="0"/>
      <w:outlineLvl w:val="6"/>
    </w:pPr>
    <w:rPr>
      <w:b/>
      <w:sz w:val="24"/>
    </w:rPr>
  </w:style>
  <w:style w:type="paragraph" w:styleId="9">
    <w:name w:val="heading 8"/>
    <w:basedOn w:val="1"/>
    <w:next w:val="1"/>
    <w:semiHidden/>
    <w:unhideWhenUsed/>
    <w:qFormat/>
    <w:uiPriority w:val="0"/>
    <w:pPr>
      <w:keepNext/>
      <w:keepLines/>
      <w:numPr>
        <w:ilvl w:val="7"/>
        <w:numId w:val="1"/>
      </w:numPr>
      <w:spacing w:before="240" w:beforeLines="0" w:beforeAutospacing="0" w:after="64" w:afterLines="0" w:afterAutospacing="0" w:line="317" w:lineRule="auto"/>
      <w:ind w:left="1440" w:hanging="1440" w:firstLineChars="0"/>
      <w:outlineLvl w:val="7"/>
    </w:pPr>
    <w:rPr>
      <w:rFonts w:ascii="Arial" w:hAnsi="Arial" w:eastAsia="黑体"/>
      <w:sz w:val="24"/>
    </w:rPr>
  </w:style>
  <w:style w:type="paragraph" w:styleId="10">
    <w:name w:val="heading 9"/>
    <w:basedOn w:val="1"/>
    <w:next w:val="1"/>
    <w:semiHidden/>
    <w:unhideWhenUsed/>
    <w:qFormat/>
    <w:uiPriority w:val="0"/>
    <w:pPr>
      <w:keepNext/>
      <w:keepLines/>
      <w:numPr>
        <w:ilvl w:val="8"/>
        <w:numId w:val="1"/>
      </w:numPr>
      <w:spacing w:before="240" w:beforeLines="0" w:beforeAutospacing="0" w:after="64" w:afterLines="0" w:afterAutospacing="0" w:line="317" w:lineRule="auto"/>
      <w:ind w:left="1583" w:hanging="1583" w:firstLineChars="0"/>
      <w:outlineLvl w:val="8"/>
    </w:pPr>
    <w:rPr>
      <w:rFonts w:ascii="Arial" w:hAnsi="Arial" w:eastAsia="黑体"/>
      <w:sz w:val="21"/>
    </w:rPr>
  </w:style>
  <w:style w:type="character" w:default="1" w:styleId="23">
    <w:name w:val="Default Paragraph Font"/>
    <w:qFormat/>
    <w:uiPriority w:val="0"/>
    <w:rPr>
      <w:rFonts w:ascii="宋体" w:hAnsi="宋体" w:cs="宋体"/>
      <w:sz w:val="24"/>
    </w:rPr>
  </w:style>
  <w:style w:type="table" w:default="1" w:styleId="21">
    <w:name w:val="Normal Table"/>
    <w:semiHidden/>
    <w:qFormat/>
    <w:uiPriority w:val="0"/>
    <w:tblPr>
      <w:tblCellMar>
        <w:top w:w="0" w:type="dxa"/>
        <w:left w:w="108" w:type="dxa"/>
        <w:bottom w:w="0" w:type="dxa"/>
        <w:right w:w="108" w:type="dxa"/>
      </w:tblCellMar>
    </w:tblPr>
  </w:style>
  <w:style w:type="paragraph" w:styleId="11">
    <w:name w:val="annotation text"/>
    <w:basedOn w:val="1"/>
    <w:unhideWhenUsed/>
    <w:qFormat/>
    <w:uiPriority w:val="99"/>
    <w:pPr>
      <w:jc w:val="left"/>
    </w:pPr>
  </w:style>
  <w:style w:type="paragraph" w:styleId="12">
    <w:name w:val="Body Text"/>
    <w:basedOn w:val="1"/>
    <w:next w:val="1"/>
    <w:unhideWhenUsed/>
    <w:qFormat/>
    <w:uiPriority w:val="99"/>
    <w:pPr>
      <w:spacing w:after="120"/>
    </w:pPr>
  </w:style>
  <w:style w:type="paragraph" w:styleId="13">
    <w:name w:val="Plain Text"/>
    <w:basedOn w:val="1"/>
    <w:qFormat/>
    <w:uiPriority w:val="0"/>
    <w:pPr>
      <w:snapToGrid w:val="0"/>
      <w:spacing w:line="360" w:lineRule="auto"/>
      <w:ind w:firstLine="200" w:firstLineChars="200"/>
    </w:pPr>
    <w:rPr>
      <w:rFonts w:ascii="宋体" w:hAnsi="Courier New"/>
      <w:kern w:val="0"/>
      <w:sz w:val="20"/>
      <w:szCs w:val="21"/>
    </w:rPr>
  </w:style>
  <w:style w:type="paragraph" w:styleId="14">
    <w:name w:val="footer"/>
    <w:basedOn w:val="1"/>
    <w:qFormat/>
    <w:uiPriority w:val="0"/>
    <w:pPr>
      <w:tabs>
        <w:tab w:val="center" w:pos="4153"/>
        <w:tab w:val="right" w:pos="8306"/>
      </w:tabs>
      <w:snapToGrid w:val="0"/>
      <w:jc w:val="center"/>
    </w:pPr>
    <w:rPr>
      <w:rFonts w:ascii="Calibri" w:hAnsi="Calibri" w:eastAsia="宋体" w:cs="Times New Roman"/>
      <w:sz w:val="18"/>
      <w:szCs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qFormat/>
    <w:uiPriority w:val="0"/>
    <w:pPr>
      <w:ind w:firstLine="0" w:firstLineChars="0"/>
    </w:pPr>
    <w:rPr>
      <w:rFonts w:ascii="Times New Roman" w:hAnsi="Times New Roman" w:eastAsia="宋体"/>
      <w:szCs w:val="24"/>
    </w:rPr>
  </w:style>
  <w:style w:type="paragraph" w:styleId="17">
    <w:name w:val="toc 2"/>
    <w:basedOn w:val="1"/>
    <w:next w:val="1"/>
    <w:qFormat/>
    <w:uiPriority w:val="0"/>
    <w:pPr>
      <w:ind w:left="0" w:leftChars="0"/>
    </w:pPr>
    <w:rPr>
      <w:rFonts w:ascii="Times New Roman" w:hAnsi="Times New Roman" w:eastAsia="宋体"/>
      <w:szCs w:val="24"/>
    </w:rPr>
  </w:style>
  <w:style w:type="paragraph" w:styleId="18">
    <w:name w:val="Title"/>
    <w:next w:val="3"/>
    <w:qFormat/>
    <w:uiPriority w:val="0"/>
    <w:pPr>
      <w:spacing w:beforeLines="0" w:beforeAutospacing="0" w:afterLines="0" w:afterAutospacing="0" w:line="360" w:lineRule="auto"/>
      <w:jc w:val="center"/>
      <w:outlineLvl w:val="0"/>
    </w:pPr>
    <w:rPr>
      <w:rFonts w:ascii="Arial" w:hAnsi="Arial" w:eastAsia="宋体" w:cstheme="minorBidi"/>
      <w:b/>
      <w:sz w:val="36"/>
    </w:rPr>
  </w:style>
  <w:style w:type="paragraph" w:styleId="19">
    <w:name w:val="annotation subject"/>
    <w:basedOn w:val="11"/>
    <w:next w:val="11"/>
    <w:qFormat/>
    <w:uiPriority w:val="0"/>
    <w:rPr>
      <w:b/>
      <w:bCs/>
    </w:rPr>
  </w:style>
  <w:style w:type="paragraph" w:styleId="20">
    <w:name w:val="Body Text First Indent"/>
    <w:basedOn w:val="12"/>
    <w:unhideWhenUsed/>
    <w:qFormat/>
    <w:uiPriority w:val="99"/>
    <w:pPr>
      <w:overflowPunct w:val="0"/>
      <w:autoSpaceDE w:val="0"/>
      <w:autoSpaceDN w:val="0"/>
      <w:adjustRightInd w:val="0"/>
      <w:spacing w:line="360" w:lineRule="auto"/>
      <w:ind w:firstLine="539"/>
      <w:textAlignment w:val="baseline"/>
    </w:pPr>
    <w:rPr>
      <w:kern w:val="0"/>
      <w:sz w:val="28"/>
      <w:szCs w:val="20"/>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Hyperlink"/>
    <w:unhideWhenUsed/>
    <w:qFormat/>
    <w:uiPriority w:val="99"/>
    <w:rPr>
      <w:color w:val="2D64B3"/>
      <w:u w:val="none"/>
    </w:rPr>
  </w:style>
  <w:style w:type="character" w:styleId="25">
    <w:name w:val="annotation reference"/>
    <w:qFormat/>
    <w:uiPriority w:val="0"/>
    <w:rPr>
      <w:sz w:val="21"/>
      <w:szCs w:val="21"/>
    </w:rPr>
  </w:style>
  <w:style w:type="character" w:customStyle="1" w:styleId="26">
    <w:name w:val="标题 2 Char"/>
    <w:basedOn w:val="27"/>
    <w:link w:val="4"/>
    <w:qFormat/>
    <w:uiPriority w:val="0"/>
    <w:rPr>
      <w:rFonts w:ascii="Times New Roman" w:hAnsi="Times New Roman" w:eastAsia="宋体"/>
      <w:sz w:val="30"/>
      <w:szCs w:val="30"/>
    </w:rPr>
  </w:style>
  <w:style w:type="character" w:customStyle="1" w:styleId="27">
    <w:name w:val="标题 1 Char1"/>
    <w:basedOn w:val="23"/>
    <w:link w:val="3"/>
    <w:qFormat/>
    <w:uiPriority w:val="0"/>
    <w:rPr>
      <w:rFonts w:ascii="Times New Roman" w:hAnsi="Times New Roman" w:eastAsia="宋体"/>
      <w:b/>
      <w:bCs/>
      <w:kern w:val="44"/>
      <w:sz w:val="32"/>
      <w:szCs w:val="32"/>
      <w:lang w:val="en-US" w:eastAsia="zh-CN" w:bidi="ar-SA"/>
    </w:rPr>
  </w:style>
  <w:style w:type="paragraph" w:customStyle="1" w:styleId="28">
    <w:name w:val="WPSOffice手动目录 1"/>
    <w:qFormat/>
    <w:uiPriority w:val="0"/>
    <w:pPr>
      <w:spacing w:line="288" w:lineRule="auto"/>
      <w:ind w:leftChars="0"/>
    </w:pPr>
    <w:rPr>
      <w:rFonts w:ascii="Times New Roman" w:hAnsi="Times New Roman" w:eastAsia="宋体" w:cstheme="minorBidi"/>
      <w:b/>
      <w:sz w:val="24"/>
      <w:szCs w:val="20"/>
    </w:rPr>
  </w:style>
  <w:style w:type="paragraph" w:customStyle="1" w:styleId="29">
    <w:name w:val="表标题"/>
    <w:basedOn w:val="1"/>
    <w:link w:val="34"/>
    <w:qFormat/>
    <w:uiPriority w:val="0"/>
    <w:pPr>
      <w:ind w:firstLine="0" w:firstLineChars="0"/>
      <w:jc w:val="center"/>
    </w:pPr>
    <w:rPr>
      <w:rFonts w:ascii="Times New Roman" w:hAnsi="Times New Roman" w:eastAsia="黑体" w:cs="Times New Roman"/>
      <w:kern w:val="0"/>
    </w:rPr>
  </w:style>
  <w:style w:type="paragraph" w:customStyle="1" w:styleId="30">
    <w:name w:val="表格"/>
    <w:next w:val="1"/>
    <w:link w:val="36"/>
    <w:qFormat/>
    <w:uiPriority w:val="0"/>
    <w:pPr>
      <w:adjustRightInd w:val="0"/>
      <w:snapToGrid w:val="0"/>
      <w:jc w:val="center"/>
    </w:pPr>
    <w:rPr>
      <w:rFonts w:ascii="Times New Roman" w:hAnsi="Times New Roman" w:eastAsia="宋体" w:cstheme="minorBidi"/>
      <w:snapToGrid w:val="0"/>
      <w:sz w:val="21"/>
      <w:szCs w:val="24"/>
      <w:lang w:val="en-US" w:eastAsia="zh-CN" w:bidi="ar-SA"/>
    </w:rPr>
  </w:style>
  <w:style w:type="paragraph" w:customStyle="1" w:styleId="31">
    <w:name w:val="表格文字"/>
    <w:next w:val="1"/>
    <w:qFormat/>
    <w:uiPriority w:val="0"/>
    <w:pPr>
      <w:spacing w:line="240" w:lineRule="auto"/>
      <w:ind w:firstLine="0" w:firstLineChars="0"/>
      <w:jc w:val="center"/>
    </w:pPr>
    <w:rPr>
      <w:rFonts w:ascii="Calibri" w:hAnsi="Calibri" w:eastAsia="宋体" w:cs="Times New Roman"/>
      <w:kern w:val="0"/>
      <w:sz w:val="21"/>
      <w:szCs w:val="21"/>
    </w:rPr>
  </w:style>
  <w:style w:type="paragraph" w:customStyle="1" w:styleId="32">
    <w:name w:val="表格标题"/>
    <w:link w:val="56"/>
    <w:qFormat/>
    <w:uiPriority w:val="0"/>
    <w:pPr>
      <w:spacing w:before="0" w:beforeLines="0" w:line="360" w:lineRule="auto"/>
      <w:ind w:firstLine="0" w:firstLineChars="0"/>
      <w:jc w:val="center"/>
    </w:pPr>
    <w:rPr>
      <w:rFonts w:ascii="Times New Roman" w:hAnsi="Times New Roman" w:eastAsia="黑体" w:cstheme="minorBidi"/>
      <w:sz w:val="24"/>
    </w:rPr>
  </w:style>
  <w:style w:type="character" w:customStyle="1" w:styleId="33">
    <w:name w:val="标题 1 Char"/>
    <w:basedOn w:val="23"/>
    <w:link w:val="3"/>
    <w:qFormat/>
    <w:uiPriority w:val="0"/>
    <w:rPr>
      <w:rFonts w:ascii="Times New Roman" w:hAnsi="Times New Roman" w:eastAsia="宋体"/>
      <w:b/>
      <w:bCs/>
      <w:kern w:val="44"/>
      <w:sz w:val="32"/>
      <w:szCs w:val="32"/>
      <w:lang w:val="en-US" w:eastAsia="zh-CN" w:bidi="ar-SA"/>
    </w:rPr>
  </w:style>
  <w:style w:type="character" w:customStyle="1" w:styleId="34">
    <w:name w:val="表标题 Char"/>
    <w:link w:val="29"/>
    <w:qFormat/>
    <w:uiPriority w:val="0"/>
    <w:rPr>
      <w:rFonts w:ascii="Times New Roman" w:hAnsi="Times New Roman" w:eastAsia="黑体" w:cs="Times New Roman"/>
      <w:kern w:val="0"/>
      <w:sz w:val="24"/>
    </w:rPr>
  </w:style>
  <w:style w:type="character" w:customStyle="1" w:styleId="35">
    <w:name w:val="标题 3 Char"/>
    <w:link w:val="2"/>
    <w:qFormat/>
    <w:uiPriority w:val="0"/>
    <w:rPr>
      <w:rFonts w:ascii="Times New Roman" w:hAnsi="Times New Roman" w:eastAsia="宋体"/>
      <w:b/>
      <w:bCs/>
      <w:kern w:val="2"/>
      <w:sz w:val="24"/>
      <w:szCs w:val="32"/>
    </w:rPr>
  </w:style>
  <w:style w:type="character" w:customStyle="1" w:styleId="36">
    <w:name w:val="表格 Char"/>
    <w:link w:val="30"/>
    <w:qFormat/>
    <w:uiPriority w:val="0"/>
    <w:rPr>
      <w:rFonts w:ascii="Times New Roman" w:hAnsi="Times New Roman" w:eastAsia="宋体" w:cstheme="minorBidi"/>
      <w:snapToGrid w:val="0"/>
      <w:sz w:val="21"/>
      <w:szCs w:val="24"/>
      <w:lang w:val="en-US" w:eastAsia="zh-CN" w:bidi="ar-SA"/>
    </w:rPr>
  </w:style>
  <w:style w:type="paragraph" w:customStyle="1" w:styleId="37">
    <w:name w:val="表格正文"/>
    <w:basedOn w:val="1"/>
    <w:qFormat/>
    <w:uiPriority w:val="0"/>
    <w:pPr>
      <w:snapToGrid w:val="0"/>
      <w:ind w:firstLine="0" w:firstLineChars="0"/>
      <w:jc w:val="center"/>
    </w:pPr>
    <w:rPr>
      <w:rFonts w:cs="Times New Roman"/>
      <w:kern w:val="10"/>
      <w:sz w:val="24"/>
      <w:szCs w:val="24"/>
    </w:rPr>
  </w:style>
  <w:style w:type="paragraph" w:customStyle="1" w:styleId="38">
    <w:name w:val="Default"/>
    <w:unhideWhenUsed/>
    <w:qFormat/>
    <w:uiPriority w:val="99"/>
    <w:pPr>
      <w:widowControl w:val="0"/>
      <w:autoSpaceDE w:val="0"/>
      <w:autoSpaceDN w:val="0"/>
      <w:adjustRightInd w:val="0"/>
      <w:spacing w:beforeLines="0" w:afterLines="0"/>
    </w:pPr>
    <w:rPr>
      <w:rFonts w:hint="eastAsia" w:ascii="黑体" w:hAnsi="黑体" w:eastAsia="黑体" w:cs="Times New Roman"/>
      <w:color w:val="000000"/>
      <w:sz w:val="24"/>
    </w:rPr>
  </w:style>
  <w:style w:type="paragraph" w:customStyle="1" w:styleId="39">
    <w:name w:val="WPSOffice手动目录 2"/>
    <w:qFormat/>
    <w:uiPriority w:val="0"/>
    <w:pPr>
      <w:spacing w:line="288" w:lineRule="auto"/>
      <w:ind w:left="240" w:leftChars="100"/>
    </w:pPr>
    <w:rPr>
      <w:rFonts w:ascii="Times New Roman" w:hAnsi="Times New Roman" w:eastAsia="宋体" w:cs="Times New Roman"/>
      <w:sz w:val="21"/>
      <w:szCs w:val="20"/>
    </w:rPr>
  </w:style>
  <w:style w:type="paragraph" w:customStyle="1" w:styleId="40">
    <w:name w:val="WPSOffice手动目录 3"/>
    <w:qFormat/>
    <w:uiPriority w:val="0"/>
    <w:pPr>
      <w:spacing w:line="288" w:lineRule="auto"/>
      <w:ind w:left="480" w:leftChars="200"/>
    </w:pPr>
    <w:rPr>
      <w:rFonts w:ascii="Times New Roman" w:hAnsi="Times New Roman" w:eastAsia="宋体" w:cstheme="minorBidi"/>
      <w:sz w:val="21"/>
      <w:szCs w:val="20"/>
    </w:rPr>
  </w:style>
  <w:style w:type="character" w:customStyle="1" w:styleId="41">
    <w:name w:val="标题 2 Char12"/>
    <w:basedOn w:val="42"/>
    <w:link w:val="4"/>
    <w:qFormat/>
    <w:uiPriority w:val="0"/>
    <w:rPr>
      <w:rFonts w:ascii="Times New Roman" w:hAnsi="Times New Roman" w:eastAsia="宋体"/>
      <w:sz w:val="30"/>
      <w:szCs w:val="30"/>
    </w:rPr>
  </w:style>
  <w:style w:type="character" w:customStyle="1" w:styleId="42">
    <w:name w:val="标题 1 Char22"/>
    <w:basedOn w:val="23"/>
    <w:link w:val="3"/>
    <w:qFormat/>
    <w:uiPriority w:val="0"/>
    <w:rPr>
      <w:rFonts w:ascii="Times New Roman" w:hAnsi="Times New Roman" w:eastAsia="宋体"/>
      <w:b/>
      <w:bCs/>
      <w:kern w:val="44"/>
      <w:sz w:val="32"/>
      <w:szCs w:val="32"/>
      <w:lang w:val="en-US" w:eastAsia="zh-CN" w:bidi="ar-SA"/>
    </w:rPr>
  </w:style>
  <w:style w:type="character" w:customStyle="1" w:styleId="43">
    <w:name w:val="标题 2 Char11"/>
    <w:basedOn w:val="44"/>
    <w:link w:val="4"/>
    <w:qFormat/>
    <w:uiPriority w:val="0"/>
    <w:rPr>
      <w:rFonts w:ascii="Times New Roman" w:hAnsi="Times New Roman" w:eastAsia="宋体"/>
      <w:sz w:val="30"/>
      <w:szCs w:val="30"/>
    </w:rPr>
  </w:style>
  <w:style w:type="character" w:customStyle="1" w:styleId="44">
    <w:name w:val="标题 1 Char21"/>
    <w:basedOn w:val="23"/>
    <w:link w:val="3"/>
    <w:qFormat/>
    <w:uiPriority w:val="0"/>
    <w:rPr>
      <w:rFonts w:ascii="Times New Roman" w:hAnsi="Times New Roman" w:eastAsia="宋体"/>
      <w:b/>
      <w:bCs/>
      <w:kern w:val="44"/>
      <w:sz w:val="32"/>
      <w:szCs w:val="32"/>
      <w:lang w:val="en-US" w:eastAsia="zh-CN" w:bidi="ar-SA"/>
    </w:rPr>
  </w:style>
  <w:style w:type="character" w:customStyle="1" w:styleId="45">
    <w:name w:val="标题 2 Char1"/>
    <w:basedOn w:val="46"/>
    <w:link w:val="4"/>
    <w:qFormat/>
    <w:uiPriority w:val="0"/>
    <w:rPr>
      <w:rFonts w:ascii="Times New Roman" w:hAnsi="Times New Roman" w:eastAsia="宋体" w:cstheme="minorBidi"/>
      <w:sz w:val="28"/>
      <w:szCs w:val="24"/>
    </w:rPr>
  </w:style>
  <w:style w:type="character" w:customStyle="1" w:styleId="46">
    <w:name w:val="标题 1 Char2"/>
    <w:basedOn w:val="23"/>
    <w:link w:val="3"/>
    <w:qFormat/>
    <w:uiPriority w:val="0"/>
    <w:rPr>
      <w:rFonts w:ascii="Times New Roman" w:hAnsi="Times New Roman" w:eastAsia="宋体" w:cs="Times New Roman"/>
      <w:b/>
      <w:bCs/>
      <w:kern w:val="44"/>
      <w:sz w:val="32"/>
      <w:szCs w:val="32"/>
      <w:lang w:val="en-US" w:eastAsia="zh-CN" w:bidi="ar-SA"/>
    </w:rPr>
  </w:style>
  <w:style w:type="paragraph" w:customStyle="1" w:styleId="47">
    <w:name w:val="xl27"/>
    <w:basedOn w:val="1"/>
    <w:qFormat/>
    <w:uiPriority w:val="0"/>
    <w:pPr>
      <w:widowControl/>
      <w:pBdr>
        <w:bottom w:val="single" w:color="auto" w:sz="12" w:space="0"/>
      </w:pBdr>
      <w:spacing w:before="100" w:after="100"/>
      <w:jc w:val="center"/>
    </w:pPr>
    <w:rPr>
      <w:rFonts w:ascii="宋体" w:hAnsi="宋体"/>
      <w:kern w:val="0"/>
      <w:szCs w:val="20"/>
    </w:rPr>
  </w:style>
  <w:style w:type="paragraph" w:customStyle="1" w:styleId="48">
    <w:name w:val="正文（用）"/>
    <w:basedOn w:val="1"/>
    <w:qFormat/>
    <w:uiPriority w:val="0"/>
    <w:pPr>
      <w:widowControl/>
      <w:spacing w:line="360" w:lineRule="auto"/>
      <w:ind w:firstLine="480" w:firstLineChars="200"/>
      <w:jc w:val="left"/>
    </w:pPr>
    <w:rPr>
      <w:rFonts w:ascii="宋体" w:hAnsi="宋体" w:cs="宋体"/>
      <w:sz w:val="24"/>
    </w:rPr>
  </w:style>
  <w:style w:type="paragraph" w:customStyle="1" w:styleId="49">
    <w:name w:val="段落"/>
    <w:basedOn w:val="1"/>
    <w:qFormat/>
    <w:uiPriority w:val="0"/>
    <w:pPr>
      <w:tabs>
        <w:tab w:val="left" w:pos="1021"/>
      </w:tabs>
      <w:adjustRightInd w:val="0"/>
      <w:spacing w:before="60" w:line="300" w:lineRule="auto"/>
      <w:ind w:firstLine="480" w:firstLineChars="200"/>
    </w:pPr>
    <w:rPr>
      <w:kern w:val="24"/>
      <w:sz w:val="24"/>
      <w:szCs w:val="24"/>
    </w:rPr>
  </w:style>
  <w:style w:type="paragraph" w:customStyle="1" w:styleId="50">
    <w:name w:val="报告书正文 Char Char Char"/>
    <w:basedOn w:val="1"/>
    <w:qFormat/>
    <w:uiPriority w:val="0"/>
    <w:pPr>
      <w:spacing w:line="300" w:lineRule="auto"/>
      <w:ind w:firstLine="480" w:firstLineChars="200"/>
    </w:pPr>
    <w:rPr>
      <w:rFonts w:ascii="宋体" w:hAnsi="宋体"/>
      <w:sz w:val="24"/>
      <w:szCs w:val="20"/>
    </w:rPr>
  </w:style>
  <w:style w:type="character" w:customStyle="1" w:styleId="51">
    <w:name w:val="标题 6 Char"/>
    <w:link w:val="7"/>
    <w:qFormat/>
    <w:uiPriority w:val="0"/>
    <w:rPr>
      <w:rFonts w:ascii="Arial" w:hAnsi="Arial" w:eastAsia="黑体"/>
      <w:b/>
      <w:sz w:val="24"/>
    </w:rPr>
  </w:style>
  <w:style w:type="paragraph" w:customStyle="1" w:styleId="52">
    <w:name w:val="0正文"/>
    <w:unhideWhenUsed/>
    <w:qFormat/>
    <w:uiPriority w:val="0"/>
    <w:pPr>
      <w:widowControl w:val="0"/>
      <w:spacing w:line="360" w:lineRule="auto"/>
      <w:ind w:firstLine="720" w:firstLineChars="200"/>
    </w:pPr>
    <w:rPr>
      <w:rFonts w:ascii="Times New Roman" w:hAnsi="Times New Roman" w:eastAsia="宋体" w:cs="Times New Roman"/>
      <w:sz w:val="24"/>
      <w:szCs w:val="22"/>
      <w:lang w:val="en-US" w:eastAsia="zh-CN" w:bidi="ar-SA"/>
    </w:rPr>
  </w:style>
  <w:style w:type="paragraph" w:customStyle="1" w:styleId="53">
    <w:name w:val="表格内格式"/>
    <w:basedOn w:val="1"/>
    <w:next w:val="1"/>
    <w:qFormat/>
    <w:uiPriority w:val="0"/>
    <w:pPr>
      <w:widowControl/>
      <w:spacing w:line="360" w:lineRule="exact"/>
      <w:jc w:val="center"/>
    </w:pPr>
    <w:rPr>
      <w:kern w:val="0"/>
    </w:rPr>
  </w:style>
  <w:style w:type="paragraph" w:customStyle="1" w:styleId="54">
    <w:name w:val="表格内容居中"/>
    <w:qFormat/>
    <w:uiPriority w:val="0"/>
    <w:pPr>
      <w:adjustRightInd w:val="0"/>
      <w:snapToGrid w:val="0"/>
      <w:jc w:val="center"/>
    </w:pPr>
    <w:rPr>
      <w:rFonts w:ascii="Times New Roman" w:hAnsi="Times New Roman" w:eastAsia="宋体" w:cs="Times New Roman"/>
      <w:snapToGrid w:val="0"/>
      <w:sz w:val="21"/>
      <w:szCs w:val="21"/>
      <w:lang w:val="en-US" w:eastAsia="zh-CN" w:bidi="ar-SA"/>
    </w:rPr>
  </w:style>
  <w:style w:type="paragraph" w:customStyle="1" w:styleId="55">
    <w:name w:val="Table Paragraph"/>
    <w:basedOn w:val="1"/>
    <w:qFormat/>
    <w:uiPriority w:val="1"/>
    <w:pPr>
      <w:autoSpaceDE w:val="0"/>
      <w:autoSpaceDN w:val="0"/>
      <w:adjustRightInd w:val="0"/>
      <w:jc w:val="left"/>
    </w:pPr>
    <w:rPr>
      <w:kern w:val="0"/>
      <w:sz w:val="24"/>
    </w:rPr>
  </w:style>
  <w:style w:type="character" w:customStyle="1" w:styleId="56">
    <w:name w:val="表格标题 Char1"/>
    <w:link w:val="32"/>
    <w:qFormat/>
    <w:uiPriority w:val="0"/>
    <w:rPr>
      <w:rFonts w:ascii="Times New Roman" w:hAnsi="Times New Roman" w:eastAsia="黑体" w:cstheme="minorBidi"/>
      <w:sz w:val="24"/>
    </w:rPr>
  </w:style>
  <w:style w:type="character" w:customStyle="1" w:styleId="57">
    <w:name w:val="content"/>
    <w:basedOn w:val="23"/>
    <w:qFormat/>
    <w:uiPriority w:val="0"/>
  </w:style>
  <w:style w:type="paragraph" w:customStyle="1" w:styleId="58">
    <w:name w:val="报告书正文"/>
    <w:basedOn w:val="1"/>
    <w:qFormat/>
    <w:uiPriority w:val="0"/>
    <w:pPr>
      <w:spacing w:line="300" w:lineRule="auto"/>
      <w:ind w:firstLine="200" w:firstLineChars="200"/>
    </w:pPr>
    <w:rPr>
      <w:sz w:val="24"/>
      <w:szCs w:val="20"/>
    </w:rPr>
  </w:style>
  <w:style w:type="paragraph" w:customStyle="1" w:styleId="59">
    <w:name w:val="图表头"/>
    <w:basedOn w:val="1"/>
    <w:qFormat/>
    <w:uiPriority w:val="0"/>
    <w:pPr>
      <w:adjustRightInd w:val="0"/>
      <w:spacing w:line="360" w:lineRule="auto"/>
      <w:jc w:val="center"/>
      <w:textAlignment w:val="baseline"/>
    </w:pPr>
    <w:rPr>
      <w:rFonts w:ascii="黑体" w:eastAsia="黑体"/>
      <w:spacing w:val="5"/>
      <w:kern w:val="0"/>
      <w:szCs w:val="20"/>
    </w:rPr>
  </w:style>
  <w:style w:type="paragraph" w:customStyle="1" w:styleId="60">
    <w:name w:val="正文1"/>
    <w:basedOn w:val="1"/>
    <w:qFormat/>
    <w:uiPriority w:val="0"/>
    <w:pPr>
      <w:spacing w:line="360" w:lineRule="auto"/>
      <w:ind w:firstLine="723" w:firstLineChars="200"/>
    </w:pPr>
    <w:rPr>
      <w:kern w:val="0"/>
      <w:sz w:val="24"/>
      <w:szCs w:val="20"/>
    </w:rPr>
  </w:style>
  <w:style w:type="paragraph" w:customStyle="1" w:styleId="61">
    <w:name w:val="1 表格内容"/>
    <w:basedOn w:val="1"/>
    <w:qFormat/>
    <w:uiPriority w:val="0"/>
    <w:pPr>
      <w:widowControl w:val="0"/>
      <w:spacing w:line="320" w:lineRule="exact"/>
      <w:ind w:firstLine="0" w:firstLineChars="0"/>
      <w:jc w:val="center"/>
    </w:pPr>
    <w:rPr>
      <w:kern w:val="2"/>
      <w:sz w:val="21"/>
      <w:szCs w:val="21"/>
    </w:rPr>
  </w:style>
  <w:style w:type="paragraph" w:customStyle="1" w:styleId="62">
    <w:name w:val="图片文字"/>
    <w:basedOn w:val="1"/>
    <w:next w:val="1"/>
    <w:qFormat/>
    <w:uiPriority w:val="0"/>
    <w:pPr>
      <w:ind w:firstLine="0" w:firstLineChars="0"/>
      <w:jc w:val="center"/>
    </w:pPr>
    <w:rPr>
      <w:rFonts w:ascii="Times New Roman" w:hAnsi="Times New Roman"/>
      <w:b/>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png"/><Relationship Id="rId6" Type="http://schemas.openxmlformats.org/officeDocument/2006/relationships/image" Target="media/image1.emf"/><Relationship Id="rId5" Type="http://schemas.openxmlformats.org/officeDocument/2006/relationships/oleObject" Target="embeddings/oleObject1.bin"/><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9.jpeg"/><Relationship Id="rId15" Type="http://schemas.openxmlformats.org/officeDocument/2006/relationships/image" Target="media/image8.png"/><Relationship Id="rId14" Type="http://schemas.openxmlformats.org/officeDocument/2006/relationships/image" Target="media/image7.png"/><Relationship Id="rId13" Type="http://schemas.openxmlformats.org/officeDocument/2006/relationships/image" Target="media/image6.wmf"/><Relationship Id="rId12" Type="http://schemas.openxmlformats.org/officeDocument/2006/relationships/oleObject" Target="embeddings/oleObject3.bin"/><Relationship Id="rId11" Type="http://schemas.openxmlformats.org/officeDocument/2006/relationships/image" Target="media/image5.emf"/><Relationship Id="rId10" Type="http://schemas.openxmlformats.org/officeDocument/2006/relationships/oleObject" Target="embeddings/oleObject2.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Office_11.3.0.9228_F1E327BC-269C-435d-A152-05C5408002CA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2020-06-06T08:40:00Z</dcterms:created>
  <dc:creator>旖旎</dc:creator>
  <cp:lastModifiedBy>旖旎</cp:lastModifiedBy>
  <dcterms:modified xsi:type="dcterms:W3CDTF">2020-08-20T10:32:42Z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