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8F8F8"/>
  <w:body>
    <w:p>
      <w:pPr>
        <w:wordWrap w:val="0"/>
        <w:spacing w:line="480" w:lineRule="auto"/>
        <w:jc w:val="right"/>
        <w:rPr>
          <w:b/>
          <w:color w:val="000000" w:themeColor="text1"/>
          <w:sz w:val="52"/>
          <w14:textFill>
            <w14:solidFill>
              <w14:schemeClr w14:val="tx1"/>
            </w14:solidFill>
          </w14:textFill>
        </w:rPr>
      </w:pPr>
      <w:r>
        <w:rPr>
          <w:color w:val="000000" w:themeColor="text1"/>
          <w14:textFill>
            <w14:solidFill>
              <w14:schemeClr w14:val="tx1"/>
            </w14:solidFill>
          </w14:textFill>
        </w:rPr>
        <w:t>项目编号：</w:t>
      </w:r>
      <w:r>
        <w:rPr>
          <w:rFonts w:hint="eastAsia"/>
          <w:color w:val="000000" w:themeColor="text1"/>
          <w:u w:val="single"/>
          <w14:textFill>
            <w14:solidFill>
              <w14:schemeClr w14:val="tx1"/>
            </w14:solidFill>
          </w14:textFill>
        </w:rPr>
        <w:t xml:space="preserve">              </w:t>
      </w:r>
    </w:p>
    <w:p>
      <w:pPr>
        <w:jc w:val="center"/>
        <w:rPr>
          <w:b/>
          <w:color w:val="000000" w:themeColor="text1"/>
          <w:sz w:val="52"/>
          <w14:textFill>
            <w14:solidFill>
              <w14:schemeClr w14:val="tx1"/>
            </w14:solidFill>
          </w14:textFill>
        </w:rPr>
      </w:pPr>
    </w:p>
    <w:p>
      <w:pPr>
        <w:jc w:val="center"/>
        <w:rPr>
          <w:b/>
          <w:color w:val="000000" w:themeColor="text1"/>
          <w:sz w:val="72"/>
          <w:szCs w:val="72"/>
          <w14:textFill>
            <w14:solidFill>
              <w14:schemeClr w14:val="tx1"/>
            </w14:solidFill>
          </w14:textFill>
        </w:rPr>
      </w:pPr>
    </w:p>
    <w:p>
      <w:pPr>
        <w:jc w:val="center"/>
        <w:rPr>
          <w:b/>
          <w:color w:val="000000" w:themeColor="text1"/>
          <w:sz w:val="72"/>
          <w:szCs w:val="72"/>
          <w14:textFill>
            <w14:solidFill>
              <w14:schemeClr w14:val="tx1"/>
            </w14:solidFill>
          </w14:textFill>
        </w:rPr>
      </w:pPr>
      <w:r>
        <w:rPr>
          <w:rFonts w:hAnsi="宋体"/>
          <w:b/>
          <w:color w:val="000000" w:themeColor="text1"/>
          <w:sz w:val="72"/>
          <w:szCs w:val="72"/>
          <w14:textFill>
            <w14:solidFill>
              <w14:schemeClr w14:val="tx1"/>
            </w14:solidFill>
          </w14:textFill>
        </w:rPr>
        <w:t>建设项目环境影响报告表</w:t>
      </w:r>
    </w:p>
    <w:p>
      <w:pPr>
        <w:spacing w:line="360" w:lineRule="auto"/>
        <w:jc w:val="center"/>
        <w:rPr>
          <w:color w:val="000000" w:themeColor="text1"/>
          <w:sz w:val="36"/>
          <w14:textFill>
            <w14:solidFill>
              <w14:schemeClr w14:val="tx1"/>
            </w14:solidFill>
          </w14:textFill>
        </w:rPr>
      </w:pPr>
      <w:r>
        <w:rPr>
          <w:rFonts w:hint="eastAsia"/>
          <w:color w:val="000000" w:themeColor="text1"/>
          <w:sz w:val="36"/>
          <w14:textFill>
            <w14:solidFill>
              <w14:schemeClr w14:val="tx1"/>
            </w14:solidFill>
          </w14:textFill>
        </w:rPr>
        <w:t>（送审稿）</w:t>
      </w:r>
    </w:p>
    <w:p>
      <w:pPr>
        <w:spacing w:line="360" w:lineRule="auto"/>
        <w:rPr>
          <w:color w:val="000000" w:themeColor="text1"/>
          <w:sz w:val="36"/>
          <w:u w:val="single"/>
          <w14:textFill>
            <w14:solidFill>
              <w14:schemeClr w14:val="tx1"/>
            </w14:solidFill>
          </w14:textFill>
        </w:rPr>
      </w:pPr>
    </w:p>
    <w:p>
      <w:pPr>
        <w:spacing w:line="360" w:lineRule="auto"/>
        <w:rPr>
          <w:color w:val="000000" w:themeColor="text1"/>
          <w:sz w:val="36"/>
          <w:u w:val="single"/>
          <w14:textFill>
            <w14:solidFill>
              <w14:schemeClr w14:val="tx1"/>
            </w14:solidFill>
          </w14:textFill>
        </w:rPr>
      </w:pPr>
    </w:p>
    <w:p>
      <w:pPr>
        <w:spacing w:line="360" w:lineRule="auto"/>
        <w:rPr>
          <w:color w:val="000000" w:themeColor="text1"/>
          <w:sz w:val="36"/>
          <w:u w:val="single"/>
          <w14:textFill>
            <w14:solidFill>
              <w14:schemeClr w14:val="tx1"/>
            </w14:solidFill>
          </w14:textFill>
        </w:rPr>
      </w:pPr>
    </w:p>
    <w:p>
      <w:pPr>
        <w:spacing w:line="360" w:lineRule="auto"/>
        <w:rPr>
          <w:color w:val="000000" w:themeColor="text1"/>
          <w:sz w:val="36"/>
          <w:u w:val="single"/>
          <w14:textFill>
            <w14:solidFill>
              <w14:schemeClr w14:val="tx1"/>
            </w14:solidFill>
          </w14:textFill>
        </w:rPr>
      </w:pPr>
    </w:p>
    <w:p>
      <w:pPr>
        <w:spacing w:line="360" w:lineRule="auto"/>
        <w:rPr>
          <w:color w:val="000000" w:themeColor="text1"/>
          <w:sz w:val="36"/>
          <w:u w:val="single"/>
          <w14:textFill>
            <w14:solidFill>
              <w14:schemeClr w14:val="tx1"/>
            </w14:solidFill>
          </w14:textFill>
        </w:rPr>
      </w:pPr>
    </w:p>
    <w:p>
      <w:pPr>
        <w:snapToGrid w:val="0"/>
        <w:spacing w:line="360" w:lineRule="auto"/>
        <w:jc w:val="center"/>
        <w:outlineLvl w:val="0"/>
        <w:rPr>
          <w:b/>
          <w:sz w:val="30"/>
          <w:szCs w:val="30"/>
          <w:u w:val="single"/>
        </w:rPr>
      </w:pPr>
      <w:r>
        <w:rPr>
          <w:b/>
          <w:color w:val="000000" w:themeColor="text1"/>
          <w:sz w:val="28"/>
          <w:szCs w:val="28"/>
          <w14:textFill>
            <w14:solidFill>
              <w14:schemeClr w14:val="tx1"/>
            </w14:solidFill>
          </w14:textFill>
        </w:rPr>
        <w:t>项目名称：</w:t>
      </w:r>
      <w:r>
        <w:rPr>
          <w:rFonts w:hint="eastAsia"/>
          <w:b/>
          <w:sz w:val="30"/>
          <w:szCs w:val="30"/>
          <w:u w:val="single"/>
        </w:rPr>
        <w:t xml:space="preserve">君山区饮水工程建设项目    </w:t>
      </w:r>
    </w:p>
    <w:p>
      <w:pPr>
        <w:spacing w:line="360" w:lineRule="auto"/>
        <w:jc w:val="center"/>
        <w:rPr>
          <w:color w:val="000000" w:themeColor="text1"/>
          <w:sz w:val="32"/>
          <w:szCs w:val="32"/>
          <w:u w:val="single"/>
          <w14:textFill>
            <w14:solidFill>
              <w14:schemeClr w14:val="tx1"/>
            </w14:solidFill>
          </w14:textFill>
        </w:rPr>
      </w:pPr>
      <w:r>
        <w:rPr>
          <w:b/>
          <w:color w:val="000000" w:themeColor="text1"/>
          <w:sz w:val="28"/>
          <w:szCs w:val="28"/>
          <w14:textFill>
            <w14:solidFill>
              <w14:schemeClr w14:val="tx1"/>
            </w14:solidFill>
          </w14:textFill>
        </w:rPr>
        <w:t>建设单位（盖章）：</w:t>
      </w:r>
      <w:r>
        <w:rPr>
          <w:rFonts w:hint="eastAsia"/>
          <w:b/>
          <w:sz w:val="30"/>
          <w:szCs w:val="30"/>
          <w:u w:val="single"/>
        </w:rPr>
        <w:t>岳阳市君山区城市建设投资有限公司</w:t>
      </w:r>
    </w:p>
    <w:p>
      <w:pPr>
        <w:spacing w:line="360" w:lineRule="auto"/>
        <w:jc w:val="center"/>
        <w:rPr>
          <w:color w:val="000000" w:themeColor="text1"/>
          <w:sz w:val="32"/>
          <w:szCs w:val="32"/>
          <w:u w:val="single"/>
          <w14:textFill>
            <w14:solidFill>
              <w14:schemeClr w14:val="tx1"/>
            </w14:solidFill>
          </w14:textFill>
        </w:rPr>
      </w:pPr>
    </w:p>
    <w:p>
      <w:pPr>
        <w:pStyle w:val="3"/>
      </w:pPr>
    </w:p>
    <w:p>
      <w:pPr>
        <w:spacing w:line="360" w:lineRule="auto"/>
        <w:jc w:val="center"/>
        <w:rPr>
          <w:b/>
          <w:color w:val="000000" w:themeColor="text1"/>
          <w:sz w:val="32"/>
          <w:szCs w:val="32"/>
          <w14:textFill>
            <w14:solidFill>
              <w14:schemeClr w14:val="tx1"/>
            </w14:solidFill>
          </w14:textFill>
        </w:rPr>
      </w:pPr>
      <w:r>
        <w:rPr>
          <w:b/>
          <w:color w:val="000000" w:themeColor="text1"/>
          <w:sz w:val="32"/>
          <w:szCs w:val="32"/>
          <w14:textFill>
            <w14:solidFill>
              <w14:schemeClr w14:val="tx1"/>
            </w14:solidFill>
          </w14:textFill>
        </w:rPr>
        <w:t>编制日期：20</w:t>
      </w:r>
      <w:r>
        <w:rPr>
          <w:rFonts w:hint="eastAsia"/>
          <w:b/>
          <w:color w:val="000000" w:themeColor="text1"/>
          <w:sz w:val="32"/>
          <w:szCs w:val="32"/>
          <w14:textFill>
            <w14:solidFill>
              <w14:schemeClr w14:val="tx1"/>
            </w14:solidFill>
          </w14:textFill>
        </w:rPr>
        <w:t>20</w:t>
      </w:r>
      <w:r>
        <w:rPr>
          <w:b/>
          <w:color w:val="000000" w:themeColor="text1"/>
          <w:sz w:val="32"/>
          <w:szCs w:val="32"/>
          <w14:textFill>
            <w14:solidFill>
              <w14:schemeClr w14:val="tx1"/>
            </w14:solidFill>
          </w14:textFill>
        </w:rPr>
        <w:t>年</w:t>
      </w:r>
      <w:r>
        <w:rPr>
          <w:rFonts w:hint="eastAsia"/>
          <w:b/>
          <w:color w:val="000000" w:themeColor="text1"/>
          <w:sz w:val="32"/>
          <w:szCs w:val="32"/>
          <w14:textFill>
            <w14:solidFill>
              <w14:schemeClr w14:val="tx1"/>
            </w14:solidFill>
          </w14:textFill>
        </w:rPr>
        <w:t>05</w:t>
      </w:r>
      <w:r>
        <w:rPr>
          <w:b/>
          <w:color w:val="000000" w:themeColor="text1"/>
          <w:sz w:val="32"/>
          <w:szCs w:val="32"/>
          <w14:textFill>
            <w14:solidFill>
              <w14:schemeClr w14:val="tx1"/>
            </w14:solidFill>
          </w14:textFill>
        </w:rPr>
        <w:t>月</w:t>
      </w:r>
    </w:p>
    <w:p>
      <w:pPr>
        <w:spacing w:line="360" w:lineRule="auto"/>
        <w:jc w:val="center"/>
        <w:rPr>
          <w:rFonts w:hAnsi="宋体"/>
          <w:b/>
          <w:color w:val="000000" w:themeColor="text1"/>
          <w:sz w:val="32"/>
          <w:szCs w:val="32"/>
          <w14:textFill>
            <w14:solidFill>
              <w14:schemeClr w14:val="tx1"/>
            </w14:solidFill>
          </w14:textFill>
        </w:rPr>
        <w:sectPr>
          <w:pgSz w:w="11906" w:h="16838"/>
          <w:pgMar w:top="1440" w:right="1274" w:bottom="1440" w:left="1800" w:header="851" w:footer="992" w:gutter="0"/>
          <w:cols w:space="425" w:num="1"/>
          <w:docGrid w:type="lines" w:linePitch="326" w:charSpace="0"/>
        </w:sectPr>
      </w:pPr>
      <w:r>
        <w:rPr>
          <w:rFonts w:hAnsi="宋体"/>
          <w:b/>
          <w:color w:val="000000" w:themeColor="text1"/>
          <w:sz w:val="32"/>
          <w:szCs w:val="32"/>
          <w14:textFill>
            <w14:solidFill>
              <w14:schemeClr w14:val="tx1"/>
            </w14:solidFill>
          </w14:textFill>
        </w:rPr>
        <w:t>国家环境保护总局</w:t>
      </w:r>
    </w:p>
    <w:p>
      <w:pPr>
        <w:spacing w:line="360" w:lineRule="auto"/>
        <w:rPr>
          <w:color w:val="000000" w:themeColor="text1"/>
          <w:sz w:val="32"/>
          <w:szCs w:val="32"/>
          <w14:textFill>
            <w14:solidFill>
              <w14:schemeClr w14:val="tx1"/>
            </w14:solidFill>
          </w14:textFill>
        </w:rPr>
      </w:pPr>
    </w:p>
    <w:p>
      <w:pPr>
        <w:pStyle w:val="3"/>
        <w:tabs>
          <w:tab w:val="left" w:pos="1585"/>
        </w:tabs>
        <w:kinsoku w:val="0"/>
        <w:overflowPunct w:val="0"/>
        <w:ind w:left="136" w:firstLine="480"/>
        <w:jc w:val="center"/>
        <w:outlineLvl w:val="0"/>
      </w:pPr>
    </w:p>
    <w:p>
      <w:pPr>
        <w:spacing w:line="360" w:lineRule="auto"/>
        <w:jc w:val="center"/>
        <w:rPr>
          <w:b/>
          <w:bCs/>
          <w:color w:val="000000" w:themeColor="text1"/>
          <w:sz w:val="30"/>
          <w:szCs w:val="30"/>
          <w14:textFill>
            <w14:solidFill>
              <w14:schemeClr w14:val="tx1"/>
            </w14:solidFill>
          </w14:textFill>
        </w:rPr>
      </w:pPr>
      <w:r>
        <w:rPr>
          <w:b/>
          <w:color w:val="000000" w:themeColor="text1"/>
          <w:sz w:val="44"/>
          <w:u w:val="single"/>
          <w14:textFill>
            <w14:solidFill>
              <w14:schemeClr w14:val="tx1"/>
            </w14:solidFill>
          </w14:textFill>
        </w:rPr>
        <w:br w:type="page"/>
      </w:r>
      <w:r>
        <w:rPr>
          <w:rFonts w:hAnsi="宋体"/>
          <w:b/>
          <w:bCs/>
          <w:color w:val="000000" w:themeColor="text1"/>
          <w:sz w:val="30"/>
          <w:szCs w:val="30"/>
          <w14:textFill>
            <w14:solidFill>
              <w14:schemeClr w14:val="tx1"/>
            </w14:solidFill>
          </w14:textFill>
        </w:rPr>
        <w:t>《建设项目环境影响报告表》编制说明</w:t>
      </w:r>
    </w:p>
    <w:p>
      <w:pPr>
        <w:spacing w:line="360" w:lineRule="auto"/>
        <w:jc w:val="center"/>
        <w:rPr>
          <w:b/>
          <w:bCs/>
          <w:color w:val="000000" w:themeColor="text1"/>
          <w:sz w:val="28"/>
          <w:szCs w:val="28"/>
          <w14:textFill>
            <w14:solidFill>
              <w14:schemeClr w14:val="tx1"/>
            </w14:solidFill>
          </w14:textFill>
        </w:rPr>
      </w:pPr>
    </w:p>
    <w:p>
      <w:pPr>
        <w:pStyle w:val="3"/>
        <w:adjustRightInd w:val="0"/>
        <w:snapToGrid w:val="0"/>
        <w:spacing w:line="480" w:lineRule="auto"/>
        <w:ind w:firstLine="527"/>
        <w:rPr>
          <w:b w:val="0"/>
          <w:color w:val="000000" w:themeColor="text1"/>
          <w14:textFill>
            <w14:solidFill>
              <w14:schemeClr w14:val="tx1"/>
            </w14:solidFill>
          </w14:textFill>
        </w:rPr>
      </w:pPr>
      <w:r>
        <w:rPr>
          <w:rFonts w:hAnsi="宋体"/>
          <w:b w:val="0"/>
          <w:color w:val="000000" w:themeColor="text1"/>
          <w14:textFill>
            <w14:solidFill>
              <w14:schemeClr w14:val="tx1"/>
            </w14:solidFill>
          </w14:textFill>
        </w:rPr>
        <w:t>《建设项目环境影响报告表》由具有从事环境影响评价工作资质的单位编制。</w:t>
      </w:r>
    </w:p>
    <w:p>
      <w:pPr>
        <w:adjustRightInd w:val="0"/>
        <w:snapToGrid w:val="0"/>
        <w:spacing w:line="480" w:lineRule="auto"/>
        <w:ind w:firstLine="525"/>
        <w:rPr>
          <w:color w:val="000000" w:themeColor="text1"/>
          <w14:textFill>
            <w14:solidFill>
              <w14:schemeClr w14:val="tx1"/>
            </w14:solidFill>
          </w14:textFill>
        </w:rPr>
      </w:pPr>
      <w:r>
        <w:rPr>
          <w:color w:val="000000" w:themeColor="text1"/>
          <w14:textFill>
            <w14:solidFill>
              <w14:schemeClr w14:val="tx1"/>
            </w14:solidFill>
          </w14:textFill>
        </w:rPr>
        <w:t>1.项目名称——指项目立项批复时的名称，应不超过30个字（两个英文字段作一个汉字）。</w:t>
      </w:r>
    </w:p>
    <w:p>
      <w:pPr>
        <w:adjustRightInd w:val="0"/>
        <w:snapToGrid w:val="0"/>
        <w:spacing w:line="480" w:lineRule="auto"/>
        <w:ind w:firstLine="525"/>
        <w:rPr>
          <w:color w:val="000000" w:themeColor="text1"/>
          <w14:textFill>
            <w14:solidFill>
              <w14:schemeClr w14:val="tx1"/>
            </w14:solidFill>
          </w14:textFill>
        </w:rPr>
      </w:pPr>
      <w:r>
        <w:rPr>
          <w:color w:val="000000" w:themeColor="text1"/>
          <w14:textFill>
            <w14:solidFill>
              <w14:schemeClr w14:val="tx1"/>
            </w14:solidFill>
          </w14:textFill>
        </w:rPr>
        <w:t>2.建设地点——指项目所在地详细地址，公路、铁路应填写起止地点。</w:t>
      </w:r>
    </w:p>
    <w:p>
      <w:pPr>
        <w:adjustRightInd w:val="0"/>
        <w:snapToGrid w:val="0"/>
        <w:spacing w:line="480" w:lineRule="auto"/>
        <w:ind w:firstLine="525"/>
        <w:rPr>
          <w:color w:val="000000" w:themeColor="text1"/>
          <w14:textFill>
            <w14:solidFill>
              <w14:schemeClr w14:val="tx1"/>
            </w14:solidFill>
          </w14:textFill>
        </w:rPr>
      </w:pPr>
      <w:r>
        <w:rPr>
          <w:color w:val="000000" w:themeColor="text1"/>
          <w14:textFill>
            <w14:solidFill>
              <w14:schemeClr w14:val="tx1"/>
            </w14:solidFill>
          </w14:textFill>
        </w:rPr>
        <w:t>3.行业类别——按国标填写。</w:t>
      </w:r>
    </w:p>
    <w:p>
      <w:pPr>
        <w:adjustRightInd w:val="0"/>
        <w:snapToGrid w:val="0"/>
        <w:spacing w:line="480" w:lineRule="auto"/>
        <w:ind w:firstLine="525"/>
        <w:rPr>
          <w:color w:val="000000" w:themeColor="text1"/>
          <w14:textFill>
            <w14:solidFill>
              <w14:schemeClr w14:val="tx1"/>
            </w14:solidFill>
          </w14:textFill>
        </w:rPr>
      </w:pPr>
      <w:r>
        <w:rPr>
          <w:color w:val="000000" w:themeColor="text1"/>
          <w14:textFill>
            <w14:solidFill>
              <w14:schemeClr w14:val="tx1"/>
            </w14:solidFill>
          </w14:textFill>
        </w:rPr>
        <w:t>4.总投资——指项目投资总额。</w:t>
      </w:r>
    </w:p>
    <w:p>
      <w:pPr>
        <w:adjustRightInd w:val="0"/>
        <w:snapToGrid w:val="0"/>
        <w:spacing w:line="480" w:lineRule="auto"/>
        <w:ind w:firstLine="525"/>
        <w:rPr>
          <w:color w:val="000000" w:themeColor="text1"/>
          <w14:textFill>
            <w14:solidFill>
              <w14:schemeClr w14:val="tx1"/>
            </w14:solidFill>
          </w14:textFill>
        </w:rPr>
      </w:pPr>
      <w:r>
        <w:rPr>
          <w:color w:val="000000" w:themeColor="text1"/>
          <w14:textFill>
            <w14:solidFill>
              <w14:schemeClr w14:val="tx1"/>
            </w14:solidFill>
          </w14:textFill>
        </w:rPr>
        <w:t>5.主要环境保护目标——指项目周围一定范围内集中居民住宅区、学校、医院、保护文物、风景名胜区、水源地和生态敏感点等，应尽可能给出保护目标、性质、规模和距厂界距离等。</w:t>
      </w:r>
    </w:p>
    <w:p>
      <w:pPr>
        <w:adjustRightInd w:val="0"/>
        <w:snapToGrid w:val="0"/>
        <w:spacing w:line="480" w:lineRule="auto"/>
        <w:ind w:firstLine="525"/>
        <w:rPr>
          <w:color w:val="000000" w:themeColor="text1"/>
          <w14:textFill>
            <w14:solidFill>
              <w14:schemeClr w14:val="tx1"/>
            </w14:solidFill>
          </w14:textFill>
        </w:rPr>
      </w:pPr>
      <w:r>
        <w:rPr>
          <w:color w:val="000000" w:themeColor="text1"/>
          <w14:textFill>
            <w14:solidFill>
              <w14:schemeClr w14:val="tx1"/>
            </w14:solidFill>
          </w14:textFill>
        </w:rPr>
        <w:t>6.结论与建议——给出本项目清洁生产、达标排放和总量控制的分析结论，确定污染防止措施的有效性，说明本项目对环境造成的影响，给出建设项目环境可行性的明确结论。同时提出减少环境影响的其它建议。</w:t>
      </w:r>
    </w:p>
    <w:p>
      <w:pPr>
        <w:adjustRightInd w:val="0"/>
        <w:snapToGrid w:val="0"/>
        <w:spacing w:line="480" w:lineRule="auto"/>
        <w:ind w:firstLine="525"/>
        <w:rPr>
          <w:color w:val="000000" w:themeColor="text1"/>
          <w14:textFill>
            <w14:solidFill>
              <w14:schemeClr w14:val="tx1"/>
            </w14:solidFill>
          </w14:textFill>
        </w:rPr>
      </w:pPr>
      <w:r>
        <w:rPr>
          <w:color w:val="000000" w:themeColor="text1"/>
          <w14:textFill>
            <w14:solidFill>
              <w14:schemeClr w14:val="tx1"/>
            </w14:solidFill>
          </w14:textFill>
        </w:rPr>
        <w:t>7.预审意见——</w:t>
      </w:r>
      <w:r>
        <w:rPr>
          <w:rFonts w:hAnsi="宋体"/>
          <w:color w:val="000000" w:themeColor="text1"/>
          <w14:textFill>
            <w14:solidFill>
              <w14:schemeClr w14:val="tx1"/>
            </w14:solidFill>
          </w14:textFill>
        </w:rPr>
        <w:t>由行业主管部门填写答复意见，无主管部门项目，可</w:t>
      </w:r>
      <w:r>
        <w:rPr>
          <w:color w:val="000000" w:themeColor="text1"/>
          <w14:textFill>
            <w14:solidFill>
              <w14:schemeClr w14:val="tx1"/>
            </w14:solidFill>
          </w14:textFill>
        </w:rPr>
        <w:t>不填。</w:t>
      </w:r>
    </w:p>
    <w:p>
      <w:pPr>
        <w:adjustRightInd w:val="0"/>
        <w:snapToGrid w:val="0"/>
        <w:spacing w:line="480" w:lineRule="auto"/>
        <w:ind w:firstLine="525"/>
        <w:rPr>
          <w:color w:val="000000" w:themeColor="text1"/>
          <w14:textFill>
            <w14:solidFill>
              <w14:schemeClr w14:val="tx1"/>
            </w14:solidFill>
          </w14:textFill>
        </w:rPr>
      </w:pPr>
      <w:r>
        <w:rPr>
          <w:color w:val="000000" w:themeColor="text1"/>
          <w14:textFill>
            <w14:solidFill>
              <w14:schemeClr w14:val="tx1"/>
            </w14:solidFill>
          </w14:textFill>
        </w:rPr>
        <w:t>8.审批意见——由负责审批该项目的环境保护行政主管部门批复。</w:t>
      </w:r>
    </w:p>
    <w:p>
      <w:pPr>
        <w:adjustRightInd w:val="0"/>
        <w:snapToGrid w:val="0"/>
        <w:spacing w:line="480" w:lineRule="auto"/>
        <w:ind w:firstLine="525"/>
        <w:rPr>
          <w:color w:val="000000" w:themeColor="text1"/>
          <w14:textFill>
            <w14:solidFill>
              <w14:schemeClr w14:val="tx1"/>
            </w14:solidFill>
          </w14:textFill>
        </w:rPr>
      </w:pPr>
    </w:p>
    <w:p>
      <w:pPr>
        <w:adjustRightInd w:val="0"/>
        <w:snapToGrid w:val="0"/>
        <w:spacing w:line="480" w:lineRule="auto"/>
        <w:ind w:firstLine="525"/>
        <w:rPr>
          <w:color w:val="000000" w:themeColor="text1"/>
          <w14:textFill>
            <w14:solidFill>
              <w14:schemeClr w14:val="tx1"/>
            </w14:solidFill>
          </w14:textFill>
        </w:rPr>
      </w:pPr>
    </w:p>
    <w:p>
      <w:pPr>
        <w:adjustRightInd w:val="0"/>
        <w:snapToGrid w:val="0"/>
        <w:spacing w:line="480" w:lineRule="auto"/>
        <w:ind w:firstLine="525"/>
        <w:rPr>
          <w:color w:val="000000" w:themeColor="text1"/>
          <w14:textFill>
            <w14:solidFill>
              <w14:schemeClr w14:val="tx1"/>
            </w14:solidFill>
          </w14:textFill>
        </w:rPr>
      </w:pPr>
    </w:p>
    <w:p>
      <w:pPr>
        <w:adjustRightInd w:val="0"/>
        <w:snapToGrid w:val="0"/>
        <w:spacing w:line="480" w:lineRule="auto"/>
        <w:ind w:firstLine="525"/>
        <w:rPr>
          <w:color w:val="000000" w:themeColor="text1"/>
          <w14:textFill>
            <w14:solidFill>
              <w14:schemeClr w14:val="tx1"/>
            </w14:solidFill>
          </w14:textFill>
        </w:rPr>
      </w:pPr>
    </w:p>
    <w:p>
      <w:pPr>
        <w:adjustRightInd w:val="0"/>
        <w:snapToGrid w:val="0"/>
        <w:spacing w:line="480" w:lineRule="auto"/>
        <w:ind w:firstLine="525"/>
        <w:rPr>
          <w:color w:val="000000" w:themeColor="text1"/>
          <w14:textFill>
            <w14:solidFill>
              <w14:schemeClr w14:val="tx1"/>
            </w14:solidFill>
          </w14:textFill>
        </w:rPr>
      </w:pPr>
    </w:p>
    <w:p>
      <w:pPr>
        <w:adjustRightInd w:val="0"/>
        <w:snapToGrid w:val="0"/>
        <w:spacing w:line="480" w:lineRule="auto"/>
        <w:ind w:firstLine="525"/>
        <w:rPr>
          <w:color w:val="000000" w:themeColor="text1"/>
          <w14:textFill>
            <w14:solidFill>
              <w14:schemeClr w14:val="tx1"/>
            </w14:solidFill>
          </w14:textFill>
        </w:rPr>
      </w:pPr>
    </w:p>
    <w:p>
      <w:pPr>
        <w:adjustRightInd w:val="0"/>
        <w:snapToGrid w:val="0"/>
        <w:spacing w:line="480" w:lineRule="auto"/>
        <w:ind w:firstLine="525"/>
        <w:rPr>
          <w:color w:val="000000" w:themeColor="text1"/>
          <w14:textFill>
            <w14:solidFill>
              <w14:schemeClr w14:val="tx1"/>
            </w14:solidFill>
          </w14:textFill>
        </w:rPr>
      </w:pPr>
    </w:p>
    <w:p>
      <w:pPr>
        <w:adjustRightInd w:val="0"/>
        <w:snapToGrid w:val="0"/>
        <w:spacing w:line="480" w:lineRule="auto"/>
        <w:ind w:firstLine="525"/>
        <w:rPr>
          <w:color w:val="000000" w:themeColor="text1"/>
          <w14:textFill>
            <w14:solidFill>
              <w14:schemeClr w14:val="tx1"/>
            </w14:solidFill>
          </w14:textFill>
        </w:rPr>
      </w:pPr>
    </w:p>
    <w:p>
      <w:pPr>
        <w:tabs>
          <w:tab w:val="right" w:leader="dot" w:pos="8306"/>
        </w:tabs>
        <w:ind w:firstLine="3534" w:firstLineChars="800"/>
        <w:rPr>
          <w:b/>
          <w:bCs/>
          <w:color w:val="000000" w:themeColor="text1"/>
          <w:sz w:val="44"/>
          <w:szCs w:val="44"/>
          <w14:textFill>
            <w14:solidFill>
              <w14:schemeClr w14:val="tx1"/>
            </w14:solidFill>
          </w14:textFill>
        </w:rPr>
      </w:pPr>
      <w:r>
        <w:rPr>
          <w:b/>
          <w:bCs/>
          <w:color w:val="000000" w:themeColor="text1"/>
          <w:sz w:val="44"/>
          <w:szCs w:val="44"/>
          <w14:textFill>
            <w14:solidFill>
              <w14:schemeClr w14:val="tx1"/>
            </w14:solidFill>
          </w14:textFill>
        </w:rPr>
        <w:t>目录</w:t>
      </w:r>
    </w:p>
    <w:p>
      <w:pPr>
        <w:pStyle w:val="29"/>
        <w:tabs>
          <w:tab w:val="right" w:leader="dot" w:pos="8822"/>
        </w:tabs>
        <w:spacing w:before="0" w:after="0"/>
        <w:rPr>
          <w:rFonts w:ascii="Times New Roman" w:hAnsi="Times New Roman" w:eastAsiaTheme="minorEastAsia"/>
          <w:b w:val="0"/>
          <w:bCs w:val="0"/>
          <w:caps w:val="0"/>
          <w:color w:val="000000" w:themeColor="text1"/>
          <w:sz w:val="24"/>
          <w:szCs w:val="24"/>
          <w14:textFill>
            <w14:solidFill>
              <w14:schemeClr w14:val="tx1"/>
            </w14:solidFill>
          </w14:textFill>
        </w:rPr>
      </w:pPr>
      <w:r>
        <w:rPr>
          <w:rFonts w:ascii="Times New Roman" w:hAnsi="Times New Roman"/>
          <w:b w:val="0"/>
          <w:color w:val="000000" w:themeColor="text1"/>
          <w14:textFill>
            <w14:solidFill>
              <w14:schemeClr w14:val="tx1"/>
            </w14:solidFill>
          </w14:textFill>
        </w:rPr>
        <w:fldChar w:fldCharType="begin"/>
      </w:r>
      <w:r>
        <w:rPr>
          <w:rFonts w:ascii="Times New Roman" w:hAnsi="Times New Roman"/>
          <w:b w:val="0"/>
          <w:color w:val="000000" w:themeColor="text1"/>
          <w14:textFill>
            <w14:solidFill>
              <w14:schemeClr w14:val="tx1"/>
            </w14:solidFill>
          </w14:textFill>
        </w:rPr>
        <w:instrText xml:space="preserve"> TOC \o "1-1" \h \z \u </w:instrText>
      </w:r>
      <w:r>
        <w:rPr>
          <w:rFonts w:ascii="Times New Roman" w:hAnsi="Times New Roman"/>
          <w:b w:val="0"/>
          <w:color w:val="000000" w:themeColor="text1"/>
          <w14:textFill>
            <w14:solidFill>
              <w14:schemeClr w14:val="tx1"/>
            </w14:solidFill>
          </w14:textFill>
        </w:rPr>
        <w:fldChar w:fldCharType="separate"/>
      </w:r>
      <w:r>
        <w:fldChar w:fldCharType="begin"/>
      </w:r>
      <w:r>
        <w:instrText xml:space="preserve"> HYPERLINK \l "_Toc523322724" </w:instrText>
      </w:r>
      <w:r>
        <w:fldChar w:fldCharType="separate"/>
      </w:r>
      <w:r>
        <w:rPr>
          <w:rStyle w:val="51"/>
          <w:rFonts w:ascii="Times New Roman" w:hAnsi="宋体"/>
          <w:b w:val="0"/>
          <w:color w:val="000000" w:themeColor="text1"/>
          <w:sz w:val="24"/>
          <w:szCs w:val="24"/>
          <w14:textFill>
            <w14:solidFill>
              <w14:schemeClr w14:val="tx1"/>
            </w14:solidFill>
          </w14:textFill>
        </w:rPr>
        <w:t>一、建设项目基本情况</w:t>
      </w:r>
      <w:r>
        <w:rPr>
          <w:rFonts w:ascii="Times New Roman" w:hAnsi="Times New Roman"/>
          <w:b w:val="0"/>
          <w:color w:val="000000" w:themeColor="text1"/>
          <w:sz w:val="24"/>
          <w:szCs w:val="24"/>
          <w14:textFill>
            <w14:solidFill>
              <w14:schemeClr w14:val="tx1"/>
            </w14:solidFill>
          </w14:textFill>
        </w:rPr>
        <w:tab/>
      </w:r>
      <w:r>
        <w:rPr>
          <w:rFonts w:ascii="Times New Roman" w:hAnsi="Times New Roman"/>
          <w:b w:val="0"/>
          <w:color w:val="000000" w:themeColor="text1"/>
          <w:sz w:val="24"/>
          <w:szCs w:val="24"/>
          <w14:textFill>
            <w14:solidFill>
              <w14:schemeClr w14:val="tx1"/>
            </w14:solidFill>
          </w14:textFill>
        </w:rPr>
        <w:fldChar w:fldCharType="begin"/>
      </w:r>
      <w:r>
        <w:rPr>
          <w:rFonts w:ascii="Times New Roman" w:hAnsi="Times New Roman"/>
          <w:b w:val="0"/>
          <w:color w:val="000000" w:themeColor="text1"/>
          <w:sz w:val="24"/>
          <w:szCs w:val="24"/>
          <w14:textFill>
            <w14:solidFill>
              <w14:schemeClr w14:val="tx1"/>
            </w14:solidFill>
          </w14:textFill>
        </w:rPr>
        <w:instrText xml:space="preserve"> PAGEREF _Toc523322724 \h </w:instrText>
      </w:r>
      <w:r>
        <w:rPr>
          <w:rFonts w:ascii="Times New Roman" w:hAnsi="Times New Roman"/>
          <w:b w:val="0"/>
          <w:color w:val="000000" w:themeColor="text1"/>
          <w:sz w:val="24"/>
          <w:szCs w:val="24"/>
          <w14:textFill>
            <w14:solidFill>
              <w14:schemeClr w14:val="tx1"/>
            </w14:solidFill>
          </w14:textFill>
        </w:rPr>
        <w:fldChar w:fldCharType="separate"/>
      </w:r>
      <w:r>
        <w:rPr>
          <w:rFonts w:ascii="Times New Roman" w:hAnsi="Times New Roman"/>
          <w:b w:val="0"/>
          <w:color w:val="000000" w:themeColor="text1"/>
          <w:sz w:val="24"/>
          <w:szCs w:val="24"/>
          <w14:textFill>
            <w14:solidFill>
              <w14:schemeClr w14:val="tx1"/>
            </w14:solidFill>
          </w14:textFill>
        </w:rPr>
        <w:t>1</w:t>
      </w:r>
      <w:r>
        <w:rPr>
          <w:rFonts w:ascii="Times New Roman" w:hAnsi="Times New Roman"/>
          <w:b w:val="0"/>
          <w:color w:val="000000" w:themeColor="text1"/>
          <w:sz w:val="24"/>
          <w:szCs w:val="24"/>
          <w14:textFill>
            <w14:solidFill>
              <w14:schemeClr w14:val="tx1"/>
            </w14:solidFill>
          </w14:textFill>
        </w:rPr>
        <w:fldChar w:fldCharType="end"/>
      </w:r>
      <w:r>
        <w:rPr>
          <w:rFonts w:ascii="Times New Roman" w:hAnsi="Times New Roman"/>
          <w:b w:val="0"/>
          <w:color w:val="000000" w:themeColor="text1"/>
          <w:sz w:val="24"/>
          <w:szCs w:val="24"/>
          <w14:textFill>
            <w14:solidFill>
              <w14:schemeClr w14:val="tx1"/>
            </w14:solidFill>
          </w14:textFill>
        </w:rPr>
        <w:fldChar w:fldCharType="end"/>
      </w:r>
    </w:p>
    <w:p>
      <w:pPr>
        <w:pStyle w:val="29"/>
        <w:tabs>
          <w:tab w:val="right" w:leader="dot" w:pos="8822"/>
        </w:tabs>
        <w:spacing w:before="0" w:after="0"/>
        <w:rPr>
          <w:rFonts w:ascii="Times New Roman" w:hAnsi="Times New Roman" w:eastAsiaTheme="minorEastAsia"/>
          <w:b w:val="0"/>
          <w:bCs w:val="0"/>
          <w:caps w:val="0"/>
          <w:color w:val="000000" w:themeColor="text1"/>
          <w:sz w:val="24"/>
          <w:szCs w:val="24"/>
          <w14:textFill>
            <w14:solidFill>
              <w14:schemeClr w14:val="tx1"/>
            </w14:solidFill>
          </w14:textFill>
        </w:rPr>
      </w:pPr>
      <w:r>
        <w:fldChar w:fldCharType="begin"/>
      </w:r>
      <w:r>
        <w:instrText xml:space="preserve"> HYPERLINK \l "_Toc523322725" </w:instrText>
      </w:r>
      <w:r>
        <w:fldChar w:fldCharType="separate"/>
      </w:r>
      <w:r>
        <w:rPr>
          <w:rStyle w:val="51"/>
          <w:rFonts w:ascii="Times New Roman" w:hAnsi="宋体"/>
          <w:b w:val="0"/>
          <w:color w:val="000000" w:themeColor="text1"/>
          <w:sz w:val="24"/>
          <w:szCs w:val="24"/>
          <w14:textFill>
            <w14:solidFill>
              <w14:schemeClr w14:val="tx1"/>
            </w14:solidFill>
          </w14:textFill>
        </w:rPr>
        <w:t>二、建设项目所在地自然环境简况</w:t>
      </w:r>
      <w:r>
        <w:rPr>
          <w:rFonts w:ascii="Times New Roman" w:hAnsi="Times New Roman"/>
          <w:b w:val="0"/>
          <w:color w:val="000000" w:themeColor="text1"/>
          <w:sz w:val="24"/>
          <w:szCs w:val="24"/>
          <w14:textFill>
            <w14:solidFill>
              <w14:schemeClr w14:val="tx1"/>
            </w14:solidFill>
          </w14:textFill>
        </w:rPr>
        <w:tab/>
      </w:r>
      <w:r>
        <w:rPr>
          <w:rFonts w:ascii="Times New Roman" w:hAnsi="Times New Roman"/>
          <w:b w:val="0"/>
          <w:color w:val="000000" w:themeColor="text1"/>
          <w:sz w:val="24"/>
          <w:szCs w:val="24"/>
          <w14:textFill>
            <w14:solidFill>
              <w14:schemeClr w14:val="tx1"/>
            </w14:solidFill>
          </w14:textFill>
        </w:rPr>
        <w:fldChar w:fldCharType="begin"/>
      </w:r>
      <w:r>
        <w:rPr>
          <w:rFonts w:ascii="Times New Roman" w:hAnsi="Times New Roman"/>
          <w:b w:val="0"/>
          <w:color w:val="000000" w:themeColor="text1"/>
          <w:sz w:val="24"/>
          <w:szCs w:val="24"/>
          <w14:textFill>
            <w14:solidFill>
              <w14:schemeClr w14:val="tx1"/>
            </w14:solidFill>
          </w14:textFill>
        </w:rPr>
        <w:instrText xml:space="preserve"> PAGEREF _Toc523322725 \h </w:instrText>
      </w:r>
      <w:r>
        <w:rPr>
          <w:rFonts w:ascii="Times New Roman" w:hAnsi="Times New Roman"/>
          <w:b w:val="0"/>
          <w:color w:val="000000" w:themeColor="text1"/>
          <w:sz w:val="24"/>
          <w:szCs w:val="24"/>
          <w14:textFill>
            <w14:solidFill>
              <w14:schemeClr w14:val="tx1"/>
            </w14:solidFill>
          </w14:textFill>
        </w:rPr>
        <w:fldChar w:fldCharType="separate"/>
      </w:r>
      <w:r>
        <w:rPr>
          <w:rFonts w:ascii="Times New Roman" w:hAnsi="Times New Roman"/>
          <w:b w:val="0"/>
          <w:color w:val="000000" w:themeColor="text1"/>
          <w:sz w:val="24"/>
          <w:szCs w:val="24"/>
          <w14:textFill>
            <w14:solidFill>
              <w14:schemeClr w14:val="tx1"/>
            </w14:solidFill>
          </w14:textFill>
        </w:rPr>
        <w:t>9</w:t>
      </w:r>
      <w:r>
        <w:rPr>
          <w:rFonts w:ascii="Times New Roman" w:hAnsi="Times New Roman"/>
          <w:b w:val="0"/>
          <w:color w:val="000000" w:themeColor="text1"/>
          <w:sz w:val="24"/>
          <w:szCs w:val="24"/>
          <w14:textFill>
            <w14:solidFill>
              <w14:schemeClr w14:val="tx1"/>
            </w14:solidFill>
          </w14:textFill>
        </w:rPr>
        <w:fldChar w:fldCharType="end"/>
      </w:r>
      <w:r>
        <w:rPr>
          <w:rFonts w:ascii="Times New Roman" w:hAnsi="Times New Roman"/>
          <w:b w:val="0"/>
          <w:color w:val="000000" w:themeColor="text1"/>
          <w:sz w:val="24"/>
          <w:szCs w:val="24"/>
          <w14:textFill>
            <w14:solidFill>
              <w14:schemeClr w14:val="tx1"/>
            </w14:solidFill>
          </w14:textFill>
        </w:rPr>
        <w:fldChar w:fldCharType="end"/>
      </w:r>
    </w:p>
    <w:p>
      <w:pPr>
        <w:pStyle w:val="29"/>
        <w:tabs>
          <w:tab w:val="right" w:leader="dot" w:pos="8822"/>
        </w:tabs>
        <w:spacing w:before="0" w:after="0"/>
        <w:rPr>
          <w:rFonts w:ascii="Times New Roman" w:hAnsi="Times New Roman" w:eastAsiaTheme="minorEastAsia"/>
          <w:b w:val="0"/>
          <w:bCs w:val="0"/>
          <w:caps w:val="0"/>
          <w:color w:val="000000" w:themeColor="text1"/>
          <w:sz w:val="24"/>
          <w:szCs w:val="24"/>
          <w14:textFill>
            <w14:solidFill>
              <w14:schemeClr w14:val="tx1"/>
            </w14:solidFill>
          </w14:textFill>
        </w:rPr>
      </w:pPr>
      <w:r>
        <w:fldChar w:fldCharType="begin"/>
      </w:r>
      <w:r>
        <w:instrText xml:space="preserve"> HYPERLINK \l "_Toc523322726" </w:instrText>
      </w:r>
      <w:r>
        <w:fldChar w:fldCharType="separate"/>
      </w:r>
      <w:r>
        <w:rPr>
          <w:rStyle w:val="51"/>
          <w:rFonts w:ascii="Times New Roman" w:hAnsi="宋体"/>
          <w:b w:val="0"/>
          <w:color w:val="000000" w:themeColor="text1"/>
          <w:sz w:val="24"/>
          <w:szCs w:val="24"/>
          <w14:textFill>
            <w14:solidFill>
              <w14:schemeClr w14:val="tx1"/>
            </w14:solidFill>
          </w14:textFill>
        </w:rPr>
        <w:t>三、环境质量状况</w:t>
      </w:r>
      <w:r>
        <w:rPr>
          <w:rFonts w:ascii="Times New Roman" w:hAnsi="Times New Roman"/>
          <w:b w:val="0"/>
          <w:color w:val="000000" w:themeColor="text1"/>
          <w:sz w:val="24"/>
          <w:szCs w:val="24"/>
          <w14:textFill>
            <w14:solidFill>
              <w14:schemeClr w14:val="tx1"/>
            </w14:solidFill>
          </w14:textFill>
        </w:rPr>
        <w:tab/>
      </w:r>
      <w:r>
        <w:rPr>
          <w:rFonts w:ascii="Times New Roman" w:hAnsi="Times New Roman"/>
          <w:b w:val="0"/>
          <w:color w:val="000000" w:themeColor="text1"/>
          <w:sz w:val="24"/>
          <w:szCs w:val="24"/>
          <w14:textFill>
            <w14:solidFill>
              <w14:schemeClr w14:val="tx1"/>
            </w14:solidFill>
          </w14:textFill>
        </w:rPr>
        <w:fldChar w:fldCharType="begin"/>
      </w:r>
      <w:r>
        <w:rPr>
          <w:rFonts w:ascii="Times New Roman" w:hAnsi="Times New Roman"/>
          <w:b w:val="0"/>
          <w:color w:val="000000" w:themeColor="text1"/>
          <w:sz w:val="24"/>
          <w:szCs w:val="24"/>
          <w14:textFill>
            <w14:solidFill>
              <w14:schemeClr w14:val="tx1"/>
            </w14:solidFill>
          </w14:textFill>
        </w:rPr>
        <w:instrText xml:space="preserve"> PAGEREF _Toc523322726 \h </w:instrText>
      </w:r>
      <w:r>
        <w:rPr>
          <w:rFonts w:ascii="Times New Roman" w:hAnsi="Times New Roman"/>
          <w:b w:val="0"/>
          <w:color w:val="000000" w:themeColor="text1"/>
          <w:sz w:val="24"/>
          <w:szCs w:val="24"/>
          <w14:textFill>
            <w14:solidFill>
              <w14:schemeClr w14:val="tx1"/>
            </w14:solidFill>
          </w14:textFill>
        </w:rPr>
        <w:fldChar w:fldCharType="separate"/>
      </w:r>
      <w:r>
        <w:rPr>
          <w:rFonts w:ascii="Times New Roman" w:hAnsi="Times New Roman"/>
          <w:b w:val="0"/>
          <w:color w:val="000000" w:themeColor="text1"/>
          <w:sz w:val="24"/>
          <w:szCs w:val="24"/>
          <w14:textFill>
            <w14:solidFill>
              <w14:schemeClr w14:val="tx1"/>
            </w14:solidFill>
          </w14:textFill>
        </w:rPr>
        <w:t>12</w:t>
      </w:r>
      <w:r>
        <w:rPr>
          <w:rFonts w:ascii="Times New Roman" w:hAnsi="Times New Roman"/>
          <w:b w:val="0"/>
          <w:color w:val="000000" w:themeColor="text1"/>
          <w:sz w:val="24"/>
          <w:szCs w:val="24"/>
          <w14:textFill>
            <w14:solidFill>
              <w14:schemeClr w14:val="tx1"/>
            </w14:solidFill>
          </w14:textFill>
        </w:rPr>
        <w:fldChar w:fldCharType="end"/>
      </w:r>
      <w:r>
        <w:rPr>
          <w:rFonts w:ascii="Times New Roman" w:hAnsi="Times New Roman"/>
          <w:b w:val="0"/>
          <w:color w:val="000000" w:themeColor="text1"/>
          <w:sz w:val="24"/>
          <w:szCs w:val="24"/>
          <w14:textFill>
            <w14:solidFill>
              <w14:schemeClr w14:val="tx1"/>
            </w14:solidFill>
          </w14:textFill>
        </w:rPr>
        <w:fldChar w:fldCharType="end"/>
      </w:r>
    </w:p>
    <w:p>
      <w:pPr>
        <w:pStyle w:val="29"/>
        <w:tabs>
          <w:tab w:val="right" w:leader="dot" w:pos="8822"/>
        </w:tabs>
        <w:spacing w:before="0" w:after="0"/>
        <w:rPr>
          <w:rFonts w:ascii="Times New Roman" w:hAnsi="Times New Roman" w:eastAsiaTheme="minorEastAsia"/>
          <w:b w:val="0"/>
          <w:bCs w:val="0"/>
          <w:caps w:val="0"/>
          <w:color w:val="000000" w:themeColor="text1"/>
          <w:sz w:val="24"/>
          <w:szCs w:val="24"/>
          <w14:textFill>
            <w14:solidFill>
              <w14:schemeClr w14:val="tx1"/>
            </w14:solidFill>
          </w14:textFill>
        </w:rPr>
      </w:pPr>
      <w:r>
        <w:fldChar w:fldCharType="begin"/>
      </w:r>
      <w:r>
        <w:instrText xml:space="preserve"> HYPERLINK \l "_Toc523322727" </w:instrText>
      </w:r>
      <w:r>
        <w:fldChar w:fldCharType="separate"/>
      </w:r>
      <w:r>
        <w:rPr>
          <w:rStyle w:val="51"/>
          <w:rFonts w:ascii="Times New Roman" w:hAnsi="宋体"/>
          <w:b w:val="0"/>
          <w:color w:val="000000" w:themeColor="text1"/>
          <w:sz w:val="24"/>
          <w:szCs w:val="24"/>
          <w14:textFill>
            <w14:solidFill>
              <w14:schemeClr w14:val="tx1"/>
            </w14:solidFill>
          </w14:textFill>
        </w:rPr>
        <w:t>四、评价适用标准</w:t>
      </w:r>
      <w:r>
        <w:rPr>
          <w:rFonts w:ascii="Times New Roman" w:hAnsi="Times New Roman"/>
          <w:b w:val="0"/>
          <w:color w:val="000000" w:themeColor="text1"/>
          <w:sz w:val="24"/>
          <w:szCs w:val="24"/>
          <w14:textFill>
            <w14:solidFill>
              <w14:schemeClr w14:val="tx1"/>
            </w14:solidFill>
          </w14:textFill>
        </w:rPr>
        <w:tab/>
      </w:r>
      <w:r>
        <w:rPr>
          <w:rFonts w:ascii="Times New Roman" w:hAnsi="Times New Roman"/>
          <w:b w:val="0"/>
          <w:color w:val="000000" w:themeColor="text1"/>
          <w:sz w:val="24"/>
          <w:szCs w:val="24"/>
          <w14:textFill>
            <w14:solidFill>
              <w14:schemeClr w14:val="tx1"/>
            </w14:solidFill>
          </w14:textFill>
        </w:rPr>
        <w:fldChar w:fldCharType="begin"/>
      </w:r>
      <w:r>
        <w:rPr>
          <w:rFonts w:ascii="Times New Roman" w:hAnsi="Times New Roman"/>
          <w:b w:val="0"/>
          <w:color w:val="000000" w:themeColor="text1"/>
          <w:sz w:val="24"/>
          <w:szCs w:val="24"/>
          <w14:textFill>
            <w14:solidFill>
              <w14:schemeClr w14:val="tx1"/>
            </w14:solidFill>
          </w14:textFill>
        </w:rPr>
        <w:instrText xml:space="preserve"> PAGEREF _Toc523322727 \h </w:instrText>
      </w:r>
      <w:r>
        <w:rPr>
          <w:rFonts w:ascii="Times New Roman" w:hAnsi="Times New Roman"/>
          <w:b w:val="0"/>
          <w:color w:val="000000" w:themeColor="text1"/>
          <w:sz w:val="24"/>
          <w:szCs w:val="24"/>
          <w14:textFill>
            <w14:solidFill>
              <w14:schemeClr w14:val="tx1"/>
            </w14:solidFill>
          </w14:textFill>
        </w:rPr>
        <w:fldChar w:fldCharType="separate"/>
      </w:r>
      <w:r>
        <w:rPr>
          <w:rFonts w:ascii="Times New Roman" w:hAnsi="Times New Roman"/>
          <w:b w:val="0"/>
          <w:color w:val="000000" w:themeColor="text1"/>
          <w:sz w:val="24"/>
          <w:szCs w:val="24"/>
          <w14:textFill>
            <w14:solidFill>
              <w14:schemeClr w14:val="tx1"/>
            </w14:solidFill>
          </w14:textFill>
        </w:rPr>
        <w:t>18</w:t>
      </w:r>
      <w:r>
        <w:rPr>
          <w:rFonts w:ascii="Times New Roman" w:hAnsi="Times New Roman"/>
          <w:b w:val="0"/>
          <w:color w:val="000000" w:themeColor="text1"/>
          <w:sz w:val="24"/>
          <w:szCs w:val="24"/>
          <w14:textFill>
            <w14:solidFill>
              <w14:schemeClr w14:val="tx1"/>
            </w14:solidFill>
          </w14:textFill>
        </w:rPr>
        <w:fldChar w:fldCharType="end"/>
      </w:r>
      <w:r>
        <w:rPr>
          <w:rFonts w:ascii="Times New Roman" w:hAnsi="Times New Roman"/>
          <w:b w:val="0"/>
          <w:color w:val="000000" w:themeColor="text1"/>
          <w:sz w:val="24"/>
          <w:szCs w:val="24"/>
          <w14:textFill>
            <w14:solidFill>
              <w14:schemeClr w14:val="tx1"/>
            </w14:solidFill>
          </w14:textFill>
        </w:rPr>
        <w:fldChar w:fldCharType="end"/>
      </w:r>
    </w:p>
    <w:p>
      <w:pPr>
        <w:pStyle w:val="29"/>
        <w:tabs>
          <w:tab w:val="right" w:leader="dot" w:pos="8822"/>
        </w:tabs>
        <w:spacing w:before="0" w:after="0"/>
        <w:rPr>
          <w:rFonts w:ascii="Times New Roman" w:hAnsi="Times New Roman" w:eastAsiaTheme="minorEastAsia"/>
          <w:b w:val="0"/>
          <w:bCs w:val="0"/>
          <w:caps w:val="0"/>
          <w:color w:val="000000" w:themeColor="text1"/>
          <w:sz w:val="24"/>
          <w:szCs w:val="24"/>
          <w14:textFill>
            <w14:solidFill>
              <w14:schemeClr w14:val="tx1"/>
            </w14:solidFill>
          </w14:textFill>
        </w:rPr>
      </w:pPr>
      <w:r>
        <w:fldChar w:fldCharType="begin"/>
      </w:r>
      <w:r>
        <w:instrText xml:space="preserve"> HYPERLINK \l "_Toc523322728" </w:instrText>
      </w:r>
      <w:r>
        <w:fldChar w:fldCharType="separate"/>
      </w:r>
      <w:r>
        <w:rPr>
          <w:rStyle w:val="51"/>
          <w:rFonts w:ascii="Times New Roman" w:hAnsi="宋体"/>
          <w:b w:val="0"/>
          <w:color w:val="000000" w:themeColor="text1"/>
          <w:sz w:val="24"/>
          <w:szCs w:val="24"/>
          <w14:textFill>
            <w14:solidFill>
              <w14:schemeClr w14:val="tx1"/>
            </w14:solidFill>
          </w14:textFill>
        </w:rPr>
        <w:t>五、建设项目工程分析</w:t>
      </w:r>
      <w:r>
        <w:rPr>
          <w:rFonts w:ascii="Times New Roman" w:hAnsi="Times New Roman"/>
          <w:b w:val="0"/>
          <w:color w:val="000000" w:themeColor="text1"/>
          <w:sz w:val="24"/>
          <w:szCs w:val="24"/>
          <w14:textFill>
            <w14:solidFill>
              <w14:schemeClr w14:val="tx1"/>
            </w14:solidFill>
          </w14:textFill>
        </w:rPr>
        <w:tab/>
      </w:r>
      <w:r>
        <w:rPr>
          <w:rFonts w:ascii="Times New Roman" w:hAnsi="Times New Roman"/>
          <w:b w:val="0"/>
          <w:color w:val="000000" w:themeColor="text1"/>
          <w:sz w:val="24"/>
          <w:szCs w:val="24"/>
          <w14:textFill>
            <w14:solidFill>
              <w14:schemeClr w14:val="tx1"/>
            </w14:solidFill>
          </w14:textFill>
        </w:rPr>
        <w:fldChar w:fldCharType="begin"/>
      </w:r>
      <w:r>
        <w:rPr>
          <w:rFonts w:ascii="Times New Roman" w:hAnsi="Times New Roman"/>
          <w:b w:val="0"/>
          <w:color w:val="000000" w:themeColor="text1"/>
          <w:sz w:val="24"/>
          <w:szCs w:val="24"/>
          <w14:textFill>
            <w14:solidFill>
              <w14:schemeClr w14:val="tx1"/>
            </w14:solidFill>
          </w14:textFill>
        </w:rPr>
        <w:instrText xml:space="preserve"> PAGEREF _Toc523322728 \h </w:instrText>
      </w:r>
      <w:r>
        <w:rPr>
          <w:rFonts w:ascii="Times New Roman" w:hAnsi="Times New Roman"/>
          <w:b w:val="0"/>
          <w:color w:val="000000" w:themeColor="text1"/>
          <w:sz w:val="24"/>
          <w:szCs w:val="24"/>
          <w14:textFill>
            <w14:solidFill>
              <w14:schemeClr w14:val="tx1"/>
            </w14:solidFill>
          </w14:textFill>
        </w:rPr>
        <w:fldChar w:fldCharType="separate"/>
      </w:r>
      <w:r>
        <w:rPr>
          <w:rFonts w:ascii="Times New Roman" w:hAnsi="Times New Roman"/>
          <w:b w:val="0"/>
          <w:color w:val="000000" w:themeColor="text1"/>
          <w:sz w:val="24"/>
          <w:szCs w:val="24"/>
          <w14:textFill>
            <w14:solidFill>
              <w14:schemeClr w14:val="tx1"/>
            </w14:solidFill>
          </w14:textFill>
        </w:rPr>
        <w:t>22</w:t>
      </w:r>
      <w:r>
        <w:rPr>
          <w:rFonts w:ascii="Times New Roman" w:hAnsi="Times New Roman"/>
          <w:b w:val="0"/>
          <w:color w:val="000000" w:themeColor="text1"/>
          <w:sz w:val="24"/>
          <w:szCs w:val="24"/>
          <w14:textFill>
            <w14:solidFill>
              <w14:schemeClr w14:val="tx1"/>
            </w14:solidFill>
          </w14:textFill>
        </w:rPr>
        <w:fldChar w:fldCharType="end"/>
      </w:r>
      <w:r>
        <w:rPr>
          <w:rFonts w:ascii="Times New Roman" w:hAnsi="Times New Roman"/>
          <w:b w:val="0"/>
          <w:color w:val="000000" w:themeColor="text1"/>
          <w:sz w:val="24"/>
          <w:szCs w:val="24"/>
          <w14:textFill>
            <w14:solidFill>
              <w14:schemeClr w14:val="tx1"/>
            </w14:solidFill>
          </w14:textFill>
        </w:rPr>
        <w:fldChar w:fldCharType="end"/>
      </w:r>
    </w:p>
    <w:p>
      <w:pPr>
        <w:pStyle w:val="29"/>
        <w:tabs>
          <w:tab w:val="right" w:leader="dot" w:pos="8822"/>
        </w:tabs>
        <w:spacing w:before="0" w:after="0"/>
        <w:rPr>
          <w:rFonts w:ascii="Times New Roman" w:hAnsi="Times New Roman" w:eastAsiaTheme="minorEastAsia"/>
          <w:b w:val="0"/>
          <w:bCs w:val="0"/>
          <w:caps w:val="0"/>
          <w:color w:val="000000" w:themeColor="text1"/>
          <w:sz w:val="24"/>
          <w:szCs w:val="24"/>
          <w14:textFill>
            <w14:solidFill>
              <w14:schemeClr w14:val="tx1"/>
            </w14:solidFill>
          </w14:textFill>
        </w:rPr>
      </w:pPr>
      <w:r>
        <w:fldChar w:fldCharType="begin"/>
      </w:r>
      <w:r>
        <w:instrText xml:space="preserve"> HYPERLINK \l "_Toc523322729" </w:instrText>
      </w:r>
      <w:r>
        <w:fldChar w:fldCharType="separate"/>
      </w:r>
      <w:r>
        <w:rPr>
          <w:rStyle w:val="51"/>
          <w:rFonts w:ascii="Times New Roman" w:hAnsi="宋体"/>
          <w:b w:val="0"/>
          <w:color w:val="000000" w:themeColor="text1"/>
          <w:sz w:val="24"/>
          <w:szCs w:val="24"/>
          <w14:textFill>
            <w14:solidFill>
              <w14:schemeClr w14:val="tx1"/>
            </w14:solidFill>
          </w14:textFill>
        </w:rPr>
        <w:t>六、项目主要污染物产生及预计排放情况</w:t>
      </w:r>
      <w:r>
        <w:rPr>
          <w:rFonts w:ascii="Times New Roman" w:hAnsi="Times New Roman"/>
          <w:b w:val="0"/>
          <w:color w:val="000000" w:themeColor="text1"/>
          <w:sz w:val="24"/>
          <w:szCs w:val="24"/>
          <w14:textFill>
            <w14:solidFill>
              <w14:schemeClr w14:val="tx1"/>
            </w14:solidFill>
          </w14:textFill>
        </w:rPr>
        <w:tab/>
      </w:r>
      <w:r>
        <w:rPr>
          <w:rFonts w:ascii="Times New Roman" w:hAnsi="Times New Roman"/>
          <w:b w:val="0"/>
          <w:color w:val="000000" w:themeColor="text1"/>
          <w:sz w:val="24"/>
          <w:szCs w:val="24"/>
          <w14:textFill>
            <w14:solidFill>
              <w14:schemeClr w14:val="tx1"/>
            </w14:solidFill>
          </w14:textFill>
        </w:rPr>
        <w:fldChar w:fldCharType="begin"/>
      </w:r>
      <w:r>
        <w:rPr>
          <w:rFonts w:ascii="Times New Roman" w:hAnsi="Times New Roman"/>
          <w:b w:val="0"/>
          <w:color w:val="000000" w:themeColor="text1"/>
          <w:sz w:val="24"/>
          <w:szCs w:val="24"/>
          <w14:textFill>
            <w14:solidFill>
              <w14:schemeClr w14:val="tx1"/>
            </w14:solidFill>
          </w14:textFill>
        </w:rPr>
        <w:instrText xml:space="preserve"> PAGEREF _Toc523322729 \h </w:instrText>
      </w:r>
      <w:r>
        <w:rPr>
          <w:rFonts w:ascii="Times New Roman" w:hAnsi="Times New Roman"/>
          <w:b w:val="0"/>
          <w:color w:val="000000" w:themeColor="text1"/>
          <w:sz w:val="24"/>
          <w:szCs w:val="24"/>
          <w14:textFill>
            <w14:solidFill>
              <w14:schemeClr w14:val="tx1"/>
            </w14:solidFill>
          </w14:textFill>
        </w:rPr>
        <w:fldChar w:fldCharType="separate"/>
      </w:r>
      <w:r>
        <w:rPr>
          <w:rFonts w:ascii="Times New Roman" w:hAnsi="Times New Roman"/>
          <w:b w:val="0"/>
          <w:color w:val="000000" w:themeColor="text1"/>
          <w:sz w:val="24"/>
          <w:szCs w:val="24"/>
          <w14:textFill>
            <w14:solidFill>
              <w14:schemeClr w14:val="tx1"/>
            </w14:solidFill>
          </w14:textFill>
        </w:rPr>
        <w:t>36</w:t>
      </w:r>
      <w:r>
        <w:rPr>
          <w:rFonts w:ascii="Times New Roman" w:hAnsi="Times New Roman"/>
          <w:b w:val="0"/>
          <w:color w:val="000000" w:themeColor="text1"/>
          <w:sz w:val="24"/>
          <w:szCs w:val="24"/>
          <w14:textFill>
            <w14:solidFill>
              <w14:schemeClr w14:val="tx1"/>
            </w14:solidFill>
          </w14:textFill>
        </w:rPr>
        <w:fldChar w:fldCharType="end"/>
      </w:r>
      <w:r>
        <w:rPr>
          <w:rFonts w:ascii="Times New Roman" w:hAnsi="Times New Roman"/>
          <w:b w:val="0"/>
          <w:color w:val="000000" w:themeColor="text1"/>
          <w:sz w:val="24"/>
          <w:szCs w:val="24"/>
          <w14:textFill>
            <w14:solidFill>
              <w14:schemeClr w14:val="tx1"/>
            </w14:solidFill>
          </w14:textFill>
        </w:rPr>
        <w:fldChar w:fldCharType="end"/>
      </w:r>
    </w:p>
    <w:p>
      <w:pPr>
        <w:pStyle w:val="29"/>
        <w:tabs>
          <w:tab w:val="right" w:leader="dot" w:pos="8822"/>
        </w:tabs>
        <w:spacing w:before="0" w:after="0"/>
        <w:rPr>
          <w:rFonts w:ascii="Times New Roman" w:hAnsi="Times New Roman" w:eastAsiaTheme="minorEastAsia"/>
          <w:b w:val="0"/>
          <w:bCs w:val="0"/>
          <w:caps w:val="0"/>
          <w:color w:val="000000" w:themeColor="text1"/>
          <w:sz w:val="24"/>
          <w:szCs w:val="24"/>
          <w14:textFill>
            <w14:solidFill>
              <w14:schemeClr w14:val="tx1"/>
            </w14:solidFill>
          </w14:textFill>
        </w:rPr>
      </w:pPr>
      <w:r>
        <w:fldChar w:fldCharType="begin"/>
      </w:r>
      <w:r>
        <w:instrText xml:space="preserve"> HYPERLINK \l "_Toc523322730" </w:instrText>
      </w:r>
      <w:r>
        <w:fldChar w:fldCharType="separate"/>
      </w:r>
      <w:r>
        <w:rPr>
          <w:rStyle w:val="51"/>
          <w:rFonts w:ascii="Times New Roman" w:hAnsi="宋体"/>
          <w:b w:val="0"/>
          <w:color w:val="000000" w:themeColor="text1"/>
          <w:sz w:val="24"/>
          <w:szCs w:val="24"/>
          <w14:textFill>
            <w14:solidFill>
              <w14:schemeClr w14:val="tx1"/>
            </w14:solidFill>
          </w14:textFill>
        </w:rPr>
        <w:t>七、环境影响分析</w:t>
      </w:r>
      <w:r>
        <w:rPr>
          <w:rFonts w:ascii="Times New Roman" w:hAnsi="Times New Roman"/>
          <w:b w:val="0"/>
          <w:color w:val="000000" w:themeColor="text1"/>
          <w:sz w:val="24"/>
          <w:szCs w:val="24"/>
          <w14:textFill>
            <w14:solidFill>
              <w14:schemeClr w14:val="tx1"/>
            </w14:solidFill>
          </w14:textFill>
        </w:rPr>
        <w:tab/>
      </w:r>
      <w:r>
        <w:rPr>
          <w:rFonts w:ascii="Times New Roman" w:hAnsi="Times New Roman"/>
          <w:b w:val="0"/>
          <w:color w:val="000000" w:themeColor="text1"/>
          <w:sz w:val="24"/>
          <w:szCs w:val="24"/>
          <w14:textFill>
            <w14:solidFill>
              <w14:schemeClr w14:val="tx1"/>
            </w14:solidFill>
          </w14:textFill>
        </w:rPr>
        <w:fldChar w:fldCharType="begin"/>
      </w:r>
      <w:r>
        <w:rPr>
          <w:rFonts w:ascii="Times New Roman" w:hAnsi="Times New Roman"/>
          <w:b w:val="0"/>
          <w:color w:val="000000" w:themeColor="text1"/>
          <w:sz w:val="24"/>
          <w:szCs w:val="24"/>
          <w14:textFill>
            <w14:solidFill>
              <w14:schemeClr w14:val="tx1"/>
            </w14:solidFill>
          </w14:textFill>
        </w:rPr>
        <w:instrText xml:space="preserve"> PAGEREF _Toc523322730 \h </w:instrText>
      </w:r>
      <w:r>
        <w:rPr>
          <w:rFonts w:ascii="Times New Roman" w:hAnsi="Times New Roman"/>
          <w:b w:val="0"/>
          <w:color w:val="000000" w:themeColor="text1"/>
          <w:sz w:val="24"/>
          <w:szCs w:val="24"/>
          <w14:textFill>
            <w14:solidFill>
              <w14:schemeClr w14:val="tx1"/>
            </w14:solidFill>
          </w14:textFill>
        </w:rPr>
        <w:fldChar w:fldCharType="separate"/>
      </w:r>
      <w:r>
        <w:rPr>
          <w:rFonts w:ascii="Times New Roman" w:hAnsi="Times New Roman"/>
          <w:b w:val="0"/>
          <w:color w:val="000000" w:themeColor="text1"/>
          <w:sz w:val="24"/>
          <w:szCs w:val="24"/>
          <w14:textFill>
            <w14:solidFill>
              <w14:schemeClr w14:val="tx1"/>
            </w14:solidFill>
          </w14:textFill>
        </w:rPr>
        <w:t>38</w:t>
      </w:r>
      <w:r>
        <w:rPr>
          <w:rFonts w:ascii="Times New Roman" w:hAnsi="Times New Roman"/>
          <w:b w:val="0"/>
          <w:color w:val="000000" w:themeColor="text1"/>
          <w:sz w:val="24"/>
          <w:szCs w:val="24"/>
          <w14:textFill>
            <w14:solidFill>
              <w14:schemeClr w14:val="tx1"/>
            </w14:solidFill>
          </w14:textFill>
        </w:rPr>
        <w:fldChar w:fldCharType="end"/>
      </w:r>
      <w:r>
        <w:rPr>
          <w:rFonts w:ascii="Times New Roman" w:hAnsi="Times New Roman"/>
          <w:b w:val="0"/>
          <w:color w:val="000000" w:themeColor="text1"/>
          <w:sz w:val="24"/>
          <w:szCs w:val="24"/>
          <w14:textFill>
            <w14:solidFill>
              <w14:schemeClr w14:val="tx1"/>
            </w14:solidFill>
          </w14:textFill>
        </w:rPr>
        <w:fldChar w:fldCharType="end"/>
      </w:r>
    </w:p>
    <w:p>
      <w:pPr>
        <w:pStyle w:val="29"/>
        <w:tabs>
          <w:tab w:val="right" w:leader="dot" w:pos="8822"/>
        </w:tabs>
        <w:spacing w:before="0" w:after="0"/>
        <w:rPr>
          <w:rFonts w:ascii="Times New Roman" w:hAnsi="Times New Roman" w:eastAsiaTheme="minorEastAsia"/>
          <w:b w:val="0"/>
          <w:bCs w:val="0"/>
          <w:caps w:val="0"/>
          <w:color w:val="000000" w:themeColor="text1"/>
          <w:sz w:val="24"/>
          <w:szCs w:val="24"/>
          <w14:textFill>
            <w14:solidFill>
              <w14:schemeClr w14:val="tx1"/>
            </w14:solidFill>
          </w14:textFill>
        </w:rPr>
      </w:pPr>
      <w:r>
        <w:fldChar w:fldCharType="begin"/>
      </w:r>
      <w:r>
        <w:instrText xml:space="preserve"> HYPERLINK \l "_Toc523322731" </w:instrText>
      </w:r>
      <w:r>
        <w:fldChar w:fldCharType="separate"/>
      </w:r>
      <w:r>
        <w:rPr>
          <w:rStyle w:val="51"/>
          <w:rFonts w:ascii="Times New Roman" w:hAnsi="宋体"/>
          <w:b w:val="0"/>
          <w:color w:val="000000" w:themeColor="text1"/>
          <w:sz w:val="24"/>
          <w:szCs w:val="24"/>
          <w14:textFill>
            <w14:solidFill>
              <w14:schemeClr w14:val="tx1"/>
            </w14:solidFill>
          </w14:textFill>
        </w:rPr>
        <w:t>八、建设项目拟采取的防治措施及预期治理效果</w:t>
      </w:r>
      <w:r>
        <w:rPr>
          <w:rFonts w:ascii="Times New Roman" w:hAnsi="Times New Roman"/>
          <w:b w:val="0"/>
          <w:color w:val="000000" w:themeColor="text1"/>
          <w:sz w:val="24"/>
          <w:szCs w:val="24"/>
          <w14:textFill>
            <w14:solidFill>
              <w14:schemeClr w14:val="tx1"/>
            </w14:solidFill>
          </w14:textFill>
        </w:rPr>
        <w:tab/>
      </w:r>
      <w:r>
        <w:rPr>
          <w:rFonts w:ascii="Times New Roman" w:hAnsi="Times New Roman"/>
          <w:b w:val="0"/>
          <w:color w:val="000000" w:themeColor="text1"/>
          <w:sz w:val="24"/>
          <w:szCs w:val="24"/>
          <w14:textFill>
            <w14:solidFill>
              <w14:schemeClr w14:val="tx1"/>
            </w14:solidFill>
          </w14:textFill>
        </w:rPr>
        <w:fldChar w:fldCharType="begin"/>
      </w:r>
      <w:r>
        <w:rPr>
          <w:rFonts w:ascii="Times New Roman" w:hAnsi="Times New Roman"/>
          <w:b w:val="0"/>
          <w:color w:val="000000" w:themeColor="text1"/>
          <w:sz w:val="24"/>
          <w:szCs w:val="24"/>
          <w14:textFill>
            <w14:solidFill>
              <w14:schemeClr w14:val="tx1"/>
            </w14:solidFill>
          </w14:textFill>
        </w:rPr>
        <w:instrText xml:space="preserve"> PAGEREF _Toc523322731 \h </w:instrText>
      </w:r>
      <w:r>
        <w:rPr>
          <w:rFonts w:ascii="Times New Roman" w:hAnsi="Times New Roman"/>
          <w:b w:val="0"/>
          <w:color w:val="000000" w:themeColor="text1"/>
          <w:sz w:val="24"/>
          <w:szCs w:val="24"/>
          <w14:textFill>
            <w14:solidFill>
              <w14:schemeClr w14:val="tx1"/>
            </w14:solidFill>
          </w14:textFill>
        </w:rPr>
        <w:fldChar w:fldCharType="separate"/>
      </w:r>
      <w:r>
        <w:rPr>
          <w:rFonts w:ascii="Times New Roman" w:hAnsi="Times New Roman"/>
          <w:b w:val="0"/>
          <w:color w:val="000000" w:themeColor="text1"/>
          <w:sz w:val="24"/>
          <w:szCs w:val="24"/>
          <w14:textFill>
            <w14:solidFill>
              <w14:schemeClr w14:val="tx1"/>
            </w14:solidFill>
          </w14:textFill>
        </w:rPr>
        <w:t>65</w:t>
      </w:r>
      <w:r>
        <w:rPr>
          <w:rFonts w:ascii="Times New Roman" w:hAnsi="Times New Roman"/>
          <w:b w:val="0"/>
          <w:color w:val="000000" w:themeColor="text1"/>
          <w:sz w:val="24"/>
          <w:szCs w:val="24"/>
          <w14:textFill>
            <w14:solidFill>
              <w14:schemeClr w14:val="tx1"/>
            </w14:solidFill>
          </w14:textFill>
        </w:rPr>
        <w:fldChar w:fldCharType="end"/>
      </w:r>
      <w:r>
        <w:rPr>
          <w:rFonts w:ascii="Times New Roman" w:hAnsi="Times New Roman"/>
          <w:b w:val="0"/>
          <w:color w:val="000000" w:themeColor="text1"/>
          <w:sz w:val="24"/>
          <w:szCs w:val="24"/>
          <w14:textFill>
            <w14:solidFill>
              <w14:schemeClr w14:val="tx1"/>
            </w14:solidFill>
          </w14:textFill>
        </w:rPr>
        <w:fldChar w:fldCharType="end"/>
      </w:r>
    </w:p>
    <w:p>
      <w:pPr>
        <w:pStyle w:val="29"/>
        <w:tabs>
          <w:tab w:val="right" w:leader="dot" w:pos="8822"/>
        </w:tabs>
        <w:spacing w:before="0" w:after="0"/>
        <w:rPr>
          <w:rFonts w:ascii="Times New Roman" w:hAnsi="Times New Roman" w:eastAsiaTheme="minorEastAsia"/>
          <w:b w:val="0"/>
          <w:bCs w:val="0"/>
          <w:caps w:val="0"/>
          <w:color w:val="000000" w:themeColor="text1"/>
          <w:sz w:val="24"/>
          <w:szCs w:val="24"/>
          <w14:textFill>
            <w14:solidFill>
              <w14:schemeClr w14:val="tx1"/>
            </w14:solidFill>
          </w14:textFill>
        </w:rPr>
      </w:pPr>
      <w:r>
        <w:fldChar w:fldCharType="begin"/>
      </w:r>
      <w:r>
        <w:instrText xml:space="preserve"> HYPERLINK \l "_Toc523322732" </w:instrText>
      </w:r>
      <w:r>
        <w:fldChar w:fldCharType="separate"/>
      </w:r>
      <w:r>
        <w:rPr>
          <w:rStyle w:val="51"/>
          <w:rFonts w:ascii="Times New Roman" w:hAnsi="宋体"/>
          <w:b w:val="0"/>
          <w:color w:val="000000" w:themeColor="text1"/>
          <w:sz w:val="24"/>
          <w:szCs w:val="24"/>
          <w14:textFill>
            <w14:solidFill>
              <w14:schemeClr w14:val="tx1"/>
            </w14:solidFill>
          </w14:textFill>
        </w:rPr>
        <w:t>九、结论与建议</w:t>
      </w:r>
      <w:r>
        <w:rPr>
          <w:rFonts w:ascii="Times New Roman" w:hAnsi="Times New Roman"/>
          <w:b w:val="0"/>
          <w:color w:val="000000" w:themeColor="text1"/>
          <w:sz w:val="24"/>
          <w:szCs w:val="24"/>
          <w14:textFill>
            <w14:solidFill>
              <w14:schemeClr w14:val="tx1"/>
            </w14:solidFill>
          </w14:textFill>
        </w:rPr>
        <w:tab/>
      </w:r>
      <w:r>
        <w:rPr>
          <w:rFonts w:ascii="Times New Roman" w:hAnsi="Times New Roman"/>
          <w:b w:val="0"/>
          <w:color w:val="000000" w:themeColor="text1"/>
          <w:sz w:val="24"/>
          <w:szCs w:val="24"/>
          <w14:textFill>
            <w14:solidFill>
              <w14:schemeClr w14:val="tx1"/>
            </w14:solidFill>
          </w14:textFill>
        </w:rPr>
        <w:fldChar w:fldCharType="begin"/>
      </w:r>
      <w:r>
        <w:rPr>
          <w:rFonts w:ascii="Times New Roman" w:hAnsi="Times New Roman"/>
          <w:b w:val="0"/>
          <w:color w:val="000000" w:themeColor="text1"/>
          <w:sz w:val="24"/>
          <w:szCs w:val="24"/>
          <w14:textFill>
            <w14:solidFill>
              <w14:schemeClr w14:val="tx1"/>
            </w14:solidFill>
          </w14:textFill>
        </w:rPr>
        <w:instrText xml:space="preserve"> PAGEREF _Toc523322732 \h </w:instrText>
      </w:r>
      <w:r>
        <w:rPr>
          <w:rFonts w:ascii="Times New Roman" w:hAnsi="Times New Roman"/>
          <w:b w:val="0"/>
          <w:color w:val="000000" w:themeColor="text1"/>
          <w:sz w:val="24"/>
          <w:szCs w:val="24"/>
          <w14:textFill>
            <w14:solidFill>
              <w14:schemeClr w14:val="tx1"/>
            </w14:solidFill>
          </w14:textFill>
        </w:rPr>
        <w:fldChar w:fldCharType="separate"/>
      </w:r>
      <w:r>
        <w:rPr>
          <w:rFonts w:ascii="Times New Roman" w:hAnsi="Times New Roman"/>
          <w:b w:val="0"/>
          <w:color w:val="000000" w:themeColor="text1"/>
          <w:sz w:val="24"/>
          <w:szCs w:val="24"/>
          <w14:textFill>
            <w14:solidFill>
              <w14:schemeClr w14:val="tx1"/>
            </w14:solidFill>
          </w14:textFill>
        </w:rPr>
        <w:t>67</w:t>
      </w:r>
      <w:r>
        <w:rPr>
          <w:rFonts w:ascii="Times New Roman" w:hAnsi="Times New Roman"/>
          <w:b w:val="0"/>
          <w:color w:val="000000" w:themeColor="text1"/>
          <w:sz w:val="24"/>
          <w:szCs w:val="24"/>
          <w14:textFill>
            <w14:solidFill>
              <w14:schemeClr w14:val="tx1"/>
            </w14:solidFill>
          </w14:textFill>
        </w:rPr>
        <w:fldChar w:fldCharType="end"/>
      </w:r>
      <w:r>
        <w:rPr>
          <w:rFonts w:ascii="Times New Roman" w:hAnsi="Times New Roman"/>
          <w:b w:val="0"/>
          <w:color w:val="000000" w:themeColor="text1"/>
          <w:sz w:val="24"/>
          <w:szCs w:val="24"/>
          <w14:textFill>
            <w14:solidFill>
              <w14:schemeClr w14:val="tx1"/>
            </w14:solidFill>
          </w14:textFill>
        </w:rPr>
        <w:fldChar w:fldCharType="end"/>
      </w:r>
    </w:p>
    <w:p>
      <w:pPr>
        <w:pStyle w:val="31"/>
        <w:spacing w:line="276" w:lineRule="auto"/>
        <w:ind w:firstLine="482"/>
        <w:jc w:val="left"/>
        <w:outlineLvl w:val="9"/>
        <w:rPr>
          <w:color w:val="000000" w:themeColor="text1"/>
          <w14:textFill>
            <w14:solidFill>
              <w14:schemeClr w14:val="tx1"/>
            </w14:solidFill>
          </w14:textFill>
        </w:rPr>
      </w:pPr>
      <w:r>
        <w:rPr>
          <w:b/>
          <w:color w:val="000000" w:themeColor="text1"/>
          <w14:textFill>
            <w14:solidFill>
              <w14:schemeClr w14:val="tx1"/>
            </w14:solidFill>
          </w14:textFill>
        </w:rPr>
        <w:fldChar w:fldCharType="end"/>
      </w:r>
      <w:r>
        <w:rPr>
          <w:color w:val="000000" w:themeColor="text1"/>
          <w14:textFill>
            <w14:solidFill>
              <w14:schemeClr w14:val="tx1"/>
            </w14:solidFill>
          </w14:textFill>
        </w:rPr>
        <w:t>附图1  项目地理位置图</w:t>
      </w:r>
    </w:p>
    <w:p>
      <w:pPr>
        <w:pStyle w:val="31"/>
        <w:spacing w:line="276" w:lineRule="auto"/>
        <w:ind w:firstLine="480"/>
        <w:jc w:val="left"/>
        <w:outlineLvl w:val="9"/>
        <w:rPr>
          <w:color w:val="000000" w:themeColor="text1"/>
          <w14:textFill>
            <w14:solidFill>
              <w14:schemeClr w14:val="tx1"/>
            </w14:solidFill>
          </w14:textFill>
        </w:rPr>
      </w:pPr>
      <w:r>
        <w:rPr>
          <w:color w:val="000000" w:themeColor="text1"/>
          <w14:textFill>
            <w14:solidFill>
              <w14:schemeClr w14:val="tx1"/>
            </w14:solidFill>
          </w14:textFill>
        </w:rPr>
        <w:t xml:space="preserve">附图2  </w:t>
      </w:r>
      <w:r>
        <w:rPr>
          <w:rFonts w:hint="eastAsia"/>
          <w:color w:val="000000" w:themeColor="text1"/>
          <w14:textFill>
            <w14:solidFill>
              <w14:schemeClr w14:val="tx1"/>
            </w14:solidFill>
          </w14:textFill>
        </w:rPr>
        <w:t>环境敏感目标图</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附图3  区域水系图</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附图4  工程监测分布点图</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附图5  工程与华容集成江段江豚自然保护区位置关系图</w:t>
      </w:r>
    </w:p>
    <w:p>
      <w:pPr>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附图6  项目与东洞庭湖自然保护区位置关系</w:t>
      </w:r>
    </w:p>
    <w:p>
      <w:pPr>
        <w:pStyle w:val="3"/>
        <w:ind w:firstLine="480"/>
        <w:rPr>
          <w:color w:val="000000" w:themeColor="text1"/>
          <w14:textFill>
            <w14:solidFill>
              <w14:schemeClr w14:val="tx1"/>
            </w14:solidFill>
          </w14:textFill>
        </w:rPr>
      </w:pPr>
      <w:r>
        <w:rPr>
          <w:rFonts w:hint="eastAsia"/>
          <w:b w:val="0"/>
          <w:bCs w:val="0"/>
          <w:color w:val="000000" w:themeColor="text1"/>
          <w14:textFill>
            <w14:solidFill>
              <w14:schemeClr w14:val="tx1"/>
            </w14:solidFill>
          </w14:textFill>
        </w:rPr>
        <w:t>附件7  项目与四大家鱼种质资源保护区的关系</w:t>
      </w:r>
    </w:p>
    <w:p>
      <w:pPr>
        <w:pStyle w:val="3"/>
        <w:ind w:firstLine="480"/>
        <w:rPr>
          <w:b w:val="0"/>
          <w:bCs w:val="0"/>
          <w:color w:val="000000" w:themeColor="text1"/>
          <w14:textFill>
            <w14:solidFill>
              <w14:schemeClr w14:val="tx1"/>
            </w14:solidFill>
          </w14:textFill>
        </w:rPr>
      </w:pPr>
      <w:r>
        <w:rPr>
          <w:rFonts w:hint="eastAsia"/>
          <w:b w:val="0"/>
          <w:bCs w:val="0"/>
          <w:color w:val="000000" w:themeColor="text1"/>
          <w14:textFill>
            <w14:solidFill>
              <w14:schemeClr w14:val="tx1"/>
            </w14:solidFill>
          </w14:textFill>
        </w:rPr>
        <w:t>附件8  工程与东洞庭湖湖泊湿地保护区位置关系图</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附件9  项目与岳阳市生态红线位置关系图</w:t>
      </w:r>
    </w:p>
    <w:p>
      <w:pPr>
        <w:ind w:firstLine="480" w:firstLineChars="200"/>
      </w:pPr>
      <w:r>
        <w:rPr>
          <w:rFonts w:hint="eastAsia"/>
        </w:rPr>
        <w:t>附图10 现场照片</w:t>
      </w:r>
    </w:p>
    <w:p>
      <w:pPr>
        <w:pStyle w:val="31"/>
        <w:spacing w:line="276" w:lineRule="auto"/>
        <w:ind w:firstLine="480"/>
        <w:jc w:val="left"/>
        <w:outlineLvl w:val="9"/>
        <w:rPr>
          <w:color w:val="000000" w:themeColor="text1"/>
          <w14:textFill>
            <w14:solidFill>
              <w14:schemeClr w14:val="tx1"/>
            </w14:solidFill>
          </w14:textFill>
        </w:rPr>
      </w:pPr>
    </w:p>
    <w:p>
      <w:pPr>
        <w:pStyle w:val="31"/>
        <w:spacing w:line="276" w:lineRule="auto"/>
        <w:ind w:firstLine="480"/>
        <w:jc w:val="left"/>
        <w:outlineLvl w:val="9"/>
        <w:rPr>
          <w:color w:val="000000" w:themeColor="text1"/>
          <w14:textFill>
            <w14:solidFill>
              <w14:schemeClr w14:val="tx1"/>
            </w14:solidFill>
          </w14:textFill>
        </w:rPr>
      </w:pPr>
      <w:r>
        <w:rPr>
          <w:color w:val="000000" w:themeColor="text1"/>
          <w14:textFill>
            <w14:solidFill>
              <w14:schemeClr w14:val="tx1"/>
            </w14:solidFill>
          </w14:textFill>
        </w:rPr>
        <w:t xml:space="preserve">附件1  </w:t>
      </w:r>
      <w:r>
        <w:rPr>
          <w:rFonts w:hint="eastAsia"/>
          <w:color w:val="000000" w:themeColor="text1"/>
          <w14:textFill>
            <w14:solidFill>
              <w14:schemeClr w14:val="tx1"/>
            </w14:solidFill>
          </w14:textFill>
        </w:rPr>
        <w:t>委托书</w:t>
      </w:r>
    </w:p>
    <w:p>
      <w:pPr>
        <w:pStyle w:val="31"/>
        <w:spacing w:line="276" w:lineRule="auto"/>
        <w:ind w:firstLine="480"/>
        <w:jc w:val="left"/>
        <w:outlineLvl w:val="9"/>
        <w:rPr>
          <w:rFonts w:hint="eastAsia" w:eastAsia="宋体"/>
          <w:color w:val="000000" w:themeColor="text1"/>
          <w:lang w:val="en-US" w:eastAsia="zh-CN"/>
          <w14:textFill>
            <w14:solidFill>
              <w14:schemeClr w14:val="tx1"/>
            </w14:solidFill>
          </w14:textFill>
        </w:rPr>
      </w:pPr>
      <w:r>
        <w:rPr>
          <w:rFonts w:hint="eastAsia"/>
          <w:color w:val="000000" w:themeColor="text1"/>
          <w14:textFill>
            <w14:solidFill>
              <w14:schemeClr w14:val="tx1"/>
            </w14:solidFill>
          </w14:textFill>
        </w:rPr>
        <w:t xml:space="preserve">附件2  </w:t>
      </w:r>
      <w:r>
        <w:rPr>
          <w:rFonts w:hint="eastAsia"/>
          <w:color w:val="000000" w:themeColor="text1"/>
          <w:lang w:eastAsia="zh-CN"/>
          <w14:textFill>
            <w14:solidFill>
              <w14:schemeClr w14:val="tx1"/>
            </w14:solidFill>
          </w14:textFill>
        </w:rPr>
        <w:t>营业执照</w:t>
      </w:r>
    </w:p>
    <w:p>
      <w:pPr>
        <w:pStyle w:val="31"/>
        <w:spacing w:line="276" w:lineRule="auto"/>
        <w:ind w:firstLine="480"/>
        <w:jc w:val="left"/>
        <w:outlineLvl w:val="9"/>
      </w:pPr>
      <w:r>
        <w:rPr>
          <w:rFonts w:hint="eastAsia"/>
          <w:color w:val="000000" w:themeColor="text1"/>
          <w14:textFill>
            <w14:solidFill>
              <w14:schemeClr w14:val="tx1"/>
            </w14:solidFill>
          </w14:textFill>
        </w:rPr>
        <w:t>附件3  取水许可证</w:t>
      </w:r>
    </w:p>
    <w:p>
      <w:pPr>
        <w:pStyle w:val="31"/>
        <w:spacing w:line="276" w:lineRule="auto"/>
        <w:ind w:left="0" w:leftChars="0" w:firstLine="480" w:firstLineChars="200"/>
        <w:jc w:val="left"/>
        <w:outlineLvl w:val="9"/>
        <w:rPr>
          <w:rFonts w:hint="eastAsia"/>
          <w:color w:val="000000" w:themeColor="text1"/>
          <w14:textFill>
            <w14:solidFill>
              <w14:schemeClr w14:val="tx1"/>
            </w14:solidFill>
          </w14:textFill>
        </w:rPr>
      </w:pPr>
      <w:r>
        <w:rPr>
          <w:color w:val="000000" w:themeColor="text1"/>
          <w14:textFill>
            <w14:solidFill>
              <w14:schemeClr w14:val="tx1"/>
            </w14:solidFill>
          </w14:textFill>
        </w:rPr>
        <w:t>附件</w:t>
      </w:r>
      <w:r>
        <w:rPr>
          <w:rFonts w:hint="eastAsia"/>
          <w:color w:val="000000" w:themeColor="text1"/>
          <w14:textFill>
            <w14:solidFill>
              <w14:schemeClr w14:val="tx1"/>
            </w14:solidFill>
          </w14:textFill>
        </w:rPr>
        <w:t>4</w:t>
      </w:r>
      <w:r>
        <w:rPr>
          <w:color w:val="000000" w:themeColor="text1"/>
          <w14:textFill>
            <w14:solidFill>
              <w14:schemeClr w14:val="tx1"/>
            </w14:solidFill>
          </w14:textFill>
        </w:rPr>
        <w:t xml:space="preserve">  </w:t>
      </w:r>
      <w:r>
        <w:rPr>
          <w:rFonts w:hint="eastAsia"/>
          <w:color w:val="000000" w:themeColor="text1"/>
          <w14:textFill>
            <w14:solidFill>
              <w14:schemeClr w14:val="tx1"/>
            </w14:solidFill>
          </w14:textFill>
        </w:rPr>
        <w:t>水资源论证报告批复</w:t>
      </w:r>
    </w:p>
    <w:p>
      <w:pPr>
        <w:pStyle w:val="31"/>
        <w:spacing w:line="276" w:lineRule="auto"/>
        <w:ind w:left="0" w:leftChars="0" w:firstLine="480" w:firstLineChars="200"/>
        <w:jc w:val="left"/>
        <w:outlineLvl w:val="9"/>
        <w:rPr>
          <w:color w:val="000000" w:themeColor="text1"/>
          <w14:textFill>
            <w14:solidFill>
              <w14:schemeClr w14:val="tx1"/>
            </w14:solidFill>
          </w14:textFill>
        </w:rPr>
      </w:pPr>
      <w:r>
        <w:rPr>
          <w:color w:val="000000" w:themeColor="text1"/>
          <w14:textFill>
            <w14:solidFill>
              <w14:schemeClr w14:val="tx1"/>
            </w14:solidFill>
          </w14:textFill>
        </w:rPr>
        <w:t>附件</w:t>
      </w:r>
      <w:r>
        <w:rPr>
          <w:rFonts w:hint="eastAsia"/>
          <w:color w:val="000000" w:themeColor="text1"/>
          <w14:textFill>
            <w14:solidFill>
              <w14:schemeClr w14:val="tx1"/>
            </w14:solidFill>
          </w14:textFill>
        </w:rPr>
        <w:t>5</w:t>
      </w:r>
      <w:r>
        <w:rPr>
          <w:color w:val="000000" w:themeColor="text1"/>
          <w14:textFill>
            <w14:solidFill>
              <w14:schemeClr w14:val="tx1"/>
            </w14:solidFill>
          </w14:textFill>
        </w:rPr>
        <w:t xml:space="preserve">  </w:t>
      </w:r>
      <w:r>
        <w:rPr>
          <w:rFonts w:hint="eastAsia"/>
          <w:color w:val="000000" w:themeColor="text1"/>
          <w14:textFill>
            <w14:solidFill>
              <w14:schemeClr w14:val="tx1"/>
            </w14:solidFill>
          </w14:textFill>
        </w:rPr>
        <w:t>续延取水批复</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lang w:eastAsia="zh-CN"/>
          <w14:textFill>
            <w14:solidFill>
              <w14:schemeClr w14:val="tx1"/>
            </w14:solidFill>
          </w14:textFill>
        </w:rPr>
        <w:t>附件</w:t>
      </w:r>
      <w:r>
        <w:rPr>
          <w:rFonts w:hint="eastAsia"/>
          <w:color w:val="000000" w:themeColor="text1"/>
          <w:lang w:val="en-US" w:eastAsia="zh-CN"/>
          <w14:textFill>
            <w14:solidFill>
              <w14:schemeClr w14:val="tx1"/>
            </w14:solidFill>
          </w14:textFill>
        </w:rPr>
        <w:t xml:space="preserve">6  </w:t>
      </w:r>
      <w:r>
        <w:rPr>
          <w:rFonts w:hint="eastAsia"/>
          <w:color w:val="000000" w:themeColor="text1"/>
          <w14:textFill>
            <w14:solidFill>
              <w14:schemeClr w14:val="tx1"/>
            </w14:solidFill>
          </w14:textFill>
        </w:rPr>
        <w:t>潭子坑取水口水质</w:t>
      </w:r>
      <w:r>
        <w:rPr>
          <w:color w:val="000000" w:themeColor="text1"/>
          <w14:textFill>
            <w14:solidFill>
              <w14:schemeClr w14:val="tx1"/>
            </w14:solidFill>
          </w14:textFill>
        </w:rPr>
        <w:t>监测报告</w:t>
      </w:r>
    </w:p>
    <w:p>
      <w:pPr>
        <w:pStyle w:val="31"/>
        <w:spacing w:line="276" w:lineRule="auto"/>
        <w:ind w:firstLine="440"/>
        <w:jc w:val="left"/>
        <w:outlineLvl w:val="9"/>
        <w:rPr>
          <w:color w:val="000000" w:themeColor="text1"/>
          <w:sz w:val="22"/>
          <w:szCs w:val="28"/>
          <w14:textFill>
            <w14:solidFill>
              <w14:schemeClr w14:val="tx1"/>
            </w14:solidFill>
          </w14:textFill>
        </w:rPr>
      </w:pP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附表</w:t>
      </w:r>
      <w:r>
        <w:rPr>
          <w:color w:val="000000" w:themeColor="text1"/>
          <w14:textFill>
            <w14:solidFill>
              <w14:schemeClr w14:val="tx1"/>
            </w14:solidFill>
          </w14:textFill>
        </w:rPr>
        <w:t>1</w:t>
      </w:r>
      <w:r>
        <w:rPr>
          <w:rFonts w:hint="eastAsia"/>
          <w:color w:val="000000" w:themeColor="text1"/>
          <w14:textFill>
            <w14:solidFill>
              <w14:schemeClr w14:val="tx1"/>
            </w14:solidFill>
          </w14:textFill>
        </w:rPr>
        <w:t xml:space="preserve">  建设项目环评审批基础信息表</w:t>
      </w:r>
    </w:p>
    <w:p>
      <w:pPr>
        <w:pStyle w:val="31"/>
        <w:spacing w:line="276" w:lineRule="auto"/>
        <w:ind w:firstLine="480"/>
        <w:jc w:val="left"/>
        <w:outlineLvl w:val="9"/>
        <w:rPr>
          <w:color w:val="000000" w:themeColor="text1"/>
          <w14:textFill>
            <w14:solidFill>
              <w14:schemeClr w14:val="tx1"/>
            </w14:solidFill>
          </w14:textFill>
        </w:rPr>
        <w:sectPr>
          <w:pgSz w:w="11906" w:h="16838"/>
          <w:pgMar w:top="1440" w:right="1274" w:bottom="1440" w:left="1800" w:header="851" w:footer="992" w:gutter="0"/>
          <w:cols w:space="425" w:num="1"/>
          <w:docGrid w:type="lines" w:linePitch="326" w:charSpace="0"/>
        </w:sectPr>
      </w:pPr>
    </w:p>
    <w:p>
      <w:pPr>
        <w:outlineLvl w:val="0"/>
        <w:rPr>
          <w:b/>
          <w:color w:val="000000" w:themeColor="text1"/>
          <w:sz w:val="28"/>
          <w:szCs w:val="28"/>
          <w14:textFill>
            <w14:solidFill>
              <w14:schemeClr w14:val="tx1"/>
            </w14:solidFill>
          </w14:textFill>
        </w:rPr>
      </w:pPr>
      <w:bookmarkStart w:id="0" w:name="_Toc523322724"/>
      <w:r>
        <w:rPr>
          <w:rFonts w:hAnsi="宋体"/>
          <w:b/>
          <w:color w:val="000000" w:themeColor="text1"/>
          <w:sz w:val="28"/>
          <w:szCs w:val="28"/>
          <w14:textFill>
            <w14:solidFill>
              <w14:schemeClr w14:val="tx1"/>
            </w14:solidFill>
          </w14:textFill>
        </w:rPr>
        <w:t>一、建设项目基本情况</w:t>
      </w:r>
      <w:bookmarkEnd w:id="0"/>
    </w:p>
    <w:tbl>
      <w:tblPr>
        <w:tblStyle w:val="44"/>
        <w:tblW w:w="8647" w:type="dxa"/>
        <w:tblInd w:w="108"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391"/>
        <w:gridCol w:w="1172"/>
        <w:gridCol w:w="792"/>
        <w:gridCol w:w="971"/>
        <w:gridCol w:w="1616"/>
        <w:gridCol w:w="1481"/>
        <w:gridCol w:w="28"/>
        <w:gridCol w:w="119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1391" w:type="dxa"/>
            <w:tcBorders>
              <w:top w:val="single" w:color="auto" w:sz="12" w:space="0"/>
              <w:left w:val="single" w:color="auto" w:sz="12" w:space="0"/>
            </w:tcBorders>
            <w:vAlign w:val="center"/>
          </w:tcPr>
          <w:p>
            <w:pPr>
              <w:jc w:val="center"/>
              <w:rPr>
                <w:rFonts w:ascii="宋体"/>
              </w:rPr>
            </w:pPr>
            <w:r>
              <w:rPr>
                <w:rFonts w:ascii="宋体"/>
              </w:rPr>
              <w:t>项目名称</w:t>
            </w:r>
          </w:p>
        </w:tc>
        <w:tc>
          <w:tcPr>
            <w:tcW w:w="7256" w:type="dxa"/>
            <w:gridSpan w:val="7"/>
            <w:tcBorders>
              <w:top w:val="single" w:color="auto" w:sz="12" w:space="0"/>
              <w:right w:val="single" w:color="auto" w:sz="12" w:space="0"/>
            </w:tcBorders>
            <w:vAlign w:val="center"/>
          </w:tcPr>
          <w:p>
            <w:pPr>
              <w:snapToGrid w:val="0"/>
              <w:spacing w:line="360" w:lineRule="auto"/>
              <w:jc w:val="center"/>
              <w:outlineLvl w:val="0"/>
              <w:rPr>
                <w:rFonts w:ascii="宋体"/>
              </w:rPr>
            </w:pPr>
            <w:r>
              <w:rPr>
                <w:rFonts w:hint="eastAsia" w:ascii="宋体"/>
              </w:rPr>
              <w:t>君山区饮水工程建设项目</w:t>
            </w:r>
            <w:bookmarkStart w:id="27" w:name="_GoBack"/>
            <w:bookmarkEnd w:id="27"/>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70" w:hRule="atLeast"/>
        </w:trPr>
        <w:tc>
          <w:tcPr>
            <w:tcW w:w="1391" w:type="dxa"/>
            <w:tcBorders>
              <w:left w:val="single" w:color="auto" w:sz="12" w:space="0"/>
            </w:tcBorders>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建设单位</w:t>
            </w:r>
          </w:p>
        </w:tc>
        <w:tc>
          <w:tcPr>
            <w:tcW w:w="7256" w:type="dxa"/>
            <w:gridSpan w:val="7"/>
            <w:tcBorders>
              <w:right w:val="single" w:color="auto" w:sz="12" w:space="0"/>
            </w:tcBorders>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岳阳市君山区城市建设投资有限公司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7" w:hRule="atLeast"/>
        </w:trPr>
        <w:tc>
          <w:tcPr>
            <w:tcW w:w="1391" w:type="dxa"/>
            <w:tcBorders>
              <w:left w:val="single" w:color="auto" w:sz="12" w:space="0"/>
            </w:tcBorders>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法人代表</w:t>
            </w:r>
          </w:p>
        </w:tc>
        <w:tc>
          <w:tcPr>
            <w:tcW w:w="2935" w:type="dxa"/>
            <w:gridSpan w:val="3"/>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徐卫红</w:t>
            </w:r>
          </w:p>
        </w:tc>
        <w:tc>
          <w:tcPr>
            <w:tcW w:w="1616" w:type="dxa"/>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联系人</w:t>
            </w:r>
          </w:p>
        </w:tc>
        <w:tc>
          <w:tcPr>
            <w:tcW w:w="2705" w:type="dxa"/>
            <w:gridSpan w:val="3"/>
            <w:tcBorders>
              <w:right w:val="single" w:color="auto" w:sz="12" w:space="0"/>
            </w:tcBorders>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曹文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1391" w:type="dxa"/>
            <w:tcBorders>
              <w:left w:val="single" w:color="auto" w:sz="12" w:space="0"/>
            </w:tcBorders>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通讯地址</w:t>
            </w:r>
          </w:p>
        </w:tc>
        <w:tc>
          <w:tcPr>
            <w:tcW w:w="7256" w:type="dxa"/>
            <w:gridSpan w:val="7"/>
            <w:tcBorders>
              <w:right w:val="single" w:color="auto" w:sz="12" w:space="0"/>
            </w:tcBorders>
            <w:vAlign w:val="center"/>
          </w:tcPr>
          <w:p>
            <w:pPr>
              <w:spacing w:line="360" w:lineRule="auto"/>
              <w:jc w:val="left"/>
              <w:rPr>
                <w:rFonts w:ascii="宋体"/>
              </w:rPr>
            </w:pPr>
            <w:r>
              <w:rPr>
                <w:rFonts w:hint="eastAsia" w:ascii="宋体"/>
              </w:rPr>
              <w:t xml:space="preserve">岳阳市君山区挂口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1391" w:type="dxa"/>
            <w:tcBorders>
              <w:left w:val="single" w:color="auto" w:sz="12" w:space="0"/>
            </w:tcBorders>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联系电话</w:t>
            </w:r>
          </w:p>
        </w:tc>
        <w:tc>
          <w:tcPr>
            <w:tcW w:w="1964" w:type="dxa"/>
            <w:gridSpan w:val="2"/>
            <w:vAlign w:val="center"/>
          </w:tcPr>
          <w:p>
            <w:pPr>
              <w:spacing w:line="360" w:lineRule="auto"/>
              <w:jc w:val="left"/>
            </w:pPr>
            <w:r>
              <w:rPr>
                <w:rFonts w:hint="eastAsia"/>
              </w:rPr>
              <w:t>15273006910</w:t>
            </w:r>
          </w:p>
        </w:tc>
        <w:tc>
          <w:tcPr>
            <w:tcW w:w="971" w:type="dxa"/>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传真</w:t>
            </w:r>
          </w:p>
        </w:tc>
        <w:tc>
          <w:tcPr>
            <w:tcW w:w="1616" w:type="dxa"/>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w:t>
            </w:r>
          </w:p>
        </w:tc>
        <w:tc>
          <w:tcPr>
            <w:tcW w:w="1509" w:type="dxa"/>
            <w:gridSpan w:val="2"/>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邮政编码</w:t>
            </w:r>
          </w:p>
        </w:tc>
        <w:tc>
          <w:tcPr>
            <w:tcW w:w="1196" w:type="dxa"/>
            <w:tcBorders>
              <w:right w:val="single" w:color="auto" w:sz="12" w:space="0"/>
            </w:tcBorders>
            <w:vAlign w:val="center"/>
          </w:tcPr>
          <w:p>
            <w:pPr>
              <w:jc w:val="center"/>
              <w:rPr>
                <w:color w:val="000000" w:themeColor="text1"/>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33" w:hRule="atLeast"/>
        </w:trPr>
        <w:tc>
          <w:tcPr>
            <w:tcW w:w="1391" w:type="dxa"/>
            <w:tcBorders>
              <w:left w:val="single" w:color="auto" w:sz="12" w:space="0"/>
            </w:tcBorders>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建设地点</w:t>
            </w:r>
          </w:p>
        </w:tc>
        <w:tc>
          <w:tcPr>
            <w:tcW w:w="7256" w:type="dxa"/>
            <w:gridSpan w:val="7"/>
            <w:tcBorders>
              <w:right w:val="single" w:color="auto" w:sz="12" w:space="0"/>
            </w:tcBorders>
            <w:vAlign w:val="center"/>
          </w:tcPr>
          <w:p>
            <w:pPr>
              <w:spacing w:line="360" w:lineRule="auto"/>
              <w:jc w:val="left"/>
              <w:rPr>
                <w:rFonts w:ascii="宋体"/>
              </w:rPr>
            </w:pPr>
            <w:r>
              <w:rPr>
                <w:rFonts w:hint="eastAsia" w:ascii="宋体"/>
              </w:rPr>
              <w:t xml:space="preserve">岳阳市君山区广兴洲镇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50" w:hRule="atLeast"/>
        </w:trPr>
        <w:tc>
          <w:tcPr>
            <w:tcW w:w="1391" w:type="dxa"/>
            <w:tcBorders>
              <w:left w:val="single" w:color="auto" w:sz="12" w:space="0"/>
            </w:tcBorders>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立项审</w:t>
            </w:r>
          </w:p>
          <w:p>
            <w:pPr>
              <w:jc w:val="center"/>
              <w:rPr>
                <w:color w:val="000000" w:themeColor="text1"/>
                <w14:textFill>
                  <w14:solidFill>
                    <w14:schemeClr w14:val="tx1"/>
                  </w14:solidFill>
                </w14:textFill>
              </w:rPr>
            </w:pPr>
            <w:r>
              <w:rPr>
                <w:color w:val="000000" w:themeColor="text1"/>
                <w14:textFill>
                  <w14:solidFill>
                    <w14:schemeClr w14:val="tx1"/>
                  </w14:solidFill>
                </w14:textFill>
              </w:rPr>
              <w:t>批部门</w:t>
            </w:r>
          </w:p>
        </w:tc>
        <w:tc>
          <w:tcPr>
            <w:tcW w:w="2935" w:type="dxa"/>
            <w:gridSpan w:val="3"/>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w:t>
            </w:r>
          </w:p>
        </w:tc>
        <w:tc>
          <w:tcPr>
            <w:tcW w:w="1616" w:type="dxa"/>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批准文号</w:t>
            </w:r>
          </w:p>
        </w:tc>
        <w:tc>
          <w:tcPr>
            <w:tcW w:w="2705" w:type="dxa"/>
            <w:gridSpan w:val="3"/>
            <w:tcBorders>
              <w:right w:val="single" w:color="auto" w:sz="12" w:space="0"/>
            </w:tcBorders>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4" w:hRule="atLeast"/>
        </w:trPr>
        <w:tc>
          <w:tcPr>
            <w:tcW w:w="1391" w:type="dxa"/>
            <w:tcBorders>
              <w:left w:val="single" w:color="auto" w:sz="12" w:space="0"/>
            </w:tcBorders>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建设性质</w:t>
            </w:r>
          </w:p>
        </w:tc>
        <w:tc>
          <w:tcPr>
            <w:tcW w:w="2935" w:type="dxa"/>
            <w:gridSpan w:val="3"/>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sym w:font="Wingdings 2" w:char="0052"/>
            </w:r>
            <w:r>
              <w:rPr>
                <w:color w:val="000000" w:themeColor="text1"/>
                <w14:textFill>
                  <w14:solidFill>
                    <w14:schemeClr w14:val="tx1"/>
                  </w14:solidFill>
                </w14:textFill>
              </w:rPr>
              <w:t>新建</w:t>
            </w:r>
            <w:r>
              <w:rPr>
                <w:color w:val="000000" w:themeColor="text1"/>
                <w14:textFill>
                  <w14:solidFill>
                    <w14:schemeClr w14:val="tx1"/>
                  </w14:solidFill>
                </w14:textFill>
              </w:rPr>
              <w:sym w:font="Wingdings 2" w:char="00A3"/>
            </w:r>
            <w:r>
              <w:rPr>
                <w:color w:val="000000" w:themeColor="text1"/>
                <w14:textFill>
                  <w14:solidFill>
                    <w14:schemeClr w14:val="tx1"/>
                  </w14:solidFill>
                </w14:textFill>
              </w:rPr>
              <w:t>改扩建□技改</w:t>
            </w:r>
          </w:p>
        </w:tc>
        <w:tc>
          <w:tcPr>
            <w:tcW w:w="1616" w:type="dxa"/>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行业类别</w:t>
            </w:r>
          </w:p>
          <w:p>
            <w:pPr>
              <w:jc w:val="center"/>
              <w:rPr>
                <w:color w:val="000000" w:themeColor="text1"/>
                <w14:textFill>
                  <w14:solidFill>
                    <w14:schemeClr w14:val="tx1"/>
                  </w14:solidFill>
                </w14:textFill>
              </w:rPr>
            </w:pPr>
            <w:r>
              <w:rPr>
                <w:color w:val="000000" w:themeColor="text1"/>
                <w14:textFill>
                  <w14:solidFill>
                    <w14:schemeClr w14:val="tx1"/>
                  </w14:solidFill>
                </w14:textFill>
              </w:rPr>
              <w:t>及代码</w:t>
            </w:r>
          </w:p>
        </w:tc>
        <w:tc>
          <w:tcPr>
            <w:tcW w:w="2705" w:type="dxa"/>
            <w:gridSpan w:val="3"/>
            <w:tcBorders>
              <w:right w:val="single" w:color="auto" w:sz="12" w:space="0"/>
            </w:tcBorders>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E4821 水源及供水设施工程建筑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1391" w:type="dxa"/>
            <w:tcBorders>
              <w:left w:val="single" w:color="auto" w:sz="12" w:space="0"/>
            </w:tcBorders>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占地面积</w:t>
            </w:r>
          </w:p>
          <w:p>
            <w:pPr>
              <w:jc w:val="center"/>
              <w:rPr>
                <w:color w:val="000000" w:themeColor="text1"/>
                <w14:textFill>
                  <w14:solidFill>
                    <w14:schemeClr w14:val="tx1"/>
                  </w14:solidFill>
                </w14:textFill>
              </w:rPr>
            </w:pPr>
            <w:r>
              <w:rPr>
                <w:color w:val="000000" w:themeColor="text1"/>
                <w14:textFill>
                  <w14:solidFill>
                    <w14:schemeClr w14:val="tx1"/>
                  </w14:solidFill>
                </w14:textFill>
              </w:rPr>
              <w:t>（平方米）</w:t>
            </w:r>
          </w:p>
        </w:tc>
        <w:tc>
          <w:tcPr>
            <w:tcW w:w="2935" w:type="dxa"/>
            <w:gridSpan w:val="3"/>
            <w:vAlign w:val="center"/>
          </w:tcPr>
          <w:p>
            <w:pPr>
              <w:jc w:val="center"/>
              <w:rPr>
                <w:color w:val="000000" w:themeColor="text1"/>
                <w14:textFill>
                  <w14:solidFill>
                    <w14:schemeClr w14:val="tx1"/>
                  </w14:solidFill>
                </w14:textFill>
              </w:rPr>
            </w:pPr>
          </w:p>
        </w:tc>
        <w:tc>
          <w:tcPr>
            <w:tcW w:w="1616" w:type="dxa"/>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绿化面积</w:t>
            </w:r>
          </w:p>
          <w:p>
            <w:pPr>
              <w:jc w:val="center"/>
              <w:rPr>
                <w:color w:val="000000" w:themeColor="text1"/>
                <w14:textFill>
                  <w14:solidFill>
                    <w14:schemeClr w14:val="tx1"/>
                  </w14:solidFill>
                </w14:textFill>
              </w:rPr>
            </w:pPr>
            <w:r>
              <w:rPr>
                <w:color w:val="000000" w:themeColor="text1"/>
                <w14:textFill>
                  <w14:solidFill>
                    <w14:schemeClr w14:val="tx1"/>
                  </w14:solidFill>
                </w14:textFill>
              </w:rPr>
              <w:t>（平方米）</w:t>
            </w:r>
          </w:p>
        </w:tc>
        <w:tc>
          <w:tcPr>
            <w:tcW w:w="2705" w:type="dxa"/>
            <w:gridSpan w:val="3"/>
            <w:tcBorders>
              <w:right w:val="single" w:color="auto" w:sz="12" w:space="0"/>
            </w:tcBorders>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1391" w:type="dxa"/>
            <w:tcBorders>
              <w:left w:val="single" w:color="auto" w:sz="12" w:space="0"/>
            </w:tcBorders>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总投资</w:t>
            </w:r>
          </w:p>
          <w:p>
            <w:pPr>
              <w:jc w:val="center"/>
              <w:rPr>
                <w:color w:val="000000" w:themeColor="text1"/>
                <w14:textFill>
                  <w14:solidFill>
                    <w14:schemeClr w14:val="tx1"/>
                  </w14:solidFill>
                </w14:textFill>
              </w:rPr>
            </w:pPr>
            <w:r>
              <w:rPr>
                <w:color w:val="000000" w:themeColor="text1"/>
                <w14:textFill>
                  <w14:solidFill>
                    <w14:schemeClr w14:val="tx1"/>
                  </w14:solidFill>
                </w14:textFill>
              </w:rPr>
              <w:t>（万元）</w:t>
            </w:r>
          </w:p>
        </w:tc>
        <w:tc>
          <w:tcPr>
            <w:tcW w:w="1172" w:type="dxa"/>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500</w:t>
            </w:r>
          </w:p>
        </w:tc>
        <w:tc>
          <w:tcPr>
            <w:tcW w:w="1763" w:type="dxa"/>
            <w:gridSpan w:val="2"/>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其中：环保投资（万元）</w:t>
            </w:r>
          </w:p>
        </w:tc>
        <w:tc>
          <w:tcPr>
            <w:tcW w:w="1616" w:type="dxa"/>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20</w:t>
            </w:r>
          </w:p>
        </w:tc>
        <w:tc>
          <w:tcPr>
            <w:tcW w:w="1481" w:type="dxa"/>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环保投资占总投资比例</w:t>
            </w:r>
          </w:p>
        </w:tc>
        <w:tc>
          <w:tcPr>
            <w:tcW w:w="1224" w:type="dxa"/>
            <w:gridSpan w:val="2"/>
            <w:tcBorders>
              <w:right w:val="single" w:color="auto" w:sz="12" w:space="0"/>
            </w:tcBorders>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1391" w:type="dxa"/>
            <w:tcBorders>
              <w:left w:val="single" w:color="auto" w:sz="12" w:space="0"/>
            </w:tcBorders>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评价经费</w:t>
            </w:r>
          </w:p>
          <w:p>
            <w:pPr>
              <w:jc w:val="center"/>
              <w:rPr>
                <w:color w:val="000000" w:themeColor="text1"/>
                <w14:textFill>
                  <w14:solidFill>
                    <w14:schemeClr w14:val="tx1"/>
                  </w14:solidFill>
                </w14:textFill>
              </w:rPr>
            </w:pPr>
            <w:r>
              <w:rPr>
                <w:color w:val="000000" w:themeColor="text1"/>
                <w14:textFill>
                  <w14:solidFill>
                    <w14:schemeClr w14:val="tx1"/>
                  </w14:solidFill>
                </w14:textFill>
              </w:rPr>
              <w:t>（万元）</w:t>
            </w:r>
          </w:p>
        </w:tc>
        <w:tc>
          <w:tcPr>
            <w:tcW w:w="2935" w:type="dxa"/>
            <w:gridSpan w:val="3"/>
            <w:tcBorders>
              <w:right w:val="single" w:color="auto" w:sz="4" w:space="0"/>
            </w:tcBorders>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w:t>
            </w:r>
          </w:p>
        </w:tc>
        <w:tc>
          <w:tcPr>
            <w:tcW w:w="1616" w:type="dxa"/>
            <w:tcBorders>
              <w:left w:val="single" w:color="auto" w:sz="4" w:space="0"/>
            </w:tcBorders>
            <w:vAlign w:val="center"/>
          </w:tcPr>
          <w:p>
            <w:pPr>
              <w:widowControl/>
              <w:jc w:val="center"/>
              <w:rPr>
                <w:color w:val="000000" w:themeColor="text1"/>
                <w14:textFill>
                  <w14:solidFill>
                    <w14:schemeClr w14:val="tx1"/>
                  </w14:solidFill>
                </w14:textFill>
              </w:rPr>
            </w:pPr>
            <w:r>
              <w:rPr>
                <w:color w:val="000000" w:themeColor="text1"/>
                <w14:textFill>
                  <w14:solidFill>
                    <w14:schemeClr w14:val="tx1"/>
                  </w14:solidFill>
                </w14:textFill>
              </w:rPr>
              <w:t>投产日期</w:t>
            </w:r>
          </w:p>
        </w:tc>
        <w:tc>
          <w:tcPr>
            <w:tcW w:w="2705" w:type="dxa"/>
            <w:gridSpan w:val="3"/>
            <w:tcBorders>
              <w:right w:val="single" w:color="auto" w:sz="12" w:space="0"/>
            </w:tcBorders>
            <w:vAlign w:val="center"/>
          </w:tcPr>
          <w:p>
            <w:pPr>
              <w:jc w:val="center"/>
              <w:rPr>
                <w:color w:val="000000" w:themeColor="text1"/>
                <w14:textFill>
                  <w14:solidFill>
                    <w14:schemeClr w14:val="tx1"/>
                  </w14:solidFill>
                </w14:textFill>
              </w:rPr>
            </w:pPr>
            <w:r>
              <w:rPr>
                <w:rFonts w:hint="eastAsia"/>
                <w:bCs/>
                <w:color w:val="000000" w:themeColor="text1"/>
                <w:kern w:val="28"/>
                <w:szCs w:val="23"/>
                <w14:textFill>
                  <w14:solidFill>
                    <w14:schemeClr w14:val="tx1"/>
                  </w14:solidFill>
                </w14:textFill>
              </w:rPr>
              <w:t>2020</w:t>
            </w:r>
            <w:r>
              <w:rPr>
                <w:bCs/>
                <w:color w:val="000000" w:themeColor="text1"/>
                <w:kern w:val="28"/>
                <w:szCs w:val="23"/>
                <w14:textFill>
                  <w14:solidFill>
                    <w14:schemeClr w14:val="tx1"/>
                  </w14:solidFill>
                </w14:textFill>
              </w:rPr>
              <w:t>年</w:t>
            </w:r>
            <w:r>
              <w:rPr>
                <w:rFonts w:hint="eastAsia"/>
                <w:bCs/>
                <w:color w:val="000000" w:themeColor="text1"/>
                <w:kern w:val="28"/>
                <w:szCs w:val="23"/>
                <w:lang w:val="en-US" w:eastAsia="zh-CN"/>
                <w14:textFill>
                  <w14:solidFill>
                    <w14:schemeClr w14:val="tx1"/>
                  </w14:solidFill>
                </w14:textFill>
              </w:rPr>
              <w:t>10</w:t>
            </w:r>
            <w:r>
              <w:rPr>
                <w:bCs/>
                <w:color w:val="000000" w:themeColor="text1"/>
                <w:kern w:val="28"/>
                <w:szCs w:val="23"/>
                <w14:textFill>
                  <w14:solidFill>
                    <w14:schemeClr w14:val="tx1"/>
                  </w14:solidFill>
                </w14:textFill>
              </w:rPr>
              <w:t>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8647" w:type="dxa"/>
            <w:gridSpan w:val="8"/>
            <w:tcBorders>
              <w:left w:val="single" w:color="auto" w:sz="12" w:space="0"/>
              <w:right w:val="single" w:color="auto" w:sz="12" w:space="0"/>
            </w:tcBorders>
            <w:vAlign w:val="center"/>
          </w:tcPr>
          <w:p>
            <w:pPr>
              <w:jc w:val="center"/>
            </w:pPr>
          </w:p>
          <w:p>
            <w:pPr>
              <w:spacing w:line="360" w:lineRule="auto"/>
              <w:rPr>
                <w:b/>
                <w:bCs/>
              </w:rPr>
            </w:pPr>
            <w:r>
              <w:rPr>
                <w:rFonts w:hint="eastAsia"/>
                <w:b/>
                <w:bCs/>
              </w:rPr>
              <w:t>工程内容及规模：</w:t>
            </w:r>
          </w:p>
          <w:p>
            <w:pPr>
              <w:spacing w:line="360" w:lineRule="auto"/>
              <w:ind w:firstLine="482" w:firstLineChars="200"/>
              <w:rPr>
                <w:b/>
                <w:bCs/>
              </w:rPr>
            </w:pPr>
            <w:r>
              <w:rPr>
                <w:rFonts w:hint="eastAsia"/>
                <w:b/>
                <w:bCs/>
              </w:rPr>
              <w:t>一、项目由来</w:t>
            </w:r>
          </w:p>
          <w:p>
            <w:pPr>
              <w:spacing w:line="360" w:lineRule="auto"/>
              <w:ind w:firstLine="480" w:firstLineChars="200"/>
              <w:rPr>
                <w:highlight w:val="none"/>
              </w:rPr>
            </w:pPr>
            <w:r>
              <w:rPr>
                <w:rFonts w:hint="eastAsia"/>
              </w:rPr>
              <w:t>岳阳市君山区广兴洲镇水厂、许市镇水厂建厂初期建设原水取水泵房时，就对多个水源地进行了分析比较，经过论证，取水泵房建于君山区广兴洲镇潭子坑电灌站</w:t>
            </w:r>
            <w:r>
              <w:rPr>
                <w:rFonts w:hint="eastAsia"/>
                <w:highlight w:val="none"/>
              </w:rPr>
              <w:t>旁，长江干流右岸.，取水口处对应的岸坡桩号为37+750。取水口使用至今，运行正常。广兴洲L</w:t>
            </w:r>
            <w:r>
              <w:rPr>
                <w:highlight w:val="none"/>
              </w:rPr>
              <w:t>NG</w:t>
            </w:r>
            <w:r>
              <w:rPr>
                <w:rFonts w:hint="eastAsia"/>
                <w:highlight w:val="none"/>
              </w:rPr>
              <w:t>码头位于潭子坑取水口下游约1</w:t>
            </w:r>
            <w:r>
              <w:rPr>
                <w:highlight w:val="none"/>
              </w:rPr>
              <w:t>20</w:t>
            </w:r>
            <w:r>
              <w:rPr>
                <w:rFonts w:hint="eastAsia"/>
                <w:highlight w:val="none"/>
              </w:rPr>
              <w:t>米处，该码头已纳入《岳阳港规划》，该规划环评已通过国家生态环境部审批，审查意见中提出为保障饮用水安全，将取水口往上游迁移的意见。现为使供水水质要求达到更高标准，也为了便于配合岳阳LNG接收站（储备中心）项</w:t>
            </w:r>
            <w:r>
              <w:rPr>
                <w:rFonts w:hint="eastAsia"/>
              </w:rPr>
              <w:t>目的建设需要，推进君山区的发展，君山区政府组织召开了关于饮用水取水口迁移相关事项的协调会议，根据君山区城市总体规划要求，将广兴洲镇谭子坑饮用水取水口迁移至上游3km洪水港取水泵站，作为广兴洲镇、许市镇饮用水水源取水口。项目的实施起着推进区域快速发展创造更为优良的环境和条件的作用。谭子坑饮用水源取水口迁移工程建设内容为：</w:t>
            </w:r>
            <w:r>
              <w:rPr>
                <w:rFonts w:hint="eastAsia"/>
                <w:highlight w:val="none"/>
              </w:rPr>
              <w:t>依托洪水港取水泵站，</w:t>
            </w:r>
            <w:r>
              <w:rPr>
                <w:rFonts w:hint="eastAsia"/>
                <w:highlight w:val="none"/>
                <w:lang w:eastAsia="zh-CN"/>
              </w:rPr>
              <w:t>新增</w:t>
            </w:r>
            <w:r>
              <w:rPr>
                <w:rFonts w:hint="eastAsia"/>
                <w:highlight w:val="none"/>
                <w:lang w:val="en-US" w:eastAsia="zh-CN"/>
              </w:rPr>
              <w:t>2台90KW泵机，2根DN500取水管，</w:t>
            </w:r>
            <w:r>
              <w:rPr>
                <w:rFonts w:hint="eastAsia"/>
                <w:highlight w:val="none"/>
              </w:rPr>
              <w:t>新敷设输水管道，其中广兴洲镇输水管道2.6km，沿西干渠铺设，在二支渠交汇处与原输水管道相连（坐标112°54'05.61"，29°35'11.20"）。许市镇输水管道2.2km ，西干渠铺设，在长号居民点沿线支渠交汇处与原输水管道相连（坐标112°54'14.26"，29°35'51.91"）。总用地面积 4160m</w:t>
            </w:r>
            <w:r>
              <w:rPr>
                <w:rFonts w:hint="eastAsia"/>
                <w:highlight w:val="none"/>
                <w:vertAlign w:val="superscript"/>
              </w:rPr>
              <w:t>2</w:t>
            </w:r>
            <w:r>
              <w:rPr>
                <w:rFonts w:hint="eastAsia"/>
                <w:highlight w:val="none"/>
              </w:rPr>
              <w:t>。取水水源仍为长江，取水口坐标为：112°54'24.93"，纬度 29°36'33.59"。洪水港泵站设计流量为19.54m</w:t>
            </w:r>
            <w:r>
              <w:rPr>
                <w:rFonts w:hint="eastAsia"/>
                <w:highlight w:val="none"/>
                <w:vertAlign w:val="superscript"/>
              </w:rPr>
              <w:t>3</w:t>
            </w:r>
            <w:r>
              <w:rPr>
                <w:rFonts w:hint="eastAsia"/>
                <w:highlight w:val="none"/>
              </w:rPr>
              <w:t>/s，设计扬程为11.5m，装机为630kw*5，出水钢管为6根DN1400mm压力钢管。</w:t>
            </w:r>
            <w:r>
              <w:rPr>
                <w:rFonts w:hint="eastAsia"/>
                <w:highlight w:val="none"/>
                <w:lang w:eastAsia="zh-CN"/>
              </w:rPr>
              <w:t>新增</w:t>
            </w:r>
            <w:r>
              <w:rPr>
                <w:rFonts w:hint="eastAsia"/>
                <w:highlight w:val="none"/>
              </w:rPr>
              <w:t>2根压力钢管</w:t>
            </w:r>
            <w:r>
              <w:rPr>
                <w:rFonts w:hint="eastAsia"/>
                <w:highlight w:val="none"/>
                <w:lang w:val="en-US" w:eastAsia="zh-CN"/>
              </w:rPr>
              <w:t>DN500</w:t>
            </w:r>
            <w:r>
              <w:rPr>
                <w:rFonts w:hint="eastAsia"/>
                <w:highlight w:val="none"/>
              </w:rPr>
              <w:t>接入新铺设</w:t>
            </w:r>
            <w:r>
              <w:rPr>
                <w:highlight w:val="none"/>
              </w:rPr>
              <w:t>的</w:t>
            </w:r>
            <w:r>
              <w:rPr>
                <w:rFonts w:hint="eastAsia"/>
                <w:highlight w:val="none"/>
              </w:rPr>
              <w:t>广兴洲镇输水管道，许市输水管道。新建输水管道与</w:t>
            </w:r>
            <w:r>
              <w:rPr>
                <w:rFonts w:hint="eastAsia"/>
                <w:highlight w:val="none"/>
                <w:lang w:eastAsia="zh-CN"/>
              </w:rPr>
              <w:t>原</w:t>
            </w:r>
            <w:r>
              <w:rPr>
                <w:rFonts w:hint="eastAsia"/>
                <w:highlight w:val="none"/>
              </w:rPr>
              <w:t>有输水干管相连，进入广兴洲镇自来水厂和许市镇自来水厂。洪水港取水泵站为《岳阳市长江补水工程（一期工程）》中的取水工程部分，该项目已于2019年12月11日取得环评批复（岳环评[2019]174号）。</w:t>
            </w:r>
          </w:p>
          <w:p>
            <w:pPr>
              <w:spacing w:line="360" w:lineRule="auto"/>
              <w:ind w:firstLine="480" w:firstLineChars="200"/>
            </w:pPr>
            <w:r>
              <w:rPr>
                <w:rFonts w:hint="eastAsia"/>
              </w:rPr>
              <w:t>根据《中华人民共和国环境保护法》、《中华人民共和国环境影响评价法》以及国务院令第 682 号《建设项目环境保护管理条例》的相关内容和环境影响评价制度，应对该建设项目进行环境影响评价。本项目为君山区饮用水源取水口迁移工程，根据 2017 年国民经济行业</w:t>
            </w:r>
            <w:r>
              <w:rPr>
                <w:rFonts w:hint="eastAsia"/>
                <w:highlight w:val="none"/>
              </w:rPr>
              <w:t>分类（2018年</w:t>
            </w:r>
            <w:r>
              <w:rPr>
                <w:highlight w:val="none"/>
              </w:rPr>
              <w:t>修订</w:t>
            </w:r>
            <w:r>
              <w:rPr>
                <w:rFonts w:hint="eastAsia"/>
                <w:highlight w:val="none"/>
              </w:rPr>
              <w:t>），本项目属于“E4821 水源及供水设施工程建筑”，根据《建设项 目环境影响评价分类管理名录</w:t>
            </w:r>
            <w:r>
              <w:rPr>
                <w:rFonts w:hint="eastAsia"/>
              </w:rPr>
              <w:t>》（生态环境部 1 号令），项目属于“三十三、水的生产和供应业、95、自来水生产和供应工程、全部”应编制报告表。</w:t>
            </w:r>
          </w:p>
          <w:p>
            <w:pPr>
              <w:spacing w:line="360" w:lineRule="auto"/>
              <w:ind w:firstLine="480" w:firstLineChars="200"/>
            </w:pPr>
            <w:r>
              <w:rPr>
                <w:rFonts w:hint="eastAsia"/>
              </w:rPr>
              <w:t>岳阳市君山区城市建设投资有限公司委托湖南绿鸿环境科技有限责任公司编制本项目环境影响报告表。评价单位接受委托后，立即组织有关技术人员进行现场踏勘、资料收集，并在此基础上按照环评相关技术规范要求，编制完成了《君山区饮水工程建设项目环境影响报告表》。</w:t>
            </w:r>
          </w:p>
          <w:p>
            <w:pPr>
              <w:pStyle w:val="6"/>
            </w:pPr>
          </w:p>
          <w:p/>
          <w:p>
            <w:pPr>
              <w:pStyle w:val="6"/>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946" w:hRule="atLeast"/>
        </w:trPr>
        <w:tc>
          <w:tcPr>
            <w:tcW w:w="8647" w:type="dxa"/>
            <w:gridSpan w:val="8"/>
            <w:tcBorders>
              <w:left w:val="single" w:color="auto" w:sz="12" w:space="0"/>
              <w:bottom w:val="single" w:color="auto" w:sz="4" w:space="0"/>
              <w:right w:val="single" w:color="auto" w:sz="12" w:space="0"/>
            </w:tcBorders>
            <w:vAlign w:val="center"/>
          </w:tcPr>
          <w:p>
            <w:pPr>
              <w:spacing w:line="360" w:lineRule="auto"/>
              <w:ind w:firstLine="482" w:firstLineChars="200"/>
              <w:rPr>
                <w:b/>
                <w:highlight w:val="none"/>
              </w:rPr>
            </w:pPr>
            <w:r>
              <w:rPr>
                <w:rFonts w:hint="eastAsia"/>
                <w:b/>
                <w:highlight w:val="none"/>
              </w:rPr>
              <w:t>二、项目依托工程情况</w:t>
            </w:r>
          </w:p>
          <w:p>
            <w:pPr>
              <w:spacing w:line="360" w:lineRule="auto"/>
              <w:ind w:firstLine="482" w:firstLineChars="200"/>
              <w:rPr>
                <w:b/>
              </w:rPr>
            </w:pPr>
            <w:r>
              <w:rPr>
                <w:rFonts w:hint="eastAsia"/>
                <w:b/>
              </w:rPr>
              <w:t>（1）洪水港取水泵站</w:t>
            </w:r>
          </w:p>
          <w:p>
            <w:pPr>
              <w:spacing w:line="360" w:lineRule="auto"/>
              <w:ind w:firstLine="480" w:firstLineChars="200"/>
              <w:rPr>
                <w:highlight w:val="none"/>
              </w:rPr>
            </w:pPr>
            <w:r>
              <w:rPr>
                <w:rFonts w:hint="eastAsia"/>
              </w:rPr>
              <w:t>《岳阳市长江补水工程（一期工程）》中的取水工程内容为：在洪水港闸下游1</w:t>
            </w:r>
            <w:r>
              <w:t>km</w:t>
            </w:r>
            <w:r>
              <w:rPr>
                <w:rFonts w:hint="eastAsia"/>
              </w:rPr>
              <w:t>处右岸，新建洪水港泵站，取水浮船泵站主要由趸船、取水泵、控制设备、阀门及输水管路、栈桥等组成。趸船主要由首尾锚固区域、取水泵运行舱区域、检修转运区域、值班生活区域及电控区域组成。取水泵为立式潜水泵，泵组6台（备用一台），型号1400QLB-11.5，通过6根每根300m长DN1400（壁厚12mm）输水钢管（每根钢管设置拍门）。本泵站设计扬程11.5m，设计流量19.54m</w:t>
            </w:r>
            <w:r>
              <w:rPr>
                <w:rFonts w:hint="eastAsia"/>
                <w:vertAlign w:val="superscript"/>
              </w:rPr>
              <w:t>3</w:t>
            </w:r>
            <w:r>
              <w:rPr>
                <w:rFonts w:hint="eastAsia"/>
              </w:rPr>
              <w:t>/s，</w:t>
            </w:r>
            <w:r>
              <w:rPr>
                <w:rFonts w:hint="eastAsia"/>
                <w:highlight w:val="none"/>
              </w:rPr>
              <w:t>总装机3150KW。</w:t>
            </w:r>
          </w:p>
          <w:p>
            <w:pPr>
              <w:spacing w:line="360" w:lineRule="auto"/>
              <w:ind w:firstLine="480" w:firstLineChars="200"/>
              <w:rPr>
                <w:highlight w:val="none"/>
              </w:rPr>
            </w:pPr>
            <w:r>
              <w:rPr>
                <w:rFonts w:hint="eastAsia"/>
                <w:highlight w:val="none"/>
              </w:rPr>
              <w:t>本项目依托洪水港泵站</w:t>
            </w:r>
            <w:r>
              <w:rPr>
                <w:rFonts w:hint="eastAsia"/>
                <w:highlight w:val="none"/>
                <w:lang w:eastAsia="zh-CN"/>
              </w:rPr>
              <w:t>新增两台</w:t>
            </w:r>
            <w:r>
              <w:rPr>
                <w:rFonts w:hint="eastAsia"/>
                <w:highlight w:val="none"/>
                <w:lang w:val="en-US" w:eastAsia="zh-CN"/>
              </w:rPr>
              <w:t>90KW取水泵，2根</w:t>
            </w:r>
            <w:r>
              <w:rPr>
                <w:rFonts w:hint="eastAsia"/>
                <w:highlight w:val="none"/>
              </w:rPr>
              <w:t>D</w:t>
            </w:r>
            <w:r>
              <w:rPr>
                <w:highlight w:val="none"/>
              </w:rPr>
              <w:t>N</w:t>
            </w:r>
            <w:r>
              <w:rPr>
                <w:rFonts w:hint="eastAsia"/>
                <w:highlight w:val="none"/>
              </w:rPr>
              <w:t>500输水钢管分别接入广兴洲镇水厂、许市镇水厂。</w:t>
            </w:r>
          </w:p>
          <w:p>
            <w:pPr>
              <w:spacing w:line="360" w:lineRule="auto"/>
              <w:ind w:firstLine="482" w:firstLineChars="200"/>
              <w:rPr>
                <w:b/>
              </w:rPr>
            </w:pPr>
            <w:r>
              <w:rPr>
                <w:rFonts w:hint="eastAsia"/>
                <w:b/>
              </w:rPr>
              <w:t>（2）原有输水管线</w:t>
            </w:r>
          </w:p>
          <w:p>
            <w:pPr>
              <w:spacing w:line="360" w:lineRule="auto"/>
              <w:ind w:firstLine="480" w:firstLineChars="200"/>
            </w:pPr>
            <w:r>
              <w:rPr>
                <w:rFonts w:hint="eastAsia"/>
              </w:rPr>
              <w:t>原有取水泵站潭子坑取水口泵站在洪水港取水泵站下游约3</w:t>
            </w:r>
            <w:r>
              <w:t>km</w:t>
            </w:r>
            <w:r>
              <w:rPr>
                <w:rFonts w:hint="eastAsia"/>
              </w:rPr>
              <w:t>，从潭子坑取水口泵站接入的原有输水管线，即：沿西干渠与长号居民点交汇农灌渠至许市镇水厂，沿西干渠与二支渠交汇处广兴洲镇水厂。</w:t>
            </w:r>
          </w:p>
          <w:p>
            <w:pPr>
              <w:spacing w:line="360" w:lineRule="auto"/>
              <w:ind w:firstLine="480" w:firstLineChars="200"/>
            </w:pPr>
            <w:r>
              <w:rPr>
                <w:rFonts w:hint="eastAsia"/>
              </w:rPr>
              <w:t>本项目依托原有输水管线，新敷设输水管道，两个水厂输水管道平行铺设，间距500m。其中广兴洲镇输水管道2.6km，沿西干渠铺设，在二支渠交汇处与原输水管道相连（坐标112°54'05.61"，29°35'11.20"）。许市镇输水管道2.2km ，西干渠铺设，在长号居民点沿线支渠交汇处与原输水管道相连（坐标112°54'14.26"，29°35'51.91"）。</w:t>
            </w:r>
          </w:p>
          <w:p>
            <w:pPr>
              <w:spacing w:line="360" w:lineRule="auto"/>
              <w:ind w:firstLine="482" w:firstLineChars="200"/>
              <w:rPr>
                <w:b/>
                <w:highlight w:val="none"/>
              </w:rPr>
            </w:pPr>
            <w:r>
              <w:rPr>
                <w:rFonts w:hint="eastAsia"/>
                <w:b/>
                <w:highlight w:val="none"/>
              </w:rPr>
              <w:t>三、与产业政策、相关规划符合性分析</w:t>
            </w:r>
          </w:p>
          <w:p>
            <w:pPr>
              <w:spacing w:line="360" w:lineRule="auto"/>
              <w:ind w:firstLine="482" w:firstLineChars="200"/>
              <w:rPr>
                <w:b/>
              </w:rPr>
            </w:pPr>
            <w:r>
              <w:rPr>
                <w:rFonts w:hint="eastAsia"/>
                <w:b/>
              </w:rPr>
              <w:t>（1）产业政策符合性</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根据 2017 年国民经济行业分类，本项目属于“E4821 水源及供水设施工程建 筑”，根据《产业结构调整指导目录（2011 年本）（2013 修正）》，本项目属于鼓励 类“二十二、城市基础设施”中“7、城镇安全饮水工程”</w:t>
            </w:r>
            <w:r>
              <w:rPr>
                <w:rFonts w:hint="eastAsia" w:eastAsiaTheme="minorEastAsia"/>
                <w:bCs/>
                <w:color w:val="000000" w:themeColor="text1"/>
                <w14:textFill>
                  <w14:solidFill>
                    <w14:schemeClr w14:val="tx1"/>
                  </w14:solidFill>
                </w14:textFill>
              </w:rPr>
              <w:t>。</w:t>
            </w:r>
            <w:r>
              <w:rPr>
                <w:rFonts w:eastAsiaTheme="minorEastAsia"/>
                <w:bCs/>
                <w:color w:val="000000" w:themeColor="text1"/>
                <w14:textFill>
                  <w14:solidFill>
                    <w14:schemeClr w14:val="tx1"/>
                  </w14:solidFill>
                </w14:textFill>
              </w:rPr>
              <w:t xml:space="preserve"> </w:t>
            </w:r>
            <w:r>
              <w:rPr>
                <w:rFonts w:hint="eastAsia" w:eastAsiaTheme="minorEastAsia"/>
                <w:bCs/>
                <w:color w:val="000000" w:themeColor="text1"/>
                <w14:textFill>
                  <w14:solidFill>
                    <w14:schemeClr w14:val="tx1"/>
                  </w14:solidFill>
                </w14:textFill>
              </w:rPr>
              <w:t>本项目</w:t>
            </w:r>
            <w:r>
              <w:rPr>
                <w:rFonts w:hint="eastAsia" w:eastAsiaTheme="minorEastAsia"/>
                <w:bCs/>
                <w:color w:val="000000" w:themeColor="text1"/>
                <w:lang w:eastAsia="zh-CN"/>
                <w14:textFill>
                  <w14:solidFill>
                    <w14:schemeClr w14:val="tx1"/>
                  </w14:solidFill>
                </w14:textFill>
              </w:rPr>
              <w:t>属</w:t>
            </w:r>
            <w:r>
              <w:rPr>
                <w:rFonts w:hint="eastAsia" w:eastAsiaTheme="minorEastAsia"/>
                <w:bCs/>
                <w:color w:val="000000" w:themeColor="text1"/>
                <w14:textFill>
                  <w14:solidFill>
                    <w14:schemeClr w14:val="tx1"/>
                  </w14:solidFill>
                </w14:textFill>
              </w:rPr>
              <w:t>民生工程。</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因此，本项目符合产业政策要求。</w:t>
            </w:r>
          </w:p>
          <w:p>
            <w:pPr>
              <w:spacing w:line="360" w:lineRule="auto"/>
              <w:ind w:firstLine="482" w:firstLineChars="200"/>
              <w:rPr>
                <w:b/>
              </w:rPr>
            </w:pPr>
            <w:r>
              <w:rPr>
                <w:rFonts w:hint="eastAsia"/>
                <w:b/>
              </w:rPr>
              <w:t xml:space="preserve">（2）与《中华人民共和国自然保护区条例》、《湖南东洞庭湖国家级自然保护区总体规划》协调性分析 </w:t>
            </w:r>
          </w:p>
          <w:p>
            <w:pPr>
              <w:spacing w:line="360" w:lineRule="auto"/>
              <w:ind w:firstLine="465"/>
              <w:rPr>
                <w:rFonts w:ascii="宋体" w:hAnsi="宋体"/>
              </w:rPr>
            </w:pPr>
            <w:r>
              <w:rPr>
                <w:rFonts w:hint="eastAsia" w:ascii="宋体" w:hAnsi="宋体"/>
              </w:rPr>
              <w:t>根据《中华人民共和国自然保护区条例》（以下简称条例），有关管理内容如下：</w:t>
            </w:r>
          </w:p>
          <w:p>
            <w:pPr>
              <w:spacing w:line="360" w:lineRule="auto"/>
              <w:ind w:firstLine="465"/>
            </w:pPr>
            <w:r>
              <w:rPr>
                <w:rFonts w:hAnsi="宋体"/>
              </w:rPr>
              <w:t>第三十二条：在自然保护区的核心区和缓冲区内，不得建设任何生产设施。在自然保护区的实验区内，不得建设污染环境、破坏资源或者景观的生产设施；建设其他项目，其污染物排放不得超过国家和地方规定的污染物排放标准。在自然保护区的外围保护地带建设的项目，不得损害自然保护区内的环境质量；已造成损害的</w:t>
            </w:r>
            <w:r>
              <w:rPr>
                <w:rFonts w:hint="eastAsia" w:hAnsi="宋体"/>
              </w:rPr>
              <w:t>，</w:t>
            </w:r>
            <w:r>
              <w:rPr>
                <w:rFonts w:hAnsi="宋体"/>
              </w:rPr>
              <w:t>应当限期治理。</w:t>
            </w:r>
          </w:p>
          <w:p>
            <w:pPr>
              <w:spacing w:line="360" w:lineRule="auto"/>
              <w:ind w:firstLine="480" w:firstLineChars="200"/>
            </w:pPr>
            <w:r>
              <w:rPr>
                <w:rFonts w:hint="eastAsia"/>
              </w:rPr>
              <w:t>根据《湖南东洞庭湖国家级自然保护区总体规划》（2016-2025）：</w:t>
            </w:r>
            <w:r>
              <w:t xml:space="preserve"> </w:t>
            </w:r>
          </w:p>
          <w:p>
            <w:pPr>
              <w:spacing w:line="360" w:lineRule="auto"/>
            </w:pPr>
            <w:r>
              <w:rPr>
                <w:rFonts w:hint="eastAsia"/>
              </w:rPr>
              <w:t xml:space="preserve">    对自然保护区内的整个自然环境资源、湿地生物资源和人文景观资源实行全面保护。长久维持一个稳定、健康，功能多样的湿地生态系统，成为永久保持具有全球影响的生物多样性热点地区。</w:t>
            </w:r>
          </w:p>
          <w:p>
            <w:pPr>
              <w:spacing w:line="360" w:lineRule="auto"/>
              <w:ind w:firstLine="480" w:firstLineChars="200"/>
            </w:pPr>
            <w:r>
              <w:rPr>
                <w:rFonts w:hint="eastAsia"/>
              </w:rPr>
              <w:t>实验区在不破坏自然环境，不影响资源保护的前提下，为社会提供生态旅游，科学考察，环境教育等多种经营的场所。</w:t>
            </w:r>
          </w:p>
          <w:p>
            <w:pPr>
              <w:spacing w:line="360" w:lineRule="auto"/>
              <w:ind w:firstLine="465"/>
              <w:rPr>
                <w:rFonts w:hAnsi="宋体"/>
              </w:rPr>
            </w:pPr>
            <w:r>
              <w:rPr>
                <w:rFonts w:hint="eastAsia" w:hAnsi="宋体"/>
              </w:rPr>
              <w:t>根据前述分析可知，本项目取水工程（依托）、新铺设管道段</w:t>
            </w:r>
            <w:r>
              <w:rPr>
                <w:rFonts w:hAnsi="宋体"/>
              </w:rPr>
              <w:t>位于湖南东洞庭湖国家级自然保护区实验区</w:t>
            </w:r>
            <w:r>
              <w:rPr>
                <w:rFonts w:hint="eastAsia" w:hAnsi="宋体"/>
              </w:rPr>
              <w:t>。</w:t>
            </w:r>
          </w:p>
          <w:p>
            <w:pPr>
              <w:spacing w:line="360" w:lineRule="auto"/>
              <w:ind w:firstLine="465"/>
              <w:rPr>
                <w:rFonts w:hAnsi="宋体"/>
              </w:rPr>
            </w:pPr>
            <w:r>
              <w:rPr>
                <w:rFonts w:hint="eastAsia" w:hAnsi="宋体"/>
              </w:rPr>
              <w:t>项目属于城镇安全饮水工程，不属于污染环境、破坏资源或者景观的开发建设项目，工程的实施可保障君山区许市镇、广兴洲镇居民饮水安全。</w:t>
            </w:r>
          </w:p>
          <w:p>
            <w:pPr>
              <w:spacing w:line="360" w:lineRule="auto"/>
              <w:ind w:firstLine="480" w:firstLineChars="200"/>
              <w:rPr>
                <w:rFonts w:hAnsi="宋体"/>
              </w:rPr>
            </w:pPr>
            <w:r>
              <w:rPr>
                <w:rFonts w:hint="eastAsia" w:hAnsi="宋体"/>
              </w:rPr>
              <w:t>工程依托洪水港取水泵站和原有输水管线，新铺设输水管线工程量不大，开挖后土方全部回填，施工期短，对周边工程影响不大。因此，工程建设与《湖南东洞庭湖国家级自然保护区总体规划》是相符的（项目建设依托工程（洪水港取水泵站）已经获得湖南东洞庭湖自然保护区管理局许可）。</w:t>
            </w:r>
          </w:p>
          <w:p>
            <w:pPr>
              <w:spacing w:line="360" w:lineRule="auto"/>
              <w:ind w:firstLine="482" w:firstLineChars="200"/>
              <w:rPr>
                <w:b/>
              </w:rPr>
            </w:pPr>
            <w:r>
              <w:rPr>
                <w:rFonts w:hint="eastAsia"/>
                <w:b/>
              </w:rPr>
              <w:t>（3）与《水产种质资源保护区暂行办法》协调性分析</w:t>
            </w:r>
          </w:p>
          <w:p>
            <w:pPr>
              <w:spacing w:line="360" w:lineRule="auto"/>
              <w:ind w:firstLine="465"/>
            </w:pPr>
            <w:r>
              <w:t>2011</w:t>
            </w:r>
            <w:r>
              <w:rPr>
                <w:rFonts w:hAnsi="宋体"/>
              </w:rPr>
              <w:t>年</w:t>
            </w:r>
            <w:r>
              <w:t>3</w:t>
            </w:r>
            <w:r>
              <w:rPr>
                <w:rFonts w:hAnsi="宋体"/>
              </w:rPr>
              <w:t>月</w:t>
            </w:r>
            <w:r>
              <w:t>1</w:t>
            </w:r>
            <w:r>
              <w:rPr>
                <w:rFonts w:hAnsi="宋体"/>
              </w:rPr>
              <w:t>日起施行的《水产种质资源保护区管理暂行办法》中规定：</w:t>
            </w:r>
            <w:r>
              <w:t xml:space="preserve"> </w:t>
            </w:r>
          </w:p>
          <w:p>
            <w:pPr>
              <w:spacing w:line="360" w:lineRule="auto"/>
              <w:ind w:firstLine="465"/>
            </w:pPr>
            <w:r>
              <w:rPr>
                <w:rFonts w:hAnsi="宋体"/>
              </w:rPr>
              <w:t>第十七条：在水产种质资源保护区内从事修建水利工程、疏浚航道、建闸筑坝、勘探和开采矿产资源、港口建设等工程建设的，或者在水产种质资源保护区外从事可能损害保护区功能的工程建设活动的，应当按照国家有关规定编制建设项目对水产种质资源保护区的影响专题论证报告，并将其纳入环境影响评价报告书。</w:t>
            </w:r>
          </w:p>
          <w:p>
            <w:pPr>
              <w:spacing w:line="360" w:lineRule="auto"/>
              <w:ind w:firstLine="465"/>
            </w:pPr>
            <w:r>
              <w:rPr>
                <w:rFonts w:hAnsi="宋体"/>
              </w:rPr>
              <w:t>第十八条：省级以上人民政府渔业行政主管部门应当依法参与涉及水产种质资源保护区的建设项目环境影响评价，组织专家审查建设项目对水产种质资源保护区的影响专题论证报告，并根据审查结论向建设单位和环境影响评价主管部门出具意见。</w:t>
            </w:r>
          </w:p>
          <w:p>
            <w:pPr>
              <w:spacing w:line="360" w:lineRule="auto"/>
              <w:ind w:firstLine="465"/>
            </w:pPr>
            <w:r>
              <w:rPr>
                <w:rFonts w:hAnsi="宋体"/>
              </w:rPr>
              <w:t>第二十条：禁止在水产种质资源保护区内从事围湖造田、围海造地或围填海工程。</w:t>
            </w:r>
            <w:r>
              <w:t xml:space="preserve"> </w:t>
            </w:r>
          </w:p>
          <w:p>
            <w:pPr>
              <w:spacing w:line="360" w:lineRule="auto"/>
              <w:ind w:firstLine="465"/>
            </w:pPr>
            <w:r>
              <w:rPr>
                <w:rFonts w:hAnsi="宋体"/>
              </w:rPr>
              <w:t>第二十一条：禁止在水产种质资源保护区内新建排污口。在水产种质资源保护区附近新建、改建、扩建排污口，应当保证保护区水体不受污染。</w:t>
            </w:r>
          </w:p>
          <w:p>
            <w:pPr>
              <w:spacing w:line="360" w:lineRule="auto"/>
              <w:ind w:firstLine="360" w:firstLineChars="150"/>
            </w:pPr>
            <w:r>
              <w:t xml:space="preserve"> 本</w:t>
            </w:r>
            <w:r>
              <w:rPr>
                <w:rFonts w:hint="eastAsia"/>
              </w:rPr>
              <w:t>项目依托工程，洪水港取水口位于</w:t>
            </w:r>
            <w:r>
              <w:t>长江监利段四大家鱼国家级水产种质资源保护区</w:t>
            </w:r>
            <w:r>
              <w:rPr>
                <w:rFonts w:hint="eastAsia"/>
              </w:rPr>
              <w:t>实验区</w:t>
            </w:r>
            <w:r>
              <w:rPr>
                <w:bCs/>
              </w:rPr>
              <w:t>。</w:t>
            </w:r>
            <w:r>
              <w:rPr>
                <w:rFonts w:hint="eastAsia"/>
              </w:rPr>
              <w:t>取水工程内容：在洪水港闸下游</w:t>
            </w:r>
            <w:r>
              <w:t>1K</w:t>
            </w:r>
            <w:r>
              <w:rPr>
                <w:rFonts w:hint="eastAsia"/>
              </w:rPr>
              <w:t>m处右岸，新建取水浮船泵站,从长江取水，经过压力输水钢管及输水箱涵输送至一支渠。</w:t>
            </w:r>
          </w:p>
          <w:p>
            <w:pPr>
              <w:spacing w:line="360" w:lineRule="auto"/>
              <w:ind w:firstLine="360" w:firstLineChars="150"/>
            </w:pPr>
            <w:r>
              <w:rPr>
                <w:rFonts w:hint="eastAsia" w:ascii="宋体" w:hAnsi="宋体"/>
              </w:rPr>
              <w:t>工程属于非污染生态类项目。工程对环境的影响主要是取水工程水下施工所引起的水体悬浮物浓度间歇性上升。总体而言，这种影响是局部的、有限的、暂时的。同时，施工人员生活垃圾、生活污水依托当地设施收集、处理，注意生产废料的回收清理并加以再利用，</w:t>
            </w:r>
            <w:r>
              <w:rPr>
                <w:rFonts w:hint="eastAsia" w:hAnsi="宋体"/>
                <w:kern w:val="13"/>
              </w:rPr>
              <w:t>总体而言，施工对保护区影响甚微。</w:t>
            </w:r>
            <w:r>
              <w:rPr>
                <w:rFonts w:hint="eastAsia" w:ascii="宋体" w:hAnsi="宋体"/>
              </w:rPr>
              <w:t xml:space="preserve"> </w:t>
            </w:r>
          </w:p>
          <w:p>
            <w:pPr>
              <w:spacing w:line="360" w:lineRule="auto"/>
              <w:ind w:firstLine="465"/>
              <w:rPr>
                <w:rFonts w:ascii="宋体" w:hAnsi="宋体"/>
              </w:rPr>
            </w:pPr>
            <w:r>
              <w:rPr>
                <w:rFonts w:hint="eastAsia" w:ascii="宋体" w:hAnsi="宋体"/>
              </w:rPr>
              <w:t>因此，项目涉及</w:t>
            </w:r>
            <w:r>
              <w:rPr>
                <w:rFonts w:ascii="宋体" w:hAnsi="宋体"/>
              </w:rPr>
              <w:t>长江监利段四大家鱼国家级水产种质资源保护区</w:t>
            </w:r>
            <w:r>
              <w:rPr>
                <w:rFonts w:hint="eastAsia" w:ascii="宋体" w:hAnsi="宋体"/>
              </w:rPr>
              <w:t>实验区，工程建设与《水产种质资源保护区管理暂行办法》规定相协调。</w:t>
            </w:r>
          </w:p>
          <w:p>
            <w:pPr>
              <w:spacing w:line="360" w:lineRule="auto"/>
              <w:ind w:firstLine="482" w:firstLineChars="200"/>
              <w:rPr>
                <w:b/>
              </w:rPr>
            </w:pPr>
            <w:r>
              <w:rPr>
                <w:rFonts w:hint="eastAsia"/>
                <w:b/>
              </w:rPr>
              <w:t>（4）与《关于进一步加强水生生物资源保护严格环境影响评价管理的通知》协调性分析</w:t>
            </w:r>
          </w:p>
          <w:p>
            <w:pPr>
              <w:spacing w:line="360" w:lineRule="auto"/>
              <w:ind w:firstLine="465"/>
              <w:rPr>
                <w:rFonts w:ascii="宋体" w:hAnsi="宋体"/>
              </w:rPr>
            </w:pPr>
            <w:r>
              <w:rPr>
                <w:rFonts w:hint="eastAsia" w:ascii="宋体" w:hAnsi="宋体"/>
              </w:rPr>
              <w:t>根据环境</w:t>
            </w:r>
            <w:r>
              <w:rPr>
                <w:rFonts w:hAnsi="宋体"/>
              </w:rPr>
              <w:t>保护部、农业部</w:t>
            </w:r>
            <w:r>
              <w:t xml:space="preserve"> 2013 </w:t>
            </w:r>
            <w:r>
              <w:rPr>
                <w:rFonts w:hAnsi="宋体"/>
              </w:rPr>
              <w:t>年</w:t>
            </w:r>
            <w:r>
              <w:t>8</w:t>
            </w:r>
            <w:r>
              <w:rPr>
                <w:rFonts w:hAnsi="宋体"/>
              </w:rPr>
              <w:t>月</w:t>
            </w:r>
            <w:r>
              <w:t>5</w:t>
            </w:r>
            <w:r>
              <w:rPr>
                <w:rFonts w:hAnsi="宋体"/>
              </w:rPr>
              <w:t>日发布的《关于进一步加强水生生物资源保护严格环境影响评价管理的通知》（环发</w:t>
            </w:r>
            <w:r>
              <w:t xml:space="preserve">[2013]86 </w:t>
            </w:r>
            <w:r>
              <w:rPr>
                <w:rFonts w:hAnsi="宋体"/>
              </w:rPr>
              <w:t>号），对</w:t>
            </w:r>
            <w:r>
              <w:rPr>
                <w:rFonts w:hint="eastAsia" w:ascii="宋体" w:hAnsi="宋体"/>
              </w:rPr>
              <w:t>保护区功能有损害的工程建设应当按照国家有关规定进行专题评价或论证。</w:t>
            </w:r>
          </w:p>
          <w:p>
            <w:pPr>
              <w:spacing w:line="360" w:lineRule="auto"/>
              <w:ind w:firstLine="465"/>
              <w:rPr>
                <w:rFonts w:ascii="宋体" w:hAnsi="宋体"/>
              </w:rPr>
            </w:pPr>
            <w:r>
              <w:rPr>
                <w:rFonts w:hint="eastAsia" w:ascii="宋体" w:hAnsi="宋体"/>
              </w:rPr>
              <w:t>结合工程建设与《中华人民共和国自然保护区条例》、《水产种质资源保护区暂行办法》的协调性分析，本工程已按照国家有关规定委托相关单位编制相关生态影响评价专题报告。因此，工程建设与《关于进一步加强水生生物资源保护严格环境影响评价管理的通知》相协调。</w:t>
            </w:r>
          </w:p>
          <w:p>
            <w:pPr>
              <w:spacing w:line="360" w:lineRule="auto"/>
              <w:ind w:firstLine="482" w:firstLineChars="200"/>
              <w:rPr>
                <w:b/>
              </w:rPr>
            </w:pPr>
            <w:r>
              <w:rPr>
                <w:rFonts w:hint="eastAsia"/>
                <w:b/>
              </w:rPr>
              <w:t>（5）与《中华人民共和国野生动物保护法》协调性分析</w:t>
            </w:r>
          </w:p>
          <w:p>
            <w:pPr>
              <w:spacing w:line="360" w:lineRule="auto"/>
              <w:ind w:firstLine="465"/>
              <w:rPr>
                <w:rFonts w:ascii="宋体" w:hAnsi="宋体"/>
              </w:rPr>
            </w:pPr>
            <w:r>
              <w:rPr>
                <w:rFonts w:hint="eastAsia" w:ascii="宋体" w:hAnsi="宋体"/>
              </w:rPr>
              <w:t xml:space="preserve"> 根据《中华人民共和国野生动物保护法》：</w:t>
            </w:r>
          </w:p>
          <w:p>
            <w:pPr>
              <w:spacing w:line="360" w:lineRule="auto"/>
              <w:ind w:firstLine="465"/>
              <w:rPr>
                <w:rFonts w:ascii="宋体" w:hAnsi="宋体"/>
              </w:rPr>
            </w:pPr>
            <w:r>
              <w:rPr>
                <w:rFonts w:hint="eastAsia" w:ascii="宋体" w:hAnsi="宋体"/>
              </w:rPr>
              <w:t>第八条 国家保护野生动物及其生存环境，禁止任何单位和个人非法猎捕或者破坏。</w:t>
            </w:r>
          </w:p>
          <w:p>
            <w:pPr>
              <w:spacing w:line="360" w:lineRule="auto"/>
              <w:ind w:firstLine="465"/>
              <w:rPr>
                <w:rFonts w:ascii="宋体" w:hAnsi="宋体"/>
              </w:rPr>
            </w:pPr>
            <w:r>
              <w:rPr>
                <w:rFonts w:hint="eastAsia" w:ascii="宋体" w:hAnsi="宋体"/>
              </w:rPr>
              <w:t>第十二条 建设项目对国家或者地方重点保护野生动物的生存环境产生不利影响的，建设单位应当提交环境影响报告书；环境保护部门在审批时，应当征求同级野生 动物行政主管部门的意见。</w:t>
            </w:r>
          </w:p>
          <w:p>
            <w:pPr>
              <w:spacing w:line="360" w:lineRule="auto"/>
              <w:ind w:firstLine="465"/>
              <w:rPr>
                <w:rFonts w:hint="default" w:ascii="Times New Roman" w:hAnsi="Times New Roman" w:cs="Times New Roman"/>
              </w:rPr>
            </w:pPr>
            <w:r>
              <w:rPr>
                <w:rFonts w:hint="eastAsia" w:ascii="宋体" w:hAnsi="宋体"/>
              </w:rPr>
              <w:t>第十六条 禁止猎捕、杀害国家重点保护野生动物。因科学研究、驯养繁殖、展览或者</w:t>
            </w:r>
            <w:r>
              <w:rPr>
                <w:rFonts w:hint="default" w:ascii="Times New Roman" w:hAnsi="Times New Roman" w:cs="Times New Roman"/>
              </w:rPr>
              <w:t>其他特殊情况，需要捕捉、捕捞国家一级保护野生动物的，必须向国务院野生动物行政主管部门申请特许猎捕证；猎捕国家二级保护野生动物的，必须向省、自治 区、直辖市政府野生动物行政主管部门申请特许猎捕证。</w:t>
            </w:r>
          </w:p>
          <w:p>
            <w:pPr>
              <w:spacing w:line="360" w:lineRule="auto"/>
              <w:ind w:firstLine="465"/>
              <w:rPr>
                <w:rFonts w:ascii="宋体" w:hAnsi="宋体"/>
              </w:rPr>
            </w:pPr>
            <w:r>
              <w:rPr>
                <w:rFonts w:hint="default" w:ascii="Times New Roman" w:hAnsi="Times New Roman" w:cs="Times New Roman"/>
              </w:rPr>
              <w:t>本工程呈线性分布于西干渠沿线，两条管线平行铺设间距500m，长度分别为2.6</w:t>
            </w:r>
            <w:r>
              <w:rPr>
                <w:rFonts w:hint="eastAsia" w:ascii="Times New Roman" w:hAnsi="Times New Roman" w:cs="Times New Roman"/>
                <w:lang w:val="en-US" w:eastAsia="zh-CN"/>
              </w:rPr>
              <w:t>k</w:t>
            </w:r>
            <w:r>
              <w:rPr>
                <w:rFonts w:hint="default" w:ascii="Times New Roman" w:hAnsi="Times New Roman" w:cs="Times New Roman"/>
              </w:rPr>
              <w:t>m</w:t>
            </w:r>
            <w:r>
              <w:rPr>
                <w:rFonts w:hint="eastAsia" w:ascii="Times New Roman" w:hAnsi="Times New Roman" w:cs="Times New Roman"/>
                <w:lang w:val="en-US" w:eastAsia="zh-CN"/>
              </w:rPr>
              <w:t>,</w:t>
            </w:r>
            <w:r>
              <w:rPr>
                <w:rFonts w:hint="default" w:ascii="Times New Roman" w:hAnsi="Times New Roman" w:cs="Times New Roman"/>
              </w:rPr>
              <w:t xml:space="preserve">2.2 </w:t>
            </w:r>
            <w:r>
              <w:rPr>
                <w:rFonts w:hint="eastAsia" w:ascii="Times New Roman" w:hAnsi="Times New Roman" w:cs="Times New Roman"/>
                <w:lang w:val="en-US" w:eastAsia="zh-CN"/>
              </w:rPr>
              <w:t>k</w:t>
            </w:r>
            <w:r>
              <w:rPr>
                <w:rFonts w:hint="default" w:ascii="Times New Roman" w:hAnsi="Times New Roman" w:cs="Times New Roman"/>
              </w:rPr>
              <w:t>m，总用地面积4160m</w:t>
            </w:r>
            <w:r>
              <w:rPr>
                <w:rFonts w:hint="default" w:ascii="Times New Roman" w:hAnsi="Times New Roman" w:cs="Times New Roman"/>
                <w:vertAlign w:val="superscript"/>
              </w:rPr>
              <w:t>2</w:t>
            </w:r>
            <w:r>
              <w:rPr>
                <w:rFonts w:hint="default" w:ascii="Times New Roman" w:hAnsi="Times New Roman" w:cs="Times New Roman"/>
              </w:rPr>
              <w:t>，工程量、占地面积小，对野生动物及其生境的影响具有范围小、时间短的特点。施工区周边还分布有大量同类型的生境，野生动物在受到施工活动影响后，一般都具有规避能力和适应能力，能在周边找到适宜生境。因此，施工不会对野生动物的生存环境造成明显不利影响。施工期间还将加强施工人员保护野生动物常识的宣传，使</w:t>
            </w:r>
            <w:r>
              <w:rPr>
                <w:rFonts w:hint="eastAsia" w:ascii="宋体" w:hAnsi="宋体"/>
              </w:rPr>
              <w:t>其能自觉保护野生动物，不会出现猎捕、杀害野生动物的情况。因此，工程建设与《中华人民共和国野生动物保护法》相协调。</w:t>
            </w:r>
          </w:p>
          <w:p>
            <w:pPr>
              <w:spacing w:line="360" w:lineRule="auto"/>
              <w:ind w:firstLine="482" w:firstLineChars="200"/>
              <w:rPr>
                <w:b/>
              </w:rPr>
            </w:pPr>
            <w:r>
              <w:rPr>
                <w:rFonts w:hint="eastAsia"/>
                <w:b/>
              </w:rPr>
              <w:t>（6）与《中华人民共和国水污染防治法》及《饮用水水源保护区污染防治管理规定》协调性分析</w:t>
            </w:r>
          </w:p>
          <w:p>
            <w:pPr>
              <w:spacing w:line="360" w:lineRule="auto"/>
              <w:ind w:firstLine="465"/>
              <w:rPr>
                <w:rFonts w:ascii="宋体" w:hAnsi="宋体"/>
              </w:rPr>
            </w:pPr>
            <w:r>
              <w:rPr>
                <w:rFonts w:hint="eastAsia" w:ascii="宋体" w:hAnsi="宋体"/>
              </w:rPr>
              <w:t>根据《中华人民共和国水污染防治法》，与水源保护区有关的规定有：</w:t>
            </w:r>
          </w:p>
          <w:p>
            <w:pPr>
              <w:spacing w:line="360" w:lineRule="auto"/>
              <w:ind w:firstLine="465"/>
              <w:rPr>
                <w:rFonts w:ascii="宋体" w:hAnsi="宋体"/>
              </w:rPr>
            </w:pPr>
            <w:r>
              <w:rPr>
                <w:rFonts w:hint="eastAsia" w:ascii="宋体" w:hAnsi="宋体"/>
              </w:rPr>
              <w:t>第五十八条</w:t>
            </w:r>
            <w:r>
              <w:rPr>
                <w:rFonts w:hint="eastAsia" w:ascii="宋体" w:hAnsi="宋体"/>
              </w:rPr>
              <w:tab/>
            </w:r>
            <w:r>
              <w:rPr>
                <w:rFonts w:hint="eastAsia" w:ascii="宋体" w:hAnsi="宋体"/>
              </w:rPr>
              <w:t xml:space="preserve"> 禁止在饮用水水源一级保护区内新建、改建、扩建与供水设施和保护水源无关的建设项目；已建成的与供水设施和保护水源无关的建设项目，由县级以上人民政府责令拆除或者关闭。</w:t>
            </w:r>
          </w:p>
          <w:p>
            <w:pPr>
              <w:spacing w:line="360" w:lineRule="auto"/>
              <w:ind w:firstLine="465"/>
              <w:rPr>
                <w:rFonts w:ascii="宋体" w:hAnsi="宋体"/>
              </w:rPr>
            </w:pPr>
            <w:r>
              <w:rPr>
                <w:rFonts w:hint="eastAsia" w:ascii="宋体" w:hAnsi="宋体"/>
              </w:rPr>
              <w:t>禁止在饮用水水源一级保护区内从事网箱养殖、旅游、游泳、垂钓或者其他可能污染饮用水水体的活动。</w:t>
            </w:r>
          </w:p>
          <w:p>
            <w:pPr>
              <w:spacing w:line="360" w:lineRule="auto"/>
              <w:ind w:firstLine="465"/>
              <w:rPr>
                <w:rFonts w:ascii="宋体" w:hAnsi="宋体"/>
              </w:rPr>
            </w:pPr>
            <w:r>
              <w:rPr>
                <w:rFonts w:hint="eastAsia" w:ascii="宋体" w:hAnsi="宋体"/>
              </w:rPr>
              <w:t>第五十九条 禁止在饮用水水源二级保护区内新建、改建、扩建排放污染物的建设项目；已建成的排放污染物的建设项目，由县级以上人民政府责令拆除或者关闭。</w:t>
            </w:r>
          </w:p>
          <w:p>
            <w:pPr>
              <w:spacing w:line="360" w:lineRule="auto"/>
              <w:ind w:firstLine="465"/>
              <w:rPr>
                <w:rFonts w:ascii="宋体" w:hAnsi="宋体"/>
              </w:rPr>
            </w:pPr>
            <w:r>
              <w:rPr>
                <w:rFonts w:hint="eastAsia" w:ascii="宋体" w:hAnsi="宋体"/>
              </w:rPr>
              <w:t>在饮用水水源二级保护区内从事网箱养殖、旅游等活动的，应当按照规定采取措施， 防止污染饮用水水体。</w:t>
            </w:r>
          </w:p>
          <w:p>
            <w:pPr>
              <w:spacing w:line="360" w:lineRule="auto"/>
              <w:ind w:firstLine="465"/>
              <w:rPr>
                <w:rFonts w:ascii="宋体" w:hAnsi="宋体"/>
              </w:rPr>
            </w:pPr>
            <w:r>
              <w:rPr>
                <w:rFonts w:hint="eastAsia" w:ascii="宋体" w:hAnsi="宋体"/>
              </w:rPr>
              <w:t>第六十条</w:t>
            </w:r>
            <w:r>
              <w:rPr>
                <w:rFonts w:hint="eastAsia" w:ascii="宋体" w:hAnsi="宋体"/>
              </w:rPr>
              <w:tab/>
            </w:r>
            <w:r>
              <w:rPr>
                <w:rFonts w:hint="eastAsia" w:ascii="宋体" w:hAnsi="宋体"/>
              </w:rPr>
              <w:t>禁止在饮用水水源准保护区内新建、扩建对水体污染严重的建设项目； 改建建设项目，不得增加排污量。</w:t>
            </w:r>
          </w:p>
          <w:p>
            <w:pPr>
              <w:spacing w:line="360" w:lineRule="auto"/>
              <w:ind w:firstLine="465"/>
            </w:pPr>
            <w:r>
              <w:rPr>
                <w:rFonts w:hAnsi="宋体"/>
              </w:rPr>
              <w:t>根据《饮用水水源保护区污染防治管理规定》（</w:t>
            </w:r>
            <w:r>
              <w:t>2010</w:t>
            </w:r>
            <w:r>
              <w:rPr>
                <w:rFonts w:hAnsi="宋体"/>
              </w:rPr>
              <w:t>年</w:t>
            </w:r>
            <w:r>
              <w:t>12</w:t>
            </w:r>
            <w:r>
              <w:rPr>
                <w:rFonts w:hAnsi="宋体"/>
              </w:rPr>
              <w:t>月</w:t>
            </w:r>
            <w:r>
              <w:t>22</w:t>
            </w:r>
            <w:r>
              <w:rPr>
                <w:rFonts w:hAnsi="宋体"/>
              </w:rPr>
              <w:t>日修正），水源保护区有关的规定有：</w:t>
            </w:r>
          </w:p>
          <w:p>
            <w:pPr>
              <w:spacing w:line="360" w:lineRule="auto"/>
              <w:ind w:firstLine="465"/>
            </w:pPr>
            <w:r>
              <w:rPr>
                <w:rFonts w:hAnsi="宋体"/>
              </w:rPr>
              <w:t>第十一条　饮用水地表水源各级保护区及准保护区内均必须遵守下列规定：</w:t>
            </w:r>
          </w:p>
          <w:p>
            <w:pPr>
              <w:spacing w:line="360" w:lineRule="auto"/>
              <w:ind w:firstLine="465"/>
            </w:pPr>
            <w:r>
              <w:rPr>
                <w:rFonts w:hAnsi="宋体"/>
              </w:rPr>
              <w:t>一、禁止一切破坏水环境生态平衡的活动以及破坏水源林、护岸林、与水源保护相关植被的活动。</w:t>
            </w:r>
          </w:p>
          <w:p>
            <w:pPr>
              <w:spacing w:line="360" w:lineRule="auto"/>
              <w:ind w:firstLine="465"/>
            </w:pPr>
            <w:r>
              <w:rPr>
                <w:rFonts w:hAnsi="宋体"/>
              </w:rPr>
              <w:t>二、禁止向水域倾倒工业废渣、城市垃圾、粪便及其它废弃物。</w:t>
            </w:r>
          </w:p>
          <w:p>
            <w:pPr>
              <w:spacing w:line="360" w:lineRule="auto"/>
              <w:ind w:firstLine="465"/>
            </w:pPr>
            <w:r>
              <w:rPr>
                <w:rFonts w:hAnsi="宋体"/>
              </w:rPr>
              <w:t>三、运输有毒有害物质、油类、粪便的船舶和车辆一般不准进入保护区，必须进入者应事先申请并经有关部门批准、登记并设置防渗、防溢、防漏设施。</w:t>
            </w:r>
          </w:p>
          <w:p>
            <w:pPr>
              <w:spacing w:line="360" w:lineRule="auto"/>
              <w:ind w:firstLine="465"/>
            </w:pPr>
            <w:r>
              <w:rPr>
                <w:rFonts w:hAnsi="宋体"/>
              </w:rPr>
              <w:t>四、禁止使用剧毒和高残留农药，不得滥用化肥，不得使用炸药、毒品捕杀鱼类。</w:t>
            </w:r>
          </w:p>
          <w:p>
            <w:pPr>
              <w:spacing w:line="360" w:lineRule="auto"/>
              <w:ind w:firstLine="465"/>
            </w:pPr>
            <w:r>
              <w:rPr>
                <w:rFonts w:hAnsi="宋体"/>
              </w:rPr>
              <w:t>第十二条　饮用水地表水源各级保护区及准保护区内必须分别遵守下列规定：</w:t>
            </w:r>
          </w:p>
          <w:p>
            <w:pPr>
              <w:spacing w:line="360" w:lineRule="auto"/>
              <w:ind w:firstLine="465"/>
            </w:pPr>
            <w:r>
              <w:rPr>
                <w:rFonts w:hAnsi="宋体"/>
              </w:rPr>
              <w:t>一、一级保护区内</w:t>
            </w:r>
          </w:p>
          <w:p>
            <w:pPr>
              <w:spacing w:line="360" w:lineRule="auto"/>
              <w:ind w:firstLine="465"/>
            </w:pPr>
            <w:r>
              <w:rPr>
                <w:rFonts w:hAnsi="宋体"/>
              </w:rPr>
              <w:t>禁止新建、扩建与供水设施和保护水源无关的建设项目；</w:t>
            </w:r>
          </w:p>
          <w:p>
            <w:pPr>
              <w:spacing w:line="360" w:lineRule="auto"/>
              <w:ind w:firstLine="465"/>
            </w:pPr>
            <w:r>
              <w:rPr>
                <w:rFonts w:hAnsi="宋体"/>
              </w:rPr>
              <w:t>禁止向水域排放污水，已设置的排污口必须拆除；</w:t>
            </w:r>
          </w:p>
          <w:p>
            <w:pPr>
              <w:spacing w:line="360" w:lineRule="auto"/>
              <w:ind w:firstLine="465"/>
            </w:pPr>
            <w:r>
              <w:rPr>
                <w:rFonts w:hAnsi="宋体"/>
              </w:rPr>
              <w:t>不得设置与供水需要无关的码头，禁止停靠船舶；</w:t>
            </w:r>
          </w:p>
          <w:p>
            <w:pPr>
              <w:spacing w:line="360" w:lineRule="auto"/>
              <w:ind w:firstLine="465"/>
            </w:pPr>
            <w:r>
              <w:rPr>
                <w:rFonts w:hAnsi="宋体"/>
              </w:rPr>
              <w:t>禁止堆置和存放工业废渣、城市垃圾、粪便和其他废弃物；</w:t>
            </w:r>
          </w:p>
          <w:p>
            <w:pPr>
              <w:spacing w:line="360" w:lineRule="auto"/>
              <w:ind w:firstLine="465"/>
            </w:pPr>
            <w:r>
              <w:rPr>
                <w:rFonts w:hAnsi="宋体"/>
              </w:rPr>
              <w:t>禁止设置油库；</w:t>
            </w:r>
          </w:p>
          <w:p>
            <w:pPr>
              <w:spacing w:line="360" w:lineRule="auto"/>
              <w:ind w:firstLine="465"/>
            </w:pPr>
            <w:r>
              <w:rPr>
                <w:rFonts w:hAnsi="宋体"/>
              </w:rPr>
              <w:t>禁止从事种植、放养畜禽和网箱养殖活动；</w:t>
            </w:r>
          </w:p>
          <w:p>
            <w:pPr>
              <w:spacing w:line="360" w:lineRule="auto"/>
              <w:ind w:firstLine="465"/>
            </w:pPr>
            <w:r>
              <w:rPr>
                <w:rFonts w:hAnsi="宋体"/>
              </w:rPr>
              <w:t>禁止可能污染水源的旅游活动和其他活动。</w:t>
            </w:r>
          </w:p>
          <w:p>
            <w:pPr>
              <w:spacing w:line="360" w:lineRule="auto"/>
              <w:ind w:firstLine="465"/>
            </w:pPr>
            <w:r>
              <w:rPr>
                <w:rFonts w:hAnsi="宋体"/>
              </w:rPr>
              <w:t>二、二级保护区内</w:t>
            </w:r>
          </w:p>
          <w:p>
            <w:pPr>
              <w:spacing w:line="360" w:lineRule="auto"/>
              <w:ind w:firstLine="465"/>
            </w:pPr>
            <w:r>
              <w:rPr>
                <w:rFonts w:hAnsi="宋体"/>
              </w:rPr>
              <w:t>禁止新建、改建、扩建排放污染物的建设项目；</w:t>
            </w:r>
          </w:p>
          <w:p>
            <w:pPr>
              <w:spacing w:line="360" w:lineRule="auto"/>
              <w:ind w:firstLine="465"/>
            </w:pPr>
            <w:r>
              <w:rPr>
                <w:rFonts w:hAnsi="宋体"/>
              </w:rPr>
              <w:t>原有排污口依法拆除或者关闭；</w:t>
            </w:r>
          </w:p>
          <w:p>
            <w:pPr>
              <w:spacing w:line="360" w:lineRule="auto"/>
              <w:ind w:firstLine="465"/>
            </w:pPr>
            <w:r>
              <w:rPr>
                <w:rFonts w:hAnsi="宋体"/>
              </w:rPr>
              <w:t>禁止设立装卸垃圾、粪便、油类和有毒物品的码头。</w:t>
            </w:r>
          </w:p>
          <w:p>
            <w:pPr>
              <w:spacing w:line="360" w:lineRule="auto"/>
              <w:ind w:firstLine="465"/>
            </w:pPr>
            <w:r>
              <w:rPr>
                <w:rFonts w:hAnsi="宋体"/>
              </w:rPr>
              <w:t>三、准保护区内</w:t>
            </w:r>
          </w:p>
          <w:p>
            <w:pPr>
              <w:spacing w:line="360" w:lineRule="auto"/>
              <w:ind w:firstLine="465"/>
            </w:pPr>
            <w:r>
              <w:rPr>
                <w:rFonts w:hAnsi="宋体"/>
              </w:rPr>
              <w:t>禁止新建、扩建对水体污染严重的建设项目；改建建设项目，不得增加排污量。</w:t>
            </w:r>
          </w:p>
          <w:p>
            <w:pPr>
              <w:spacing w:line="360" w:lineRule="auto"/>
              <w:ind w:firstLine="465"/>
              <w:rPr>
                <w:rFonts w:hAnsi="宋体"/>
              </w:rPr>
            </w:pPr>
            <w:r>
              <w:rPr>
                <w:rFonts w:hAnsi="宋体"/>
              </w:rPr>
              <w:t>本</w:t>
            </w:r>
            <w:r>
              <w:rPr>
                <w:rFonts w:hint="eastAsia" w:hAnsi="宋体"/>
              </w:rPr>
              <w:t>项目依托工程洪水港长江取水点位于谭子取水口饮用水源地二级保护区内，不在其一级保护区范围内</w:t>
            </w:r>
            <w:r>
              <w:rPr>
                <w:rFonts w:hAnsi="宋体"/>
              </w:rPr>
              <w:t>。</w:t>
            </w:r>
            <w:r>
              <w:rPr>
                <w:rFonts w:hint="eastAsia" w:ascii="宋体" w:hAnsi="宋体"/>
              </w:rPr>
              <w:t>工程对环境的影响主要是水下施工</w:t>
            </w:r>
            <w:r>
              <w:rPr>
                <w:rFonts w:hint="eastAsia" w:hAnsi="宋体"/>
              </w:rPr>
              <w:t>所引起的水体悬浮物浓度间歇性上升，其影响距离为</w:t>
            </w:r>
            <w:r>
              <w:rPr>
                <w:rFonts w:hAnsi="宋体"/>
              </w:rPr>
              <w:t>施工点下游</w:t>
            </w:r>
            <w:r>
              <w:rPr>
                <w:rFonts w:hint="eastAsia" w:hAnsi="宋体"/>
              </w:rPr>
              <w:t>65-170</w:t>
            </w:r>
            <w:r>
              <w:rPr>
                <w:rFonts w:hAnsi="宋体"/>
              </w:rPr>
              <w:t>m。总体</w:t>
            </w:r>
            <w:r>
              <w:rPr>
                <w:rFonts w:hint="eastAsia" w:hAnsi="宋体"/>
              </w:rPr>
              <w:t>而言，这种影响是局部的、有限的、暂时的。另外，本项目在上述保护区范围内施工期产生的生产污水、生活污水、生活垃圾均不外排。因此，工程建设不属于对水体污染严重的建设项目。</w:t>
            </w:r>
          </w:p>
          <w:p>
            <w:pPr>
              <w:spacing w:line="360" w:lineRule="auto"/>
              <w:ind w:firstLine="465"/>
              <w:rPr>
                <w:rFonts w:ascii="宋体" w:hAnsi="宋体"/>
              </w:rPr>
            </w:pPr>
            <w:r>
              <w:rPr>
                <w:rFonts w:hint="eastAsia" w:ascii="宋体" w:hAnsi="宋体"/>
              </w:rPr>
              <w:t>因此，工程建设与《中华人民共和国水污染防治法》及</w:t>
            </w:r>
            <w:r>
              <w:rPr>
                <w:rFonts w:hAnsi="宋体"/>
              </w:rPr>
              <w:t>《饮用水水源保护区污染防治管理规定》</w:t>
            </w:r>
            <w:r>
              <w:rPr>
                <w:rFonts w:hint="eastAsia" w:ascii="宋体" w:hAnsi="宋体"/>
              </w:rPr>
              <w:t>相协调。</w:t>
            </w:r>
          </w:p>
          <w:p>
            <w:pPr>
              <w:spacing w:line="360" w:lineRule="auto"/>
              <w:ind w:firstLine="465"/>
              <w:rPr>
                <w:rFonts w:ascii="宋体" w:hAnsi="宋体"/>
              </w:rPr>
            </w:pPr>
            <w:r>
              <w:rPr>
                <w:rFonts w:hint="eastAsia" w:ascii="宋体" w:hAnsi="宋体"/>
              </w:rPr>
              <w:t>根据以上分析，项目的建设与《长江经济带生态环境保护规划》基本相符。</w:t>
            </w:r>
          </w:p>
          <w:p>
            <w:pPr>
              <w:spacing w:line="360" w:lineRule="auto"/>
              <w:ind w:firstLine="482" w:firstLineChars="200"/>
              <w:rPr>
                <w:b/>
                <w:u w:val="none"/>
              </w:rPr>
            </w:pPr>
            <w:r>
              <w:rPr>
                <w:rFonts w:hint="eastAsia"/>
                <w:b/>
                <w:u w:val="none"/>
              </w:rPr>
              <w:t>（7）“三线一单”符合性分析</w:t>
            </w:r>
          </w:p>
          <w:p>
            <w:pPr>
              <w:spacing w:line="360" w:lineRule="auto"/>
              <w:ind w:firstLine="480" w:firstLineChars="200"/>
              <w:rPr>
                <w:rFonts w:hAnsi="宋体"/>
                <w:u w:val="none"/>
              </w:rPr>
            </w:pPr>
            <w:r>
              <w:rPr>
                <w:rFonts w:hint="eastAsia" w:hAnsi="宋体"/>
                <w:bCs/>
                <w:u w:val="none"/>
              </w:rPr>
              <w:t>根据《</w:t>
            </w:r>
            <w:r>
              <w:rPr>
                <w:rFonts w:hint="eastAsia" w:ascii="宋体" w:hAnsi="宋体"/>
                <w:u w:val="none"/>
              </w:rPr>
              <w:t>岳阳市生态</w:t>
            </w:r>
            <w:r>
              <w:rPr>
                <w:rFonts w:hAnsi="宋体"/>
                <w:u w:val="none"/>
              </w:rPr>
              <w:t>保护红线》可知，</w:t>
            </w:r>
            <w:r>
              <w:rPr>
                <w:rFonts w:hint="eastAsia" w:hAnsi="宋体"/>
                <w:u w:val="none"/>
              </w:rPr>
              <w:t>项目依托工程及新铺设管道均不在生态红线范围内</w:t>
            </w:r>
            <w:r>
              <w:rPr>
                <w:rFonts w:hAnsi="宋体"/>
                <w:u w:val="none"/>
              </w:rPr>
              <w:t>，</w:t>
            </w:r>
            <w:r>
              <w:rPr>
                <w:rFonts w:hint="eastAsia" w:hAnsi="宋体"/>
                <w:u w:val="none"/>
              </w:rPr>
              <w:t>该项目属民生工程，施工期短，工程量小，对周边环境影响不大</w:t>
            </w:r>
            <w:r>
              <w:rPr>
                <w:rFonts w:hint="eastAsia"/>
                <w:color w:val="333333"/>
                <w:u w:val="none"/>
                <w:shd w:val="clear" w:color="auto" w:fill="FFFFFF"/>
              </w:rPr>
              <w:t>，因此，项目建设符合生态红线要求。</w:t>
            </w:r>
          </w:p>
          <w:p>
            <w:pPr>
              <w:spacing w:line="360" w:lineRule="auto"/>
              <w:ind w:firstLine="480" w:firstLineChars="200"/>
              <w:rPr>
                <w:rFonts w:ascii="宋体" w:hAnsi="宋体"/>
                <w:u w:val="none"/>
              </w:rPr>
            </w:pPr>
            <w:r>
              <w:rPr>
                <w:u w:val="none"/>
              </w:rPr>
              <w:t>长江水最大流量43460m</w:t>
            </w:r>
            <w:r>
              <w:rPr>
                <w:u w:val="none"/>
                <w:vertAlign w:val="superscript"/>
              </w:rPr>
              <w:t>3</w:t>
            </w:r>
            <w:r>
              <w:rPr>
                <w:u w:val="none"/>
              </w:rPr>
              <w:t>/s，最小流量860m</w:t>
            </w:r>
            <w:r>
              <w:rPr>
                <w:u w:val="none"/>
                <w:vertAlign w:val="superscript"/>
              </w:rPr>
              <w:t>3</w:t>
            </w:r>
            <w:r>
              <w:rPr>
                <w:u w:val="none"/>
              </w:rPr>
              <w:t>/s。历年平均流量3150m</w:t>
            </w:r>
            <w:r>
              <w:rPr>
                <w:u w:val="none"/>
                <w:vertAlign w:val="superscript"/>
              </w:rPr>
              <w:t>3</w:t>
            </w:r>
            <w:r>
              <w:rPr>
                <w:u w:val="none"/>
              </w:rPr>
              <w:t>/s，历年最小流量377 m</w:t>
            </w:r>
            <w:r>
              <w:rPr>
                <w:u w:val="none"/>
                <w:vertAlign w:val="superscript"/>
              </w:rPr>
              <w:t>3</w:t>
            </w:r>
            <w:r>
              <w:rPr>
                <w:u w:val="none"/>
              </w:rPr>
              <w:t>/s，</w:t>
            </w:r>
            <w:r>
              <w:rPr>
                <w:rFonts w:hint="eastAsia"/>
                <w:u w:val="none"/>
              </w:rPr>
              <w:t>广兴洲镇水厂最大取水流量0</w:t>
            </w:r>
            <w:r>
              <w:rPr>
                <w:u w:val="none"/>
              </w:rPr>
              <w:t>.055</w:t>
            </w:r>
            <w:r>
              <w:rPr>
                <w:rFonts w:hint="eastAsia"/>
                <w:u w:val="none"/>
              </w:rPr>
              <w:t xml:space="preserve"> m</w:t>
            </w:r>
            <w:r>
              <w:rPr>
                <w:rFonts w:hint="eastAsia"/>
                <w:u w:val="none"/>
                <w:vertAlign w:val="superscript"/>
              </w:rPr>
              <w:t>3</w:t>
            </w:r>
            <w:r>
              <w:rPr>
                <w:rFonts w:hint="eastAsia"/>
                <w:u w:val="none"/>
              </w:rPr>
              <w:t>/s，许市镇水厂最大取水流量0</w:t>
            </w:r>
            <w:r>
              <w:rPr>
                <w:u w:val="none"/>
              </w:rPr>
              <w:t>.04</w:t>
            </w:r>
            <w:r>
              <w:rPr>
                <w:rFonts w:hint="eastAsia"/>
                <w:u w:val="none"/>
              </w:rPr>
              <w:t xml:space="preserve"> m</w:t>
            </w:r>
            <w:r>
              <w:rPr>
                <w:rFonts w:hint="eastAsia"/>
                <w:u w:val="none"/>
                <w:vertAlign w:val="superscript"/>
              </w:rPr>
              <w:t>3</w:t>
            </w:r>
            <w:r>
              <w:rPr>
                <w:rFonts w:hint="eastAsia"/>
                <w:u w:val="none"/>
              </w:rPr>
              <w:t>/s。</w:t>
            </w:r>
            <w:r>
              <w:rPr>
                <w:rFonts w:hint="eastAsia" w:hAnsi="宋体"/>
                <w:kern w:val="13"/>
                <w:u w:val="none"/>
              </w:rPr>
              <w:t>不会对区域的水资源产生明显的影响，</w:t>
            </w:r>
            <w:r>
              <w:rPr>
                <w:rFonts w:hint="eastAsia" w:ascii="宋体" w:hAnsi="宋体"/>
                <w:u w:val="none"/>
              </w:rPr>
              <w:t>因此，不涉及环境质量底线，本项目城镇饮水工程不属于环境准入负面清单问题。</w:t>
            </w:r>
          </w:p>
          <w:p>
            <w:pPr>
              <w:spacing w:line="360" w:lineRule="auto"/>
              <w:ind w:firstLine="465"/>
              <w:rPr>
                <w:rFonts w:ascii="宋体" w:hAnsi="宋体"/>
                <w:u w:val="none"/>
              </w:rPr>
            </w:pPr>
            <w:r>
              <w:rPr>
                <w:rFonts w:hint="eastAsia" w:ascii="宋体" w:hAnsi="宋体"/>
                <w:u w:val="none"/>
              </w:rPr>
              <w:t>因此，工程建设不属于污染环境、破坏资源或者景观的生产设施，污染物排放不会超过国家和地方规定的污染物排放标准，项目建设与自然保护区保护无实质性冲突，工程建设不会损害区域的环境质量，未在生态红线范围内。因此项目的建设与“三线一单”管控要求相符合。</w:t>
            </w:r>
          </w:p>
          <w:p>
            <w:pPr>
              <w:spacing w:line="360" w:lineRule="auto"/>
              <w:ind w:firstLine="465"/>
              <w:rPr>
                <w:b/>
              </w:rPr>
            </w:pPr>
            <w:r>
              <w:rPr>
                <w:rFonts w:hint="eastAsia"/>
                <w:b/>
              </w:rPr>
              <w:t>（8）工程与《湿地保护管理规定》、《湖南省湿地保护条例》相符性分析</w:t>
            </w:r>
          </w:p>
          <w:p>
            <w:pPr>
              <w:spacing w:line="360" w:lineRule="auto"/>
              <w:ind w:firstLine="465"/>
            </w:pPr>
            <w:r>
              <w:rPr>
                <w:rFonts w:hint="eastAsia"/>
              </w:rPr>
              <w:t>《湿地保护管理规定》第三十一条规定：“除法律法规有特别规定的以外，在湿地内禁止从事下列活动：（一）开（围）垦湿地，放牧、捕捞；（二）填埋、排干湿地或者擅自改变湿地用途；（三）取用或者截断湿地水源；（四）挖砂、取土、开矿；（五）排放生活污水、工业废水；（六）破坏野生动物栖息地、鱼类洄游通道，采挖野生植物或者猎捕野生动物；（七）引进外来物种；（八）其他破坏湿地及其生态功能的活动。”，第三十二条规定：“工程建设应当不占或者少占湿地。确需征收或者占用的，用地单位应当依法办理相关手续，并给予补偿。临时占用湿地的，期限不得超过2年；临时占用期限届满，占用单位应当对所占湿地进行生态修复。”</w:t>
            </w:r>
          </w:p>
          <w:p>
            <w:pPr>
              <w:spacing w:line="360" w:lineRule="auto"/>
              <w:ind w:firstLine="465"/>
            </w:pPr>
            <w:r>
              <w:rPr>
                <w:rFonts w:hint="eastAsia"/>
              </w:rPr>
              <w:t>《湖南省湿地保护条例》规定：“禁止违反环境保护法律、法规向湿地排放废水和倾倒固体废弃物等污染物；禁止在湿地狩猎、捕捞、采集国家和本省保护的野生动植物；禁止捕杀候鸟。”</w:t>
            </w:r>
          </w:p>
          <w:p>
            <w:pPr>
              <w:spacing w:line="360" w:lineRule="auto"/>
              <w:ind w:firstLine="465"/>
            </w:pPr>
            <w:r>
              <w:rPr>
                <w:rFonts w:hint="eastAsia"/>
              </w:rPr>
              <w:t>本工程不属于《湿地保护管理规定》、《湖南省湿地保护条例》中禁止的活动。工程施工过程中严格执行相关环境保护措施，不在湿地范围内排放废水，禁止施工人员随意采挖野生植物或者猎捕野生动物。因此本项目与《湿地保护管理规定》、《湖南省湿地保护条例》相关规定是相符合的。</w:t>
            </w:r>
          </w:p>
          <w:p>
            <w:pPr>
              <w:spacing w:line="360" w:lineRule="auto"/>
              <w:ind w:firstLine="482" w:firstLineChars="200"/>
              <w:rPr>
                <w:b/>
              </w:rPr>
            </w:pPr>
            <w:r>
              <w:rPr>
                <w:rFonts w:hint="eastAsia"/>
                <w:b/>
                <w:lang w:eastAsia="zh-CN"/>
              </w:rPr>
              <w:t>四</w:t>
            </w:r>
            <w:r>
              <w:rPr>
                <w:rFonts w:hint="eastAsia"/>
                <w:b/>
              </w:rPr>
              <w:t>、项目选址合理性及外环境相容性分析</w:t>
            </w:r>
          </w:p>
          <w:p>
            <w:pPr>
              <w:spacing w:line="360" w:lineRule="auto"/>
              <w:ind w:firstLine="482" w:firstLineChars="200"/>
              <w:rPr>
                <w:b/>
              </w:rPr>
            </w:pPr>
            <w:r>
              <w:rPr>
                <w:rFonts w:hint="eastAsia"/>
                <w:b/>
              </w:rPr>
              <w:t>（1）取水口合理性分析</w:t>
            </w:r>
          </w:p>
          <w:p>
            <w:pPr>
              <w:spacing w:line="360" w:lineRule="auto"/>
              <w:ind w:firstLine="480" w:firstLineChars="200"/>
            </w:pPr>
            <w:r>
              <w:rPr>
                <w:rFonts w:hint="eastAsia"/>
              </w:rPr>
              <w:t>根据《三峡后续工作长江中下游影响处理湖南段一期河道整治工程初步设计报告》河道演变形式可知，本次拟迁移站址在K34+774处，河岸附近未出现岸坡崩挫和近岸河床险情，因此，站址选择从河道演变分析上看是合理的。取水口设置在长江桩号34+774，距离上游桩号31+403华容小荆湖排污口3.371Km，大于3Km，取水水质较好。因此，岳阳市长江补水工程从君山区建设垸洪水港取水口处取水选择是合理的，能保证取水枢纽安全可靠，能满足君山区农田灌溉用水和生态环境用水。</w:t>
            </w:r>
          </w:p>
          <w:p>
            <w:pPr>
              <w:spacing w:line="360" w:lineRule="auto"/>
              <w:ind w:firstLine="482" w:firstLineChars="200"/>
              <w:rPr>
                <w:rFonts w:hint="eastAsia" w:eastAsia="宋体"/>
                <w:b/>
                <w:lang w:eastAsia="zh-CN"/>
              </w:rPr>
            </w:pPr>
            <w:r>
              <w:rPr>
                <w:rFonts w:hint="eastAsia"/>
                <w:b/>
                <w:lang w:eastAsia="zh-CN"/>
              </w:rPr>
              <w:t>（</w:t>
            </w:r>
            <w:r>
              <w:rPr>
                <w:rFonts w:hint="eastAsia"/>
                <w:b/>
                <w:lang w:val="en-US" w:eastAsia="zh-CN"/>
              </w:rPr>
              <w:t>2</w:t>
            </w:r>
            <w:r>
              <w:rPr>
                <w:rFonts w:hint="eastAsia"/>
                <w:b/>
                <w:lang w:eastAsia="zh-CN"/>
              </w:rPr>
              <w:t>）饮用水源取水口与长江补水工程相容性分析</w:t>
            </w:r>
          </w:p>
          <w:p>
            <w:pPr>
              <w:spacing w:line="360" w:lineRule="auto"/>
              <w:ind w:firstLine="480" w:firstLineChars="200"/>
              <w:rPr>
                <w:rFonts w:hint="eastAsia"/>
                <w:b/>
              </w:rPr>
            </w:pPr>
            <w:r>
              <w:rPr>
                <w:rFonts w:hint="eastAsia"/>
                <w:lang w:eastAsia="zh-CN"/>
              </w:rPr>
              <w:t>长江补水工程</w:t>
            </w:r>
            <w:r>
              <w:rPr>
                <w:rFonts w:hint="eastAsia"/>
              </w:rPr>
              <w:t>以长江干流为水源，设计最大取水流量19.54m</w:t>
            </w:r>
            <w:r>
              <w:rPr>
                <w:rFonts w:hint="eastAsia"/>
                <w:vertAlign w:val="superscript"/>
              </w:rPr>
              <w:t>3</w:t>
            </w:r>
            <w:r>
              <w:rPr>
                <w:rFonts w:hint="eastAsia"/>
              </w:rPr>
              <w:t>/s。工程河段设计最小流量为6000 m</w:t>
            </w:r>
            <w:r>
              <w:rPr>
                <w:rFonts w:hint="eastAsia"/>
                <w:vertAlign w:val="superscript"/>
              </w:rPr>
              <w:t>3</w:t>
            </w:r>
            <w:r>
              <w:rPr>
                <w:rFonts w:hint="eastAsia"/>
              </w:rPr>
              <w:t>/s；可供水量为2948 m</w:t>
            </w:r>
            <w:r>
              <w:rPr>
                <w:rFonts w:hint="eastAsia"/>
                <w:vertAlign w:val="superscript"/>
              </w:rPr>
              <w:t>3</w:t>
            </w:r>
            <w:r>
              <w:rPr>
                <w:rFonts w:hint="eastAsia"/>
              </w:rPr>
              <w:t>/s。岳阳长江补水工程设计最大取水量占取水河段设计最小流量的0.3%，占可供水量的0.7%</w:t>
            </w:r>
            <w:r>
              <w:rPr>
                <w:rFonts w:hint="eastAsia"/>
                <w:lang w:eastAsia="zh-CN"/>
              </w:rPr>
              <w:t>。广兴洲镇自来水厂最大取水量为</w:t>
            </w:r>
            <w:r>
              <w:rPr>
                <w:rFonts w:hint="eastAsia"/>
                <w:lang w:val="en-US" w:eastAsia="zh-CN"/>
              </w:rPr>
              <w:t>0.055</w:t>
            </w:r>
            <w:r>
              <w:rPr>
                <w:rFonts w:hint="eastAsia"/>
              </w:rPr>
              <w:t>m</w:t>
            </w:r>
            <w:r>
              <w:rPr>
                <w:rFonts w:hint="eastAsia"/>
                <w:vertAlign w:val="superscript"/>
              </w:rPr>
              <w:t>3</w:t>
            </w:r>
            <w:r>
              <w:rPr>
                <w:rFonts w:hint="eastAsia"/>
              </w:rPr>
              <w:t>/s</w:t>
            </w:r>
            <w:r>
              <w:rPr>
                <w:rFonts w:hint="eastAsia"/>
                <w:lang w:val="en-US" w:eastAsia="zh-CN"/>
              </w:rPr>
              <w:t>，许市镇自来水厂最大取水量为0.04</w:t>
            </w:r>
            <w:r>
              <w:rPr>
                <w:rFonts w:hint="eastAsia"/>
              </w:rPr>
              <w:t>m</w:t>
            </w:r>
            <w:r>
              <w:rPr>
                <w:rFonts w:hint="eastAsia"/>
                <w:vertAlign w:val="superscript"/>
              </w:rPr>
              <w:t>3</w:t>
            </w:r>
            <w:r>
              <w:rPr>
                <w:rFonts w:hint="eastAsia"/>
              </w:rPr>
              <w:t>/s</w:t>
            </w:r>
            <w:r>
              <w:rPr>
                <w:rFonts w:hint="eastAsia"/>
                <w:lang w:eastAsia="zh-CN"/>
              </w:rPr>
              <w:t>，两个水厂最大取水流量</w:t>
            </w:r>
            <w:r>
              <w:rPr>
                <w:rFonts w:hint="eastAsia"/>
              </w:rPr>
              <w:t>占取水河段设计最小流量的0.</w:t>
            </w:r>
            <w:r>
              <w:rPr>
                <w:rFonts w:hint="eastAsia"/>
                <w:lang w:val="en-US" w:eastAsia="zh-CN"/>
              </w:rPr>
              <w:t>00016</w:t>
            </w:r>
            <w:r>
              <w:rPr>
                <w:rFonts w:hint="eastAsia"/>
              </w:rPr>
              <w:t>%，占可供水量的0.</w:t>
            </w:r>
            <w:r>
              <w:rPr>
                <w:rFonts w:hint="eastAsia"/>
                <w:lang w:val="en-US" w:eastAsia="zh-CN"/>
              </w:rPr>
              <w:t>00003</w:t>
            </w:r>
            <w:r>
              <w:rPr>
                <w:rFonts w:hint="eastAsia"/>
              </w:rPr>
              <w:t>%</w:t>
            </w:r>
            <w:r>
              <w:rPr>
                <w:rFonts w:hint="eastAsia"/>
                <w:lang w:eastAsia="zh-CN"/>
              </w:rPr>
              <w:t>。</w:t>
            </w:r>
            <w:r>
              <w:rPr>
                <w:rFonts w:hint="eastAsia"/>
              </w:rPr>
              <w:t>说明本</w:t>
            </w:r>
            <w:r>
              <w:rPr>
                <w:rFonts w:hint="eastAsia"/>
                <w:lang w:eastAsia="zh-CN"/>
              </w:rPr>
              <w:t>项目对长江补水工程的取水量没有影响。</w:t>
            </w:r>
          </w:p>
          <w:p>
            <w:pPr>
              <w:spacing w:line="360" w:lineRule="auto"/>
              <w:ind w:firstLine="482" w:firstLineChars="200"/>
              <w:rPr>
                <w:b/>
              </w:rPr>
            </w:pPr>
            <w:r>
              <w:rPr>
                <w:rFonts w:hint="eastAsia"/>
                <w:b/>
              </w:rPr>
              <w:t>（</w:t>
            </w:r>
            <w:r>
              <w:rPr>
                <w:rFonts w:hint="eastAsia"/>
                <w:b/>
                <w:lang w:val="en-US" w:eastAsia="zh-CN"/>
              </w:rPr>
              <w:t>3</w:t>
            </w:r>
            <w:r>
              <w:rPr>
                <w:rFonts w:hint="eastAsia"/>
                <w:b/>
              </w:rPr>
              <w:t>）输水管线外环境关系</w:t>
            </w:r>
          </w:p>
          <w:p>
            <w:pPr>
              <w:spacing w:line="360" w:lineRule="auto"/>
              <w:ind w:firstLine="480" w:firstLineChars="200"/>
            </w:pPr>
            <w:r>
              <w:rPr>
                <w:rFonts w:hint="eastAsia"/>
              </w:rPr>
              <w:t>项目输水管道广兴洲镇水厂管道铺设2.6km，许市镇水厂管道铺设2.2km，两个水厂输水管道平行铺设，间距500m。管道穿过防洪大堤沿建设院西干渠铺设。从泵站起点，长度在230~300m东西两侧分布有黑渔胡子居民点3户，从泵站为起点，长度在1303m东西两侧分布有长号居民点，3户。从泵站为起点，长度在2268m东侧分布下台子居民点1户。</w:t>
            </w:r>
          </w:p>
          <w:p>
            <w:pPr>
              <w:spacing w:line="360" w:lineRule="auto"/>
              <w:ind w:firstLine="480" w:firstLineChars="200"/>
            </w:pPr>
            <w:r>
              <w:rPr>
                <w:rFonts w:hint="eastAsia"/>
              </w:rPr>
              <w:t>项目新铺设管道沿农灌渠铺设，周边为农田和灌丛，污染相对较小，许市镇水厂输水管道在沿西干渠2.2km处与原有管道连接，广兴洲镇水厂输水管道在沿西干渠2.6km处与原有管道连接。</w:t>
            </w:r>
          </w:p>
          <w:p>
            <w:pPr>
              <w:spacing w:line="360" w:lineRule="auto"/>
              <w:ind w:firstLine="480" w:firstLineChars="200"/>
            </w:pPr>
            <w:r>
              <w:rPr>
                <w:rFonts w:hint="eastAsia"/>
              </w:rPr>
              <w:t>综上所述，本项目选址合理，与周边环境相容。</w:t>
            </w:r>
          </w:p>
          <w:p>
            <w:pPr>
              <w:spacing w:line="360" w:lineRule="auto"/>
              <w:ind w:firstLine="482" w:firstLineChars="200"/>
              <w:rPr>
                <w:b/>
              </w:rPr>
            </w:pPr>
            <w:r>
              <w:rPr>
                <w:rFonts w:hint="eastAsia"/>
                <w:b/>
              </w:rPr>
              <w:t>四、平面布置合理性分析</w:t>
            </w:r>
          </w:p>
          <w:p>
            <w:pPr>
              <w:spacing w:line="360" w:lineRule="auto"/>
              <w:ind w:firstLine="480" w:firstLineChars="200"/>
            </w:pPr>
            <w:r>
              <w:rPr>
                <w:rFonts w:hint="eastAsia"/>
              </w:rPr>
              <w:t>本项目选址于君山区广兴洲镇洪市村。工程依托洪水港取水泵站，</w:t>
            </w:r>
            <w:r>
              <w:rPr>
                <w:rFonts w:hint="eastAsia"/>
                <w:lang w:eastAsia="zh-CN"/>
              </w:rPr>
              <w:t>新增</w:t>
            </w:r>
            <w:r>
              <w:rPr>
                <w:rFonts w:hint="eastAsia"/>
                <w:lang w:val="en-US" w:eastAsia="zh-CN"/>
              </w:rPr>
              <w:t>2台90KW泵机、2根DN500取水管，</w:t>
            </w:r>
            <w:r>
              <w:rPr>
                <w:rFonts w:hint="eastAsia"/>
              </w:rPr>
              <w:t>新铺设两条输水管分别为2.2km，2.6km。项目新铺设管道沿农灌渠铺设，周边为农田和灌丛，污染相对较小，许市镇水厂输水管道在沿西干渠2.2km处与原有管道连接，广兴洲镇水厂输水管道在沿西干渠2.6km处与原有管道连接。</w:t>
            </w:r>
          </w:p>
          <w:p>
            <w:pPr>
              <w:spacing w:line="360" w:lineRule="auto"/>
              <w:ind w:firstLine="480" w:firstLineChars="200"/>
            </w:pPr>
            <w:r>
              <w:rPr>
                <w:rFonts w:hint="eastAsia"/>
              </w:rPr>
              <w:t>综上所述，本项目平面布置合理。</w:t>
            </w:r>
          </w:p>
          <w:p>
            <w:pPr>
              <w:spacing w:line="360" w:lineRule="auto"/>
              <w:ind w:firstLine="482" w:firstLineChars="200"/>
              <w:rPr>
                <w:b/>
              </w:rPr>
            </w:pPr>
            <w:r>
              <w:rPr>
                <w:rFonts w:hint="eastAsia"/>
                <w:b/>
              </w:rPr>
              <w:t>五、工程概况</w:t>
            </w:r>
          </w:p>
          <w:p>
            <w:pPr>
              <w:spacing w:line="360" w:lineRule="auto"/>
              <w:ind w:firstLine="482" w:firstLineChars="200"/>
              <w:rPr>
                <w:b/>
              </w:rPr>
            </w:pPr>
            <w:r>
              <w:rPr>
                <w:rFonts w:hint="eastAsia"/>
                <w:b/>
              </w:rPr>
              <w:t>1、工程基本情况</w:t>
            </w:r>
          </w:p>
          <w:p>
            <w:pPr>
              <w:spacing w:line="360" w:lineRule="auto"/>
              <w:ind w:firstLine="480" w:firstLineChars="200"/>
            </w:pPr>
            <w:r>
              <w:rPr>
                <w:rFonts w:hint="eastAsia"/>
              </w:rPr>
              <w:t>项目名称：君山区饮水工程建设项目</w:t>
            </w:r>
          </w:p>
          <w:p>
            <w:pPr>
              <w:spacing w:line="360" w:lineRule="auto"/>
              <w:ind w:firstLine="480" w:firstLineChars="200"/>
            </w:pPr>
            <w:r>
              <w:rPr>
                <w:rFonts w:hint="eastAsia"/>
              </w:rPr>
              <w:t>建设单位：岳阳市君山区城市建设投资有限公司</w:t>
            </w:r>
          </w:p>
          <w:p>
            <w:pPr>
              <w:spacing w:line="360" w:lineRule="auto"/>
              <w:ind w:firstLine="480" w:firstLineChars="200"/>
            </w:pPr>
            <w:r>
              <w:rPr>
                <w:rFonts w:hint="eastAsia"/>
              </w:rPr>
              <w:t>建设</w:t>
            </w:r>
            <w:r>
              <w:rPr>
                <w:rFonts w:hint="eastAsia"/>
                <w:highlight w:val="none"/>
              </w:rPr>
              <w:t>性质：新建</w:t>
            </w:r>
          </w:p>
          <w:p>
            <w:pPr>
              <w:spacing w:line="360" w:lineRule="auto"/>
              <w:ind w:firstLine="480" w:firstLineChars="200"/>
            </w:pPr>
            <w:r>
              <w:rPr>
                <w:rFonts w:hint="eastAsia"/>
              </w:rPr>
              <w:t>总投资：项目估算总投资为 500 万元</w:t>
            </w:r>
          </w:p>
          <w:p>
            <w:pPr>
              <w:spacing w:line="360" w:lineRule="auto"/>
              <w:ind w:firstLine="480" w:firstLineChars="200"/>
            </w:pPr>
            <w:r>
              <w:rPr>
                <w:rFonts w:hint="eastAsia"/>
              </w:rPr>
              <w:t>建设地点：君山区广兴洲镇</w:t>
            </w:r>
          </w:p>
          <w:p>
            <w:pPr>
              <w:spacing w:line="360" w:lineRule="auto"/>
              <w:ind w:firstLine="480" w:firstLineChars="200"/>
              <w:rPr>
                <w:rFonts w:hint="eastAsia"/>
              </w:rPr>
            </w:pPr>
            <w:r>
              <w:rPr>
                <w:rFonts w:hint="eastAsia"/>
              </w:rPr>
              <w:t>建设内容及规模：项目总用地面积4160m</w:t>
            </w:r>
            <w:r>
              <w:rPr>
                <w:rFonts w:hint="eastAsia"/>
                <w:vertAlign w:val="superscript"/>
              </w:rPr>
              <w:t>2</w:t>
            </w:r>
            <w:r>
              <w:rPr>
                <w:rFonts w:hint="eastAsia"/>
              </w:rPr>
              <w:t>，两条输水管道2.2m，2.6m。其中本项目取水泵站，依托洪水港泵站，目前已建成，属于岳阳市长江补水工程（一期工程）。本项目依托洪水港泵站新增两台90KW取水泵，2根DN500输水钢管分别接入广兴洲镇水厂、许市镇水厂。</w:t>
            </w:r>
          </w:p>
          <w:p>
            <w:pPr>
              <w:spacing w:line="360" w:lineRule="auto"/>
              <w:ind w:firstLine="482" w:firstLineChars="200"/>
              <w:rPr>
                <w:b/>
              </w:rPr>
            </w:pPr>
            <w:r>
              <w:rPr>
                <w:rFonts w:hint="eastAsia"/>
                <w:b/>
              </w:rPr>
              <w:t>2、工程建设内容</w:t>
            </w:r>
          </w:p>
          <w:p>
            <w:pPr>
              <w:spacing w:line="360" w:lineRule="auto"/>
              <w:ind w:firstLine="480" w:firstLineChars="200"/>
            </w:pPr>
            <w:r>
              <w:rPr>
                <w:rFonts w:hint="eastAsia"/>
              </w:rPr>
              <w:t>本工程建设内容主要包括两条输水管道建设，具体内容见下表：</w:t>
            </w:r>
          </w:p>
          <w:p>
            <w:pPr>
              <w:spacing w:line="360" w:lineRule="auto"/>
              <w:jc w:val="center"/>
              <w:rPr>
                <w:rFonts w:eastAsiaTheme="minorEastAsia"/>
                <w:b/>
                <w:sz w:val="21"/>
                <w:szCs w:val="21"/>
              </w:rPr>
            </w:pPr>
            <w:r>
              <w:rPr>
                <w:rFonts w:eastAsiaTheme="minorEastAsia"/>
                <w:b/>
                <w:sz w:val="21"/>
                <w:szCs w:val="21"/>
              </w:rPr>
              <w:t>表1-1 工程建设内容</w:t>
            </w:r>
          </w:p>
          <w:tbl>
            <w:tblPr>
              <w:tblStyle w:val="4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1"/>
              <w:gridCol w:w="690"/>
              <w:gridCol w:w="1276"/>
              <w:gridCol w:w="5003"/>
              <w:gridCol w:w="5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eastAsiaTheme="minorEastAsia"/>
                      <w:sz w:val="21"/>
                      <w:szCs w:val="21"/>
                    </w:rPr>
                  </w:pPr>
                  <w:r>
                    <w:rPr>
                      <w:rFonts w:eastAsiaTheme="minorEastAsia"/>
                      <w:sz w:val="21"/>
                      <w:szCs w:val="21"/>
                    </w:rPr>
                    <w:t>类别</w:t>
                  </w:r>
                </w:p>
              </w:tc>
              <w:tc>
                <w:tcPr>
                  <w:tcW w:w="690"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eastAsiaTheme="minorEastAsia"/>
                      <w:sz w:val="21"/>
                      <w:szCs w:val="21"/>
                    </w:rPr>
                  </w:pPr>
                </w:p>
              </w:tc>
              <w:tc>
                <w:tcPr>
                  <w:tcW w:w="6279" w:type="dxa"/>
                  <w:gridSpan w:val="2"/>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eastAsiaTheme="minorEastAsia"/>
                      <w:sz w:val="21"/>
                      <w:szCs w:val="21"/>
                    </w:rPr>
                  </w:pPr>
                  <w:r>
                    <w:rPr>
                      <w:rFonts w:eastAsiaTheme="minorEastAsia"/>
                      <w:sz w:val="21"/>
                      <w:szCs w:val="21"/>
                    </w:rPr>
                    <w:t>建设内容及规模</w:t>
                  </w:r>
                </w:p>
              </w:tc>
              <w:tc>
                <w:tcPr>
                  <w:tcW w:w="551"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eastAsiaTheme="minorEastAsia"/>
                      <w:sz w:val="21"/>
                      <w:szCs w:val="21"/>
                    </w:rPr>
                  </w:pPr>
                  <w:r>
                    <w:rPr>
                      <w:rFonts w:eastAsiaTheme="minorEastAsia"/>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vMerge w:val="restart"/>
                </w:tcPr>
                <w:p>
                  <w:pPr>
                    <w:jc w:val="left"/>
                    <w:rPr>
                      <w:rFonts w:eastAsiaTheme="minorEastAsia"/>
                      <w:sz w:val="21"/>
                      <w:szCs w:val="21"/>
                    </w:rPr>
                  </w:pPr>
                </w:p>
                <w:p>
                  <w:pPr>
                    <w:jc w:val="left"/>
                    <w:rPr>
                      <w:rFonts w:eastAsiaTheme="minorEastAsia"/>
                      <w:sz w:val="21"/>
                      <w:szCs w:val="21"/>
                    </w:rPr>
                  </w:pPr>
                </w:p>
                <w:p>
                  <w:pPr>
                    <w:jc w:val="left"/>
                    <w:rPr>
                      <w:rFonts w:eastAsiaTheme="minorEastAsia"/>
                      <w:sz w:val="21"/>
                      <w:szCs w:val="21"/>
                    </w:rPr>
                  </w:pPr>
                </w:p>
                <w:p>
                  <w:pPr>
                    <w:jc w:val="left"/>
                    <w:rPr>
                      <w:rFonts w:eastAsiaTheme="minorEastAsia"/>
                      <w:sz w:val="21"/>
                      <w:szCs w:val="21"/>
                    </w:rPr>
                  </w:pPr>
                  <w:r>
                    <w:rPr>
                      <w:rFonts w:eastAsiaTheme="minorEastAsia"/>
                      <w:sz w:val="21"/>
                      <w:szCs w:val="21"/>
                    </w:rPr>
                    <w:t>主</w:t>
                  </w:r>
                </w:p>
                <w:p>
                  <w:pPr>
                    <w:jc w:val="left"/>
                    <w:rPr>
                      <w:rFonts w:eastAsiaTheme="minorEastAsia"/>
                      <w:sz w:val="21"/>
                      <w:szCs w:val="21"/>
                    </w:rPr>
                  </w:pPr>
                  <w:r>
                    <w:rPr>
                      <w:rFonts w:eastAsiaTheme="minorEastAsia"/>
                      <w:sz w:val="21"/>
                      <w:szCs w:val="21"/>
                    </w:rPr>
                    <w:t>体</w:t>
                  </w:r>
                </w:p>
                <w:p>
                  <w:pPr>
                    <w:jc w:val="left"/>
                    <w:rPr>
                      <w:rFonts w:eastAsiaTheme="minorEastAsia"/>
                      <w:sz w:val="21"/>
                      <w:szCs w:val="21"/>
                    </w:rPr>
                  </w:pPr>
                  <w:r>
                    <w:rPr>
                      <w:rFonts w:eastAsiaTheme="minorEastAsia"/>
                      <w:sz w:val="21"/>
                      <w:szCs w:val="21"/>
                    </w:rPr>
                    <w:t>工</w:t>
                  </w:r>
                </w:p>
                <w:p>
                  <w:pPr>
                    <w:jc w:val="left"/>
                    <w:rPr>
                      <w:rFonts w:eastAsiaTheme="minorEastAsia"/>
                      <w:sz w:val="21"/>
                      <w:szCs w:val="21"/>
                    </w:rPr>
                  </w:pPr>
                  <w:r>
                    <w:rPr>
                      <w:rFonts w:eastAsiaTheme="minorEastAsia"/>
                      <w:sz w:val="21"/>
                      <w:szCs w:val="21"/>
                    </w:rPr>
                    <w:t>程</w:t>
                  </w:r>
                </w:p>
              </w:tc>
              <w:tc>
                <w:tcPr>
                  <w:tcW w:w="690" w:type="dxa"/>
                </w:tcPr>
                <w:p>
                  <w:pPr>
                    <w:jc w:val="left"/>
                    <w:rPr>
                      <w:rFonts w:eastAsiaTheme="minorEastAsia"/>
                      <w:sz w:val="21"/>
                      <w:szCs w:val="21"/>
                    </w:rPr>
                  </w:pPr>
                </w:p>
              </w:tc>
              <w:tc>
                <w:tcPr>
                  <w:tcW w:w="1276" w:type="dxa"/>
                </w:tcPr>
                <w:p>
                  <w:pPr>
                    <w:jc w:val="left"/>
                    <w:rPr>
                      <w:rFonts w:eastAsiaTheme="minorEastAsia"/>
                      <w:sz w:val="21"/>
                      <w:szCs w:val="21"/>
                    </w:rPr>
                  </w:pPr>
                  <w:r>
                    <w:rPr>
                      <w:rFonts w:eastAsiaTheme="minorEastAsia"/>
                      <w:sz w:val="21"/>
                      <w:szCs w:val="21"/>
                    </w:rPr>
                    <w:t>取水泵站</w:t>
                  </w:r>
                </w:p>
              </w:tc>
              <w:tc>
                <w:tcPr>
                  <w:tcW w:w="5003" w:type="dxa"/>
                </w:tcPr>
                <w:p>
                  <w:pPr>
                    <w:jc w:val="left"/>
                    <w:rPr>
                      <w:rFonts w:eastAsiaTheme="minorEastAsia"/>
                      <w:sz w:val="21"/>
                      <w:szCs w:val="21"/>
                    </w:rPr>
                  </w:pPr>
                  <w:r>
                    <w:rPr>
                      <w:rFonts w:eastAsiaTheme="minorEastAsia"/>
                      <w:sz w:val="21"/>
                      <w:szCs w:val="21"/>
                    </w:rPr>
                    <w:t>洪水港泵站（泵站设计流量为19.54m</w:t>
                  </w:r>
                  <w:r>
                    <w:rPr>
                      <w:rFonts w:eastAsiaTheme="minorEastAsia"/>
                      <w:sz w:val="21"/>
                      <w:szCs w:val="21"/>
                      <w:vertAlign w:val="superscript"/>
                    </w:rPr>
                    <w:t>3</w:t>
                  </w:r>
                  <w:r>
                    <w:rPr>
                      <w:rFonts w:eastAsiaTheme="minorEastAsia"/>
                      <w:sz w:val="21"/>
                      <w:szCs w:val="21"/>
                    </w:rPr>
                    <w:t>/s，设计扬程为11.5m，装机为630kw*5，出水钢管为6根DN1400mm压</w:t>
                  </w:r>
                  <w:r>
                    <w:rPr>
                      <w:rFonts w:eastAsiaTheme="minorEastAsia"/>
                      <w:sz w:val="21"/>
                      <w:szCs w:val="21"/>
                      <w:highlight w:val="none"/>
                    </w:rPr>
                    <w:t>力钢管）</w:t>
                  </w:r>
                  <w:r>
                    <w:rPr>
                      <w:rFonts w:hint="eastAsia" w:eastAsiaTheme="minorEastAsia"/>
                      <w:sz w:val="21"/>
                      <w:szCs w:val="21"/>
                      <w:highlight w:val="none"/>
                    </w:rPr>
                    <w:t>本项目依托洪水港泵站新增两台90KW取水泵，2根DN500输水钢管分别接入广兴洲镇水厂、许市镇水厂。</w:t>
                  </w:r>
                </w:p>
              </w:tc>
              <w:tc>
                <w:tcPr>
                  <w:tcW w:w="551" w:type="dxa"/>
                </w:tcPr>
                <w:p>
                  <w:pPr>
                    <w:jc w:val="left"/>
                    <w:rPr>
                      <w:rFonts w:eastAsiaTheme="minorEastAsia"/>
                      <w:sz w:val="21"/>
                      <w:szCs w:val="21"/>
                    </w:rPr>
                  </w:pPr>
                  <w:r>
                    <w:rPr>
                      <w:rFonts w:eastAsiaTheme="minorEastAsia"/>
                      <w:sz w:val="21"/>
                      <w:szCs w:val="21"/>
                    </w:rPr>
                    <w:t>依托现有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vMerge w:val="continue"/>
                </w:tcPr>
                <w:p>
                  <w:pPr>
                    <w:jc w:val="left"/>
                    <w:rPr>
                      <w:rFonts w:eastAsiaTheme="minorEastAsia"/>
                      <w:sz w:val="21"/>
                      <w:szCs w:val="21"/>
                    </w:rPr>
                  </w:pPr>
                </w:p>
              </w:tc>
              <w:tc>
                <w:tcPr>
                  <w:tcW w:w="690" w:type="dxa"/>
                </w:tcPr>
                <w:p>
                  <w:pPr>
                    <w:jc w:val="left"/>
                    <w:rPr>
                      <w:rFonts w:eastAsiaTheme="minorEastAsia"/>
                      <w:sz w:val="21"/>
                      <w:szCs w:val="21"/>
                    </w:rPr>
                  </w:pPr>
                </w:p>
              </w:tc>
              <w:tc>
                <w:tcPr>
                  <w:tcW w:w="1276" w:type="dxa"/>
                </w:tcPr>
                <w:p>
                  <w:pPr>
                    <w:jc w:val="left"/>
                    <w:rPr>
                      <w:rFonts w:eastAsiaTheme="minorEastAsia"/>
                      <w:sz w:val="21"/>
                      <w:szCs w:val="21"/>
                    </w:rPr>
                  </w:pPr>
                  <w:r>
                    <w:rPr>
                      <w:rFonts w:eastAsiaTheme="minorEastAsia"/>
                      <w:sz w:val="21"/>
                      <w:szCs w:val="21"/>
                    </w:rPr>
                    <w:t>输水工程</w:t>
                  </w:r>
                </w:p>
              </w:tc>
              <w:tc>
                <w:tcPr>
                  <w:tcW w:w="5003" w:type="dxa"/>
                </w:tcPr>
                <w:p>
                  <w:pPr>
                    <w:jc w:val="left"/>
                    <w:rPr>
                      <w:rFonts w:eastAsiaTheme="minorEastAsia"/>
                      <w:sz w:val="21"/>
                      <w:szCs w:val="21"/>
                    </w:rPr>
                  </w:pPr>
                  <w:r>
                    <w:rPr>
                      <w:rFonts w:eastAsiaTheme="minorEastAsia"/>
                      <w:sz w:val="21"/>
                      <w:szCs w:val="21"/>
                    </w:rPr>
                    <w:t>广兴洲镇取水量175万m</w:t>
                  </w:r>
                  <w:r>
                    <w:rPr>
                      <w:rFonts w:eastAsiaTheme="minorEastAsia"/>
                      <w:sz w:val="21"/>
                      <w:szCs w:val="21"/>
                      <w:vertAlign w:val="superscript"/>
                    </w:rPr>
                    <w:t>3</w:t>
                  </w:r>
                  <w:r>
                    <w:rPr>
                      <w:rFonts w:eastAsiaTheme="minorEastAsia"/>
                      <w:sz w:val="21"/>
                      <w:szCs w:val="21"/>
                    </w:rPr>
                    <w:t>/a，许市镇取水量125万m</w:t>
                  </w:r>
                  <w:r>
                    <w:rPr>
                      <w:rFonts w:eastAsiaTheme="minorEastAsia"/>
                      <w:sz w:val="21"/>
                      <w:szCs w:val="21"/>
                      <w:vertAlign w:val="superscript"/>
                    </w:rPr>
                    <w:t>3</w:t>
                  </w:r>
                  <w:r>
                    <w:rPr>
                      <w:rFonts w:eastAsiaTheme="minorEastAsia"/>
                      <w:sz w:val="21"/>
                      <w:szCs w:val="21"/>
                    </w:rPr>
                    <w:t>/a，取水输送设两根DN500球墨铸铁管分别为2.6km（广兴洲镇水厂），2.2km（许市</w:t>
                  </w:r>
                  <w:r>
                    <w:rPr>
                      <w:rFonts w:eastAsiaTheme="minorEastAsia"/>
                      <w:sz w:val="21"/>
                      <w:szCs w:val="21"/>
                      <w:highlight w:val="none"/>
                    </w:rPr>
                    <w:t>镇水厂），沿建设垸西干渠处接原有输水管，埋深1.5m。</w:t>
                  </w:r>
                  <w:r>
                    <w:rPr>
                      <w:rFonts w:hint="eastAsia" w:eastAsiaTheme="minorEastAsia"/>
                      <w:sz w:val="21"/>
                      <w:szCs w:val="21"/>
                      <w:highlight w:val="none"/>
                    </w:rPr>
                    <w:t>其中广兴洲镇输水管道2.6km，沿西干渠铺设，在二支渠交汇处与原输水管道相连（坐标112°54'05.61"，29°35'11.20"）。许市镇输水管道2.2km ，西干渠铺设，在长号居民点沿线支渠交汇处与原输水管道相连（坐标112°54'14.26"，29°35'51.91"）。</w:t>
                  </w:r>
                </w:p>
              </w:tc>
              <w:tc>
                <w:tcPr>
                  <w:tcW w:w="551" w:type="dxa"/>
                </w:tcPr>
                <w:p>
                  <w:pPr>
                    <w:jc w:val="left"/>
                    <w:rPr>
                      <w:rFonts w:eastAsiaTheme="minorEastAsia"/>
                      <w:sz w:val="21"/>
                      <w:szCs w:val="21"/>
                    </w:rPr>
                  </w:pPr>
                </w:p>
                <w:p>
                  <w:pPr>
                    <w:jc w:val="left"/>
                    <w:rPr>
                      <w:rFonts w:eastAsiaTheme="minorEastAsia"/>
                      <w:sz w:val="21"/>
                      <w:szCs w:val="21"/>
                    </w:rPr>
                  </w:pPr>
                  <w:r>
                    <w:rPr>
                      <w:rFonts w:eastAsiaTheme="minorEastAsia"/>
                      <w:sz w:val="21"/>
                      <w:szCs w:val="21"/>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vMerge w:val="restart"/>
                </w:tcPr>
                <w:p>
                  <w:pPr>
                    <w:jc w:val="left"/>
                    <w:rPr>
                      <w:rFonts w:eastAsiaTheme="minorEastAsia"/>
                      <w:sz w:val="21"/>
                      <w:szCs w:val="21"/>
                    </w:rPr>
                  </w:pPr>
                  <w:r>
                    <w:rPr>
                      <w:rFonts w:eastAsiaTheme="minorEastAsia"/>
                      <w:sz w:val="21"/>
                      <w:szCs w:val="21"/>
                    </w:rPr>
                    <w:t>公用工程</w:t>
                  </w:r>
                </w:p>
              </w:tc>
              <w:tc>
                <w:tcPr>
                  <w:tcW w:w="1966" w:type="dxa"/>
                  <w:gridSpan w:val="2"/>
                </w:tcPr>
                <w:p>
                  <w:pPr>
                    <w:jc w:val="center"/>
                    <w:rPr>
                      <w:rFonts w:eastAsiaTheme="minorEastAsia"/>
                      <w:sz w:val="21"/>
                      <w:szCs w:val="21"/>
                    </w:rPr>
                  </w:pPr>
                  <w:r>
                    <w:rPr>
                      <w:rFonts w:eastAsiaTheme="minorEastAsia"/>
                      <w:sz w:val="21"/>
                      <w:szCs w:val="21"/>
                    </w:rPr>
                    <w:t>给水</w:t>
                  </w:r>
                </w:p>
              </w:tc>
              <w:tc>
                <w:tcPr>
                  <w:tcW w:w="5003" w:type="dxa"/>
                </w:tcPr>
                <w:p>
                  <w:pPr>
                    <w:jc w:val="left"/>
                    <w:rPr>
                      <w:rFonts w:eastAsiaTheme="minorEastAsia"/>
                      <w:sz w:val="21"/>
                      <w:szCs w:val="21"/>
                    </w:rPr>
                  </w:pPr>
                  <w:r>
                    <w:rPr>
                      <w:rFonts w:eastAsiaTheme="minorEastAsia"/>
                      <w:sz w:val="21"/>
                      <w:szCs w:val="21"/>
                    </w:rPr>
                    <w:t>施工用水来自长江</w:t>
                  </w:r>
                </w:p>
              </w:tc>
              <w:tc>
                <w:tcPr>
                  <w:tcW w:w="551" w:type="dxa"/>
                  <w:vMerge w:val="restart"/>
                </w:tcPr>
                <w:p>
                  <w:pPr>
                    <w:jc w:val="left"/>
                    <w:rPr>
                      <w:rFonts w:eastAsiaTheme="minorEastAsia"/>
                      <w:sz w:val="21"/>
                      <w:szCs w:val="21"/>
                    </w:rPr>
                  </w:pPr>
                  <w:r>
                    <w:rPr>
                      <w:rFonts w:eastAsiaTheme="minorEastAsia"/>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vMerge w:val="continue"/>
                </w:tcPr>
                <w:p>
                  <w:pPr>
                    <w:jc w:val="left"/>
                    <w:rPr>
                      <w:rFonts w:eastAsiaTheme="minorEastAsia"/>
                      <w:sz w:val="21"/>
                      <w:szCs w:val="21"/>
                    </w:rPr>
                  </w:pPr>
                </w:p>
              </w:tc>
              <w:tc>
                <w:tcPr>
                  <w:tcW w:w="1966" w:type="dxa"/>
                  <w:gridSpan w:val="2"/>
                </w:tcPr>
                <w:p>
                  <w:pPr>
                    <w:jc w:val="center"/>
                    <w:rPr>
                      <w:rFonts w:eastAsiaTheme="minorEastAsia"/>
                      <w:sz w:val="21"/>
                      <w:szCs w:val="21"/>
                    </w:rPr>
                  </w:pPr>
                  <w:r>
                    <w:rPr>
                      <w:rFonts w:eastAsiaTheme="minorEastAsia"/>
                      <w:sz w:val="21"/>
                      <w:szCs w:val="21"/>
                    </w:rPr>
                    <w:t>供电</w:t>
                  </w:r>
                </w:p>
              </w:tc>
              <w:tc>
                <w:tcPr>
                  <w:tcW w:w="5003" w:type="dxa"/>
                </w:tcPr>
                <w:p>
                  <w:pPr>
                    <w:jc w:val="left"/>
                    <w:rPr>
                      <w:rFonts w:eastAsiaTheme="minorEastAsia"/>
                      <w:sz w:val="21"/>
                      <w:szCs w:val="21"/>
                    </w:rPr>
                  </w:pPr>
                  <w:r>
                    <w:rPr>
                      <w:rFonts w:eastAsiaTheme="minorEastAsia"/>
                      <w:sz w:val="21"/>
                      <w:szCs w:val="21"/>
                    </w:rPr>
                    <w:t>市政供电</w:t>
                  </w:r>
                </w:p>
              </w:tc>
              <w:tc>
                <w:tcPr>
                  <w:tcW w:w="551" w:type="dxa"/>
                  <w:vMerge w:val="continue"/>
                </w:tcPr>
                <w:p>
                  <w:pPr>
                    <w:jc w:val="left"/>
                    <w:rPr>
                      <w:rFonts w:eastAsia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vMerge w:val="restart"/>
                </w:tcPr>
                <w:p>
                  <w:pPr>
                    <w:jc w:val="left"/>
                    <w:rPr>
                      <w:rFonts w:eastAsiaTheme="minorEastAsia"/>
                      <w:sz w:val="21"/>
                      <w:szCs w:val="21"/>
                    </w:rPr>
                  </w:pPr>
                </w:p>
                <w:p>
                  <w:pPr>
                    <w:jc w:val="left"/>
                    <w:rPr>
                      <w:rFonts w:eastAsiaTheme="minorEastAsia"/>
                      <w:sz w:val="21"/>
                      <w:szCs w:val="21"/>
                    </w:rPr>
                  </w:pPr>
                </w:p>
                <w:p>
                  <w:pPr>
                    <w:jc w:val="left"/>
                    <w:rPr>
                      <w:rFonts w:eastAsiaTheme="minorEastAsia"/>
                      <w:sz w:val="21"/>
                      <w:szCs w:val="21"/>
                    </w:rPr>
                  </w:pPr>
                </w:p>
                <w:p>
                  <w:pPr>
                    <w:jc w:val="left"/>
                    <w:rPr>
                      <w:rFonts w:eastAsiaTheme="minorEastAsia"/>
                      <w:sz w:val="21"/>
                      <w:szCs w:val="21"/>
                    </w:rPr>
                  </w:pPr>
                </w:p>
                <w:p>
                  <w:pPr>
                    <w:jc w:val="left"/>
                    <w:rPr>
                      <w:rFonts w:eastAsiaTheme="minorEastAsia"/>
                      <w:sz w:val="21"/>
                      <w:szCs w:val="21"/>
                    </w:rPr>
                  </w:pPr>
                </w:p>
                <w:p>
                  <w:pPr>
                    <w:jc w:val="left"/>
                    <w:rPr>
                      <w:rFonts w:eastAsiaTheme="minorEastAsia"/>
                      <w:sz w:val="21"/>
                      <w:szCs w:val="21"/>
                    </w:rPr>
                  </w:pPr>
                </w:p>
                <w:p>
                  <w:pPr>
                    <w:jc w:val="left"/>
                    <w:rPr>
                      <w:rFonts w:eastAsiaTheme="minorEastAsia"/>
                      <w:sz w:val="21"/>
                      <w:szCs w:val="21"/>
                    </w:rPr>
                  </w:pPr>
                  <w:r>
                    <w:rPr>
                      <w:rFonts w:eastAsiaTheme="minorEastAsia"/>
                      <w:sz w:val="21"/>
                      <w:szCs w:val="21"/>
                    </w:rPr>
                    <w:t>环</w:t>
                  </w:r>
                </w:p>
                <w:p>
                  <w:pPr>
                    <w:jc w:val="left"/>
                    <w:rPr>
                      <w:rFonts w:eastAsiaTheme="minorEastAsia"/>
                      <w:sz w:val="21"/>
                      <w:szCs w:val="21"/>
                    </w:rPr>
                  </w:pPr>
                  <w:r>
                    <w:rPr>
                      <w:rFonts w:eastAsiaTheme="minorEastAsia"/>
                      <w:sz w:val="21"/>
                      <w:szCs w:val="21"/>
                    </w:rPr>
                    <w:t>保</w:t>
                  </w:r>
                </w:p>
                <w:p>
                  <w:pPr>
                    <w:jc w:val="left"/>
                    <w:rPr>
                      <w:rFonts w:eastAsiaTheme="minorEastAsia"/>
                      <w:sz w:val="21"/>
                      <w:szCs w:val="21"/>
                    </w:rPr>
                  </w:pPr>
                  <w:r>
                    <w:rPr>
                      <w:rFonts w:eastAsiaTheme="minorEastAsia"/>
                      <w:sz w:val="21"/>
                      <w:szCs w:val="21"/>
                    </w:rPr>
                    <w:t>工</w:t>
                  </w:r>
                </w:p>
                <w:p>
                  <w:pPr>
                    <w:jc w:val="left"/>
                    <w:rPr>
                      <w:rFonts w:eastAsiaTheme="minorEastAsia"/>
                      <w:sz w:val="21"/>
                      <w:szCs w:val="21"/>
                    </w:rPr>
                  </w:pPr>
                  <w:r>
                    <w:rPr>
                      <w:rFonts w:eastAsiaTheme="minorEastAsia"/>
                      <w:sz w:val="21"/>
                      <w:szCs w:val="21"/>
                    </w:rPr>
                    <w:t>程</w:t>
                  </w:r>
                </w:p>
              </w:tc>
              <w:tc>
                <w:tcPr>
                  <w:tcW w:w="690" w:type="dxa"/>
                  <w:vMerge w:val="restart"/>
                </w:tcPr>
                <w:p>
                  <w:pPr>
                    <w:jc w:val="left"/>
                    <w:rPr>
                      <w:rFonts w:eastAsiaTheme="minorEastAsia"/>
                      <w:sz w:val="21"/>
                      <w:szCs w:val="21"/>
                    </w:rPr>
                  </w:pPr>
                </w:p>
                <w:p>
                  <w:pPr>
                    <w:jc w:val="left"/>
                    <w:rPr>
                      <w:rFonts w:eastAsiaTheme="minorEastAsia"/>
                      <w:sz w:val="21"/>
                      <w:szCs w:val="21"/>
                    </w:rPr>
                  </w:pPr>
                </w:p>
                <w:p>
                  <w:pPr>
                    <w:jc w:val="left"/>
                    <w:rPr>
                      <w:rFonts w:eastAsiaTheme="minorEastAsia"/>
                      <w:sz w:val="21"/>
                      <w:szCs w:val="21"/>
                    </w:rPr>
                  </w:pPr>
                </w:p>
                <w:p>
                  <w:pPr>
                    <w:jc w:val="left"/>
                    <w:rPr>
                      <w:rFonts w:eastAsiaTheme="minorEastAsia"/>
                      <w:sz w:val="21"/>
                      <w:szCs w:val="21"/>
                    </w:rPr>
                  </w:pPr>
                  <w:r>
                    <w:rPr>
                      <w:rFonts w:hint="eastAsia" w:eastAsiaTheme="minorEastAsia"/>
                      <w:sz w:val="21"/>
                      <w:szCs w:val="21"/>
                    </w:rPr>
                    <w:t>施</w:t>
                  </w:r>
                </w:p>
                <w:p>
                  <w:pPr>
                    <w:jc w:val="left"/>
                    <w:rPr>
                      <w:rFonts w:eastAsiaTheme="minorEastAsia"/>
                      <w:sz w:val="21"/>
                      <w:szCs w:val="21"/>
                    </w:rPr>
                  </w:pPr>
                  <w:r>
                    <w:rPr>
                      <w:rFonts w:hint="eastAsia" w:eastAsiaTheme="minorEastAsia"/>
                      <w:sz w:val="21"/>
                      <w:szCs w:val="21"/>
                    </w:rPr>
                    <w:t>工</w:t>
                  </w:r>
                </w:p>
                <w:p>
                  <w:pPr>
                    <w:jc w:val="left"/>
                    <w:rPr>
                      <w:rFonts w:eastAsiaTheme="minorEastAsia"/>
                      <w:sz w:val="21"/>
                      <w:szCs w:val="21"/>
                    </w:rPr>
                  </w:pPr>
                  <w:r>
                    <w:rPr>
                      <w:rFonts w:hint="eastAsia" w:eastAsiaTheme="minorEastAsia"/>
                      <w:sz w:val="21"/>
                      <w:szCs w:val="21"/>
                    </w:rPr>
                    <w:t>期</w:t>
                  </w:r>
                </w:p>
              </w:tc>
              <w:tc>
                <w:tcPr>
                  <w:tcW w:w="1276" w:type="dxa"/>
                </w:tcPr>
                <w:p>
                  <w:pPr>
                    <w:jc w:val="left"/>
                    <w:rPr>
                      <w:rFonts w:eastAsiaTheme="minorEastAsia"/>
                      <w:sz w:val="21"/>
                      <w:szCs w:val="21"/>
                    </w:rPr>
                  </w:pPr>
                  <w:r>
                    <w:rPr>
                      <w:rFonts w:eastAsiaTheme="minorEastAsia"/>
                      <w:sz w:val="21"/>
                      <w:szCs w:val="21"/>
                    </w:rPr>
                    <w:t>施工扬尘</w:t>
                  </w:r>
                </w:p>
              </w:tc>
              <w:tc>
                <w:tcPr>
                  <w:tcW w:w="5003" w:type="dxa"/>
                </w:tcPr>
                <w:p>
                  <w:pPr>
                    <w:pStyle w:val="106"/>
                    <w:spacing w:line="241" w:lineRule="exact"/>
                    <w:jc w:val="left"/>
                    <w:rPr>
                      <w:rFonts w:ascii="Times New Roman" w:hAnsi="Times New Roman" w:cs="Times New Roman" w:eastAsiaTheme="minorEastAsia"/>
                      <w:kern w:val="2"/>
                      <w:sz w:val="21"/>
                      <w:szCs w:val="21"/>
                      <w:lang w:eastAsia="zh-CN"/>
                    </w:rPr>
                  </w:pPr>
                  <w:r>
                    <w:rPr>
                      <w:rFonts w:ascii="Times New Roman" w:hAnsi="Times New Roman" w:cs="Times New Roman" w:eastAsiaTheme="minorEastAsia"/>
                      <w:kern w:val="2"/>
                      <w:sz w:val="21"/>
                      <w:szCs w:val="21"/>
                      <w:lang w:eastAsia="zh-CN"/>
                    </w:rPr>
                    <w:t>洒水降尘，控制施工扬尘。</w:t>
                  </w:r>
                </w:p>
              </w:tc>
              <w:tc>
                <w:tcPr>
                  <w:tcW w:w="551" w:type="dxa"/>
                  <w:vMerge w:val="restart"/>
                </w:tcPr>
                <w:p>
                  <w:pPr>
                    <w:jc w:val="left"/>
                    <w:rPr>
                      <w:rFonts w:eastAsiaTheme="minorEastAsia"/>
                      <w:sz w:val="21"/>
                      <w:szCs w:val="21"/>
                    </w:rPr>
                  </w:pPr>
                  <w:r>
                    <w:rPr>
                      <w:rFonts w:eastAsiaTheme="minorEastAsia"/>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vMerge w:val="continue"/>
                </w:tcPr>
                <w:p>
                  <w:pPr>
                    <w:jc w:val="left"/>
                    <w:rPr>
                      <w:rFonts w:eastAsiaTheme="minorEastAsia"/>
                      <w:sz w:val="21"/>
                      <w:szCs w:val="21"/>
                    </w:rPr>
                  </w:pPr>
                </w:p>
              </w:tc>
              <w:tc>
                <w:tcPr>
                  <w:tcW w:w="690" w:type="dxa"/>
                  <w:vMerge w:val="continue"/>
                </w:tcPr>
                <w:p>
                  <w:pPr>
                    <w:jc w:val="left"/>
                    <w:rPr>
                      <w:rFonts w:eastAsiaTheme="minorEastAsia"/>
                      <w:sz w:val="21"/>
                      <w:szCs w:val="21"/>
                    </w:rPr>
                  </w:pPr>
                </w:p>
              </w:tc>
              <w:tc>
                <w:tcPr>
                  <w:tcW w:w="1276" w:type="dxa"/>
                </w:tcPr>
                <w:p>
                  <w:pPr>
                    <w:jc w:val="left"/>
                    <w:rPr>
                      <w:rFonts w:eastAsiaTheme="minorEastAsia"/>
                      <w:sz w:val="21"/>
                      <w:szCs w:val="21"/>
                    </w:rPr>
                  </w:pPr>
                  <w:r>
                    <w:rPr>
                      <w:rFonts w:eastAsiaTheme="minorEastAsia"/>
                      <w:sz w:val="21"/>
                      <w:szCs w:val="21"/>
                    </w:rPr>
                    <w:t>施工废水</w:t>
                  </w:r>
                  <w:r>
                    <w:rPr>
                      <w:rFonts w:hint="eastAsia" w:eastAsiaTheme="minorEastAsia"/>
                      <w:sz w:val="21"/>
                      <w:szCs w:val="21"/>
                    </w:rPr>
                    <w:t>、试压废水、生活污水</w:t>
                  </w:r>
                </w:p>
              </w:tc>
              <w:tc>
                <w:tcPr>
                  <w:tcW w:w="5003" w:type="dxa"/>
                </w:tcPr>
                <w:p>
                  <w:pPr>
                    <w:jc w:val="left"/>
                    <w:rPr>
                      <w:rFonts w:eastAsiaTheme="minorEastAsia"/>
                      <w:sz w:val="21"/>
                      <w:szCs w:val="21"/>
                    </w:rPr>
                  </w:pPr>
                  <w:r>
                    <w:rPr>
                      <w:rFonts w:eastAsiaTheme="minorEastAsia"/>
                      <w:sz w:val="21"/>
                      <w:szCs w:val="21"/>
                    </w:rPr>
                    <w:t>施工废水主要污染物为SS，基本被土壤吸收</w:t>
                  </w:r>
                  <w:r>
                    <w:rPr>
                      <w:rFonts w:hint="eastAsia" w:eastAsiaTheme="minorEastAsia"/>
                      <w:sz w:val="21"/>
                      <w:szCs w:val="21"/>
                    </w:rPr>
                    <w:t>蒸发；试压废水</w:t>
                  </w:r>
                  <w:r>
                    <w:rPr>
                      <w:rFonts w:eastAsiaTheme="minorEastAsia"/>
                      <w:sz w:val="21"/>
                      <w:szCs w:val="21"/>
                    </w:rPr>
                    <w:t>经沉淀处理回用于降尘，不外排</w:t>
                  </w:r>
                  <w:r>
                    <w:rPr>
                      <w:rFonts w:hint="eastAsia" w:eastAsiaTheme="minorEastAsia"/>
                      <w:sz w:val="21"/>
                      <w:szCs w:val="21"/>
                    </w:rPr>
                    <w:t>；施工人员为当地工人，无生活污水产生。</w:t>
                  </w:r>
                </w:p>
              </w:tc>
              <w:tc>
                <w:tcPr>
                  <w:tcW w:w="551" w:type="dxa"/>
                  <w:vMerge w:val="continue"/>
                </w:tcPr>
                <w:p>
                  <w:pPr>
                    <w:jc w:val="left"/>
                    <w:rPr>
                      <w:rFonts w:eastAsia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vMerge w:val="continue"/>
                </w:tcPr>
                <w:p>
                  <w:pPr>
                    <w:jc w:val="left"/>
                    <w:rPr>
                      <w:rFonts w:eastAsiaTheme="minorEastAsia"/>
                      <w:sz w:val="21"/>
                      <w:szCs w:val="21"/>
                    </w:rPr>
                  </w:pPr>
                </w:p>
              </w:tc>
              <w:tc>
                <w:tcPr>
                  <w:tcW w:w="690" w:type="dxa"/>
                  <w:vMerge w:val="continue"/>
                </w:tcPr>
                <w:p>
                  <w:pPr>
                    <w:jc w:val="left"/>
                    <w:rPr>
                      <w:rFonts w:eastAsiaTheme="minorEastAsia"/>
                      <w:sz w:val="21"/>
                      <w:szCs w:val="21"/>
                    </w:rPr>
                  </w:pPr>
                </w:p>
              </w:tc>
              <w:tc>
                <w:tcPr>
                  <w:tcW w:w="1276" w:type="dxa"/>
                </w:tcPr>
                <w:p>
                  <w:pPr>
                    <w:jc w:val="left"/>
                    <w:rPr>
                      <w:rFonts w:hint="eastAsia" w:eastAsiaTheme="minorEastAsia"/>
                      <w:sz w:val="21"/>
                      <w:szCs w:val="21"/>
                      <w:lang w:eastAsia="zh-CN"/>
                    </w:rPr>
                  </w:pPr>
                  <w:r>
                    <w:rPr>
                      <w:rFonts w:eastAsiaTheme="minorEastAsia"/>
                      <w:sz w:val="21"/>
                      <w:szCs w:val="21"/>
                    </w:rPr>
                    <w:t>生活垃圾</w:t>
                  </w:r>
                  <w:r>
                    <w:rPr>
                      <w:rFonts w:hint="eastAsia" w:eastAsiaTheme="minorEastAsia"/>
                      <w:sz w:val="21"/>
                      <w:szCs w:val="21"/>
                    </w:rPr>
                    <w:t>、</w:t>
                  </w:r>
                  <w:r>
                    <w:rPr>
                      <w:rFonts w:eastAsiaTheme="minorEastAsia"/>
                      <w:sz w:val="21"/>
                      <w:szCs w:val="21"/>
                    </w:rPr>
                    <w:t>土石方</w:t>
                  </w:r>
                  <w:r>
                    <w:rPr>
                      <w:rFonts w:hint="eastAsia" w:eastAsiaTheme="minorEastAsia"/>
                      <w:sz w:val="21"/>
                      <w:szCs w:val="21"/>
                      <w:lang w:eastAsia="zh-CN"/>
                    </w:rPr>
                    <w:t>、废污泥</w:t>
                  </w:r>
                </w:p>
              </w:tc>
              <w:tc>
                <w:tcPr>
                  <w:tcW w:w="5003" w:type="dxa"/>
                </w:tcPr>
                <w:p>
                  <w:pPr>
                    <w:jc w:val="left"/>
                    <w:rPr>
                      <w:rFonts w:hint="eastAsia" w:eastAsiaTheme="minorEastAsia"/>
                      <w:sz w:val="21"/>
                      <w:szCs w:val="21"/>
                      <w:lang w:eastAsia="zh-CN"/>
                    </w:rPr>
                  </w:pPr>
                  <w:r>
                    <w:rPr>
                      <w:rFonts w:eastAsiaTheme="minorEastAsia"/>
                      <w:sz w:val="21"/>
                      <w:szCs w:val="21"/>
                    </w:rPr>
                    <w:t>施工场期短，且施工工人为当地工人，施工场地</w:t>
                  </w:r>
                  <w:r>
                    <w:rPr>
                      <w:rFonts w:hint="eastAsia" w:eastAsiaTheme="minorEastAsia"/>
                      <w:sz w:val="21"/>
                      <w:szCs w:val="21"/>
                    </w:rPr>
                    <w:t>无</w:t>
                  </w:r>
                  <w:r>
                    <w:rPr>
                      <w:rFonts w:eastAsiaTheme="minorEastAsia"/>
                      <w:sz w:val="21"/>
                      <w:szCs w:val="21"/>
                    </w:rPr>
                    <w:t>生活垃圾产生。</w:t>
                  </w:r>
                  <w:r>
                    <w:rPr>
                      <w:rFonts w:hint="eastAsia" w:eastAsiaTheme="minorEastAsia"/>
                      <w:sz w:val="21"/>
                      <w:szCs w:val="21"/>
                    </w:rPr>
                    <w:t>施工期</w:t>
                  </w:r>
                  <w:r>
                    <w:rPr>
                      <w:rFonts w:eastAsiaTheme="minorEastAsia"/>
                      <w:sz w:val="21"/>
                      <w:szCs w:val="21"/>
                    </w:rPr>
                    <w:t>挖方</w:t>
                  </w:r>
                  <w:r>
                    <w:rPr>
                      <w:rFonts w:hint="eastAsia" w:eastAsiaTheme="minorEastAsia"/>
                      <w:sz w:val="21"/>
                      <w:szCs w:val="21"/>
                      <w:lang w:eastAsia="zh-CN"/>
                    </w:rPr>
                    <w:t>6384</w:t>
                  </w:r>
                  <w:r>
                    <w:rPr>
                      <w:rFonts w:eastAsiaTheme="minorEastAsia"/>
                      <w:sz w:val="21"/>
                      <w:szCs w:val="21"/>
                    </w:rPr>
                    <w:t xml:space="preserve"> m</w:t>
                  </w:r>
                  <w:r>
                    <w:rPr>
                      <w:rFonts w:eastAsiaTheme="minorEastAsia"/>
                      <w:sz w:val="21"/>
                      <w:szCs w:val="21"/>
                      <w:vertAlign w:val="superscript"/>
                    </w:rPr>
                    <w:t>3</w:t>
                  </w:r>
                  <w:r>
                    <w:rPr>
                      <w:rFonts w:eastAsiaTheme="minorEastAsia"/>
                      <w:sz w:val="21"/>
                      <w:szCs w:val="21"/>
                    </w:rPr>
                    <w:t>，填方</w:t>
                  </w:r>
                  <w:r>
                    <w:rPr>
                      <w:rFonts w:hint="eastAsia" w:eastAsiaTheme="minorEastAsia"/>
                      <w:sz w:val="21"/>
                      <w:szCs w:val="21"/>
                      <w:lang w:eastAsia="zh-CN"/>
                    </w:rPr>
                    <w:t>6384</w:t>
                  </w:r>
                  <w:r>
                    <w:rPr>
                      <w:rFonts w:eastAsiaTheme="minorEastAsia"/>
                      <w:sz w:val="21"/>
                      <w:szCs w:val="21"/>
                    </w:rPr>
                    <w:t>m</w:t>
                  </w:r>
                  <w:r>
                    <w:rPr>
                      <w:rFonts w:eastAsiaTheme="minorEastAsia"/>
                      <w:sz w:val="21"/>
                      <w:szCs w:val="21"/>
                      <w:vertAlign w:val="superscript"/>
                    </w:rPr>
                    <w:t>3</w:t>
                  </w:r>
                  <w:r>
                    <w:rPr>
                      <w:rFonts w:eastAsiaTheme="minorEastAsia"/>
                      <w:sz w:val="21"/>
                      <w:szCs w:val="21"/>
                    </w:rPr>
                    <w:t>。土壤全部回填压实</w:t>
                  </w:r>
                  <w:r>
                    <w:rPr>
                      <w:rFonts w:hint="eastAsia" w:eastAsiaTheme="minorEastAsia"/>
                      <w:sz w:val="21"/>
                      <w:szCs w:val="21"/>
                    </w:rPr>
                    <w:t>。</w:t>
                  </w:r>
                  <w:r>
                    <w:rPr>
                      <w:rFonts w:hint="eastAsia" w:eastAsiaTheme="minorEastAsia"/>
                      <w:sz w:val="21"/>
                      <w:szCs w:val="21"/>
                      <w:lang w:eastAsia="zh-CN"/>
                    </w:rPr>
                    <w:t>废污泥运送至一般工业固体废物填埋场处置。</w:t>
                  </w:r>
                </w:p>
              </w:tc>
              <w:tc>
                <w:tcPr>
                  <w:tcW w:w="551" w:type="dxa"/>
                  <w:vMerge w:val="continue"/>
                </w:tcPr>
                <w:p>
                  <w:pPr>
                    <w:jc w:val="left"/>
                    <w:rPr>
                      <w:rFonts w:eastAsia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vMerge w:val="continue"/>
                </w:tcPr>
                <w:p>
                  <w:pPr>
                    <w:jc w:val="left"/>
                    <w:rPr>
                      <w:rFonts w:eastAsiaTheme="minorEastAsia"/>
                      <w:sz w:val="21"/>
                      <w:szCs w:val="21"/>
                    </w:rPr>
                  </w:pPr>
                </w:p>
              </w:tc>
              <w:tc>
                <w:tcPr>
                  <w:tcW w:w="690" w:type="dxa"/>
                  <w:vMerge w:val="continue"/>
                </w:tcPr>
                <w:p>
                  <w:pPr>
                    <w:jc w:val="left"/>
                    <w:rPr>
                      <w:rFonts w:eastAsiaTheme="minorEastAsia"/>
                      <w:sz w:val="21"/>
                      <w:szCs w:val="21"/>
                    </w:rPr>
                  </w:pPr>
                </w:p>
              </w:tc>
              <w:tc>
                <w:tcPr>
                  <w:tcW w:w="1276" w:type="dxa"/>
                </w:tcPr>
                <w:p>
                  <w:pPr>
                    <w:jc w:val="left"/>
                    <w:rPr>
                      <w:rFonts w:eastAsiaTheme="minorEastAsia"/>
                      <w:sz w:val="21"/>
                      <w:szCs w:val="21"/>
                    </w:rPr>
                  </w:pPr>
                  <w:r>
                    <w:rPr>
                      <w:rFonts w:eastAsiaTheme="minorEastAsia"/>
                      <w:sz w:val="21"/>
                      <w:szCs w:val="21"/>
                    </w:rPr>
                    <w:t>噪声控制</w:t>
                  </w:r>
                </w:p>
              </w:tc>
              <w:tc>
                <w:tcPr>
                  <w:tcW w:w="5003" w:type="dxa"/>
                </w:tcPr>
                <w:p>
                  <w:pPr>
                    <w:jc w:val="left"/>
                    <w:rPr>
                      <w:rFonts w:eastAsiaTheme="minorEastAsia"/>
                      <w:sz w:val="21"/>
                      <w:szCs w:val="21"/>
                    </w:rPr>
                  </w:pPr>
                  <w:r>
                    <w:rPr>
                      <w:rFonts w:hint="eastAsia" w:eastAsiaTheme="minorEastAsia"/>
                      <w:sz w:val="21"/>
                      <w:szCs w:val="21"/>
                    </w:rPr>
                    <w:t>选用噪音低、振动小的机械设备</w:t>
                  </w:r>
                </w:p>
              </w:tc>
              <w:tc>
                <w:tcPr>
                  <w:tcW w:w="551" w:type="dxa"/>
                </w:tcPr>
                <w:p>
                  <w:pPr>
                    <w:jc w:val="left"/>
                    <w:rPr>
                      <w:rFonts w:eastAsia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vMerge w:val="continue"/>
                </w:tcPr>
                <w:p>
                  <w:pPr>
                    <w:jc w:val="left"/>
                    <w:rPr>
                      <w:rFonts w:eastAsiaTheme="minorEastAsia"/>
                      <w:sz w:val="21"/>
                      <w:szCs w:val="21"/>
                    </w:rPr>
                  </w:pPr>
                </w:p>
              </w:tc>
              <w:tc>
                <w:tcPr>
                  <w:tcW w:w="690" w:type="dxa"/>
                  <w:vMerge w:val="continue"/>
                </w:tcPr>
                <w:p>
                  <w:pPr>
                    <w:jc w:val="left"/>
                    <w:rPr>
                      <w:rFonts w:eastAsiaTheme="minorEastAsia"/>
                      <w:sz w:val="21"/>
                      <w:szCs w:val="21"/>
                    </w:rPr>
                  </w:pPr>
                </w:p>
              </w:tc>
              <w:tc>
                <w:tcPr>
                  <w:tcW w:w="1276" w:type="dxa"/>
                </w:tcPr>
                <w:p>
                  <w:pPr>
                    <w:jc w:val="left"/>
                    <w:rPr>
                      <w:rFonts w:eastAsiaTheme="minorEastAsia"/>
                      <w:sz w:val="21"/>
                      <w:szCs w:val="21"/>
                    </w:rPr>
                  </w:pPr>
                  <w:r>
                    <w:rPr>
                      <w:rFonts w:eastAsiaTheme="minorEastAsia"/>
                      <w:sz w:val="21"/>
                      <w:szCs w:val="21"/>
                    </w:rPr>
                    <w:t>生态影响</w:t>
                  </w:r>
                </w:p>
              </w:tc>
              <w:tc>
                <w:tcPr>
                  <w:tcW w:w="5003" w:type="dxa"/>
                </w:tcPr>
                <w:p>
                  <w:pPr>
                    <w:jc w:val="left"/>
                    <w:rPr>
                      <w:rFonts w:eastAsiaTheme="minorEastAsia"/>
                      <w:sz w:val="21"/>
                      <w:szCs w:val="21"/>
                    </w:rPr>
                  </w:pPr>
                  <w:r>
                    <w:rPr>
                      <w:rFonts w:eastAsiaTheme="minorEastAsia"/>
                      <w:sz w:val="21"/>
                      <w:szCs w:val="21"/>
                    </w:rPr>
                    <w:t>对填埋覆土沿线采取</w:t>
                  </w:r>
                  <w:r>
                    <w:rPr>
                      <w:rFonts w:hint="eastAsia" w:eastAsiaTheme="minorEastAsia"/>
                      <w:sz w:val="21"/>
                      <w:szCs w:val="21"/>
                    </w:rPr>
                    <w:t>原有乡草植被覆盖</w:t>
                  </w:r>
                  <w:r>
                    <w:rPr>
                      <w:rFonts w:eastAsiaTheme="minorEastAsia"/>
                      <w:sz w:val="21"/>
                      <w:szCs w:val="21"/>
                    </w:rPr>
                    <w:t>措施进行迹地复。</w:t>
                  </w:r>
                </w:p>
              </w:tc>
              <w:tc>
                <w:tcPr>
                  <w:tcW w:w="551" w:type="dxa"/>
                </w:tcPr>
                <w:p>
                  <w:pPr>
                    <w:jc w:val="left"/>
                    <w:rPr>
                      <w:rFonts w:eastAsiaTheme="minorEastAsia"/>
                      <w:sz w:val="21"/>
                      <w:szCs w:val="21"/>
                    </w:rPr>
                  </w:pPr>
                  <w:r>
                    <w:rPr>
                      <w:rFonts w:eastAsiaTheme="minorEastAsia"/>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vMerge w:val="continue"/>
                </w:tcPr>
                <w:p>
                  <w:pPr>
                    <w:jc w:val="left"/>
                    <w:rPr>
                      <w:rFonts w:eastAsiaTheme="minorEastAsia"/>
                      <w:sz w:val="21"/>
                      <w:szCs w:val="21"/>
                    </w:rPr>
                  </w:pPr>
                </w:p>
              </w:tc>
              <w:tc>
                <w:tcPr>
                  <w:tcW w:w="690" w:type="dxa"/>
                  <w:vMerge w:val="restart"/>
                </w:tcPr>
                <w:p>
                  <w:pPr>
                    <w:jc w:val="left"/>
                    <w:rPr>
                      <w:rFonts w:eastAsiaTheme="minorEastAsia"/>
                      <w:sz w:val="21"/>
                      <w:szCs w:val="21"/>
                    </w:rPr>
                  </w:pPr>
                </w:p>
                <w:p>
                  <w:pPr>
                    <w:jc w:val="left"/>
                    <w:rPr>
                      <w:rFonts w:eastAsiaTheme="minorEastAsia"/>
                      <w:sz w:val="21"/>
                      <w:szCs w:val="21"/>
                    </w:rPr>
                  </w:pPr>
                </w:p>
                <w:p>
                  <w:pPr>
                    <w:jc w:val="left"/>
                    <w:rPr>
                      <w:rFonts w:eastAsiaTheme="minorEastAsia"/>
                      <w:sz w:val="21"/>
                      <w:szCs w:val="21"/>
                    </w:rPr>
                  </w:pPr>
                  <w:r>
                    <w:rPr>
                      <w:rFonts w:hint="eastAsia" w:eastAsiaTheme="minorEastAsia"/>
                      <w:sz w:val="21"/>
                      <w:szCs w:val="21"/>
                    </w:rPr>
                    <w:t>营</w:t>
                  </w:r>
                </w:p>
                <w:p>
                  <w:pPr>
                    <w:jc w:val="left"/>
                    <w:rPr>
                      <w:rFonts w:eastAsiaTheme="minorEastAsia"/>
                      <w:sz w:val="21"/>
                      <w:szCs w:val="21"/>
                    </w:rPr>
                  </w:pPr>
                  <w:r>
                    <w:rPr>
                      <w:rFonts w:hint="eastAsia" w:eastAsiaTheme="minorEastAsia"/>
                      <w:sz w:val="21"/>
                      <w:szCs w:val="21"/>
                    </w:rPr>
                    <w:t>运</w:t>
                  </w:r>
                </w:p>
                <w:p>
                  <w:pPr>
                    <w:jc w:val="left"/>
                    <w:rPr>
                      <w:rFonts w:eastAsiaTheme="minorEastAsia"/>
                      <w:sz w:val="21"/>
                      <w:szCs w:val="21"/>
                    </w:rPr>
                  </w:pPr>
                  <w:r>
                    <w:rPr>
                      <w:rFonts w:hint="eastAsia" w:eastAsiaTheme="minorEastAsia"/>
                      <w:sz w:val="21"/>
                      <w:szCs w:val="21"/>
                    </w:rPr>
                    <w:t>期</w:t>
                  </w:r>
                </w:p>
              </w:tc>
              <w:tc>
                <w:tcPr>
                  <w:tcW w:w="1276" w:type="dxa"/>
                </w:tcPr>
                <w:p>
                  <w:pPr>
                    <w:jc w:val="left"/>
                    <w:rPr>
                      <w:rFonts w:eastAsiaTheme="minorEastAsia"/>
                      <w:sz w:val="21"/>
                      <w:szCs w:val="21"/>
                    </w:rPr>
                  </w:pPr>
                  <w:r>
                    <w:rPr>
                      <w:rFonts w:hint="eastAsia" w:eastAsiaTheme="minorEastAsia"/>
                      <w:sz w:val="21"/>
                      <w:szCs w:val="21"/>
                    </w:rPr>
                    <w:t>废气</w:t>
                  </w:r>
                </w:p>
              </w:tc>
              <w:tc>
                <w:tcPr>
                  <w:tcW w:w="5003" w:type="dxa"/>
                </w:tcPr>
                <w:p>
                  <w:pPr>
                    <w:jc w:val="left"/>
                    <w:rPr>
                      <w:rFonts w:eastAsiaTheme="minorEastAsia"/>
                      <w:sz w:val="21"/>
                      <w:szCs w:val="21"/>
                    </w:rPr>
                  </w:pPr>
                  <w:r>
                    <w:rPr>
                      <w:rFonts w:hint="eastAsia" w:eastAsiaTheme="minorEastAsia"/>
                      <w:sz w:val="21"/>
                      <w:szCs w:val="21"/>
                    </w:rPr>
                    <w:t>/</w:t>
                  </w:r>
                </w:p>
              </w:tc>
              <w:tc>
                <w:tcPr>
                  <w:tcW w:w="551" w:type="dxa"/>
                </w:tcPr>
                <w:p>
                  <w:pPr>
                    <w:jc w:val="left"/>
                    <w:rPr>
                      <w:rFonts w:eastAsia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vMerge w:val="continue"/>
                </w:tcPr>
                <w:p>
                  <w:pPr>
                    <w:jc w:val="left"/>
                    <w:rPr>
                      <w:rFonts w:eastAsiaTheme="minorEastAsia"/>
                      <w:sz w:val="21"/>
                      <w:szCs w:val="21"/>
                    </w:rPr>
                  </w:pPr>
                </w:p>
              </w:tc>
              <w:tc>
                <w:tcPr>
                  <w:tcW w:w="690" w:type="dxa"/>
                  <w:vMerge w:val="continue"/>
                </w:tcPr>
                <w:p>
                  <w:pPr>
                    <w:jc w:val="left"/>
                    <w:rPr>
                      <w:rFonts w:eastAsiaTheme="minorEastAsia"/>
                      <w:sz w:val="21"/>
                      <w:szCs w:val="21"/>
                    </w:rPr>
                  </w:pPr>
                </w:p>
              </w:tc>
              <w:tc>
                <w:tcPr>
                  <w:tcW w:w="1276" w:type="dxa"/>
                </w:tcPr>
                <w:p>
                  <w:pPr>
                    <w:jc w:val="left"/>
                    <w:rPr>
                      <w:rFonts w:eastAsiaTheme="minorEastAsia"/>
                      <w:sz w:val="21"/>
                      <w:szCs w:val="21"/>
                    </w:rPr>
                  </w:pPr>
                  <w:r>
                    <w:rPr>
                      <w:rFonts w:hint="eastAsia" w:eastAsiaTheme="minorEastAsia"/>
                      <w:sz w:val="21"/>
                      <w:szCs w:val="21"/>
                    </w:rPr>
                    <w:t>废水</w:t>
                  </w:r>
                </w:p>
              </w:tc>
              <w:tc>
                <w:tcPr>
                  <w:tcW w:w="5003" w:type="dxa"/>
                </w:tcPr>
                <w:p>
                  <w:pPr>
                    <w:jc w:val="left"/>
                    <w:rPr>
                      <w:rFonts w:eastAsiaTheme="minorEastAsia"/>
                      <w:sz w:val="21"/>
                      <w:szCs w:val="21"/>
                    </w:rPr>
                  </w:pPr>
                  <w:r>
                    <w:rPr>
                      <w:rFonts w:hint="eastAsia" w:eastAsiaTheme="minorEastAsia"/>
                      <w:sz w:val="21"/>
                      <w:szCs w:val="21"/>
                    </w:rPr>
                    <w:t>/</w:t>
                  </w:r>
                </w:p>
              </w:tc>
              <w:tc>
                <w:tcPr>
                  <w:tcW w:w="551" w:type="dxa"/>
                </w:tcPr>
                <w:p>
                  <w:pPr>
                    <w:jc w:val="left"/>
                    <w:rPr>
                      <w:rFonts w:eastAsia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vMerge w:val="continue"/>
                </w:tcPr>
                <w:p>
                  <w:pPr>
                    <w:jc w:val="left"/>
                    <w:rPr>
                      <w:rFonts w:eastAsiaTheme="minorEastAsia"/>
                      <w:sz w:val="21"/>
                      <w:szCs w:val="21"/>
                    </w:rPr>
                  </w:pPr>
                </w:p>
              </w:tc>
              <w:tc>
                <w:tcPr>
                  <w:tcW w:w="690" w:type="dxa"/>
                  <w:vMerge w:val="continue"/>
                </w:tcPr>
                <w:p>
                  <w:pPr>
                    <w:jc w:val="left"/>
                    <w:rPr>
                      <w:rFonts w:eastAsiaTheme="minorEastAsia"/>
                      <w:sz w:val="21"/>
                      <w:szCs w:val="21"/>
                    </w:rPr>
                  </w:pPr>
                </w:p>
              </w:tc>
              <w:tc>
                <w:tcPr>
                  <w:tcW w:w="1276" w:type="dxa"/>
                </w:tcPr>
                <w:p>
                  <w:pPr>
                    <w:jc w:val="left"/>
                    <w:rPr>
                      <w:rFonts w:eastAsiaTheme="minorEastAsia"/>
                      <w:sz w:val="21"/>
                      <w:szCs w:val="21"/>
                    </w:rPr>
                  </w:pPr>
                  <w:r>
                    <w:rPr>
                      <w:rFonts w:hint="eastAsia" w:eastAsiaTheme="minorEastAsia"/>
                      <w:sz w:val="21"/>
                      <w:szCs w:val="21"/>
                    </w:rPr>
                    <w:t>噪声</w:t>
                  </w:r>
                </w:p>
              </w:tc>
              <w:tc>
                <w:tcPr>
                  <w:tcW w:w="5003" w:type="dxa"/>
                </w:tcPr>
                <w:p>
                  <w:pPr>
                    <w:jc w:val="left"/>
                    <w:rPr>
                      <w:rFonts w:eastAsiaTheme="minorEastAsia"/>
                      <w:sz w:val="21"/>
                      <w:szCs w:val="21"/>
                    </w:rPr>
                  </w:pPr>
                  <w:r>
                    <w:rPr>
                      <w:rFonts w:hint="eastAsia" w:eastAsiaTheme="minorEastAsia"/>
                      <w:sz w:val="21"/>
                      <w:szCs w:val="21"/>
                    </w:rPr>
                    <w:t>（1）设备选型上应选用先进的、噪音低、振动小的生产设备；（2）定期对设备进行维护和保养，保证水泵高效、稳定运行。</w:t>
                  </w:r>
                </w:p>
              </w:tc>
              <w:tc>
                <w:tcPr>
                  <w:tcW w:w="551" w:type="dxa"/>
                </w:tcPr>
                <w:p>
                  <w:pPr>
                    <w:jc w:val="left"/>
                    <w:rPr>
                      <w:rFonts w:eastAsia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vMerge w:val="continue"/>
                </w:tcPr>
                <w:p>
                  <w:pPr>
                    <w:jc w:val="left"/>
                    <w:rPr>
                      <w:rFonts w:eastAsiaTheme="minorEastAsia"/>
                      <w:sz w:val="21"/>
                      <w:szCs w:val="21"/>
                    </w:rPr>
                  </w:pPr>
                </w:p>
              </w:tc>
              <w:tc>
                <w:tcPr>
                  <w:tcW w:w="690" w:type="dxa"/>
                  <w:vMerge w:val="continue"/>
                </w:tcPr>
                <w:p>
                  <w:pPr>
                    <w:jc w:val="left"/>
                    <w:rPr>
                      <w:rFonts w:eastAsiaTheme="minorEastAsia"/>
                      <w:sz w:val="21"/>
                      <w:szCs w:val="21"/>
                    </w:rPr>
                  </w:pPr>
                </w:p>
              </w:tc>
              <w:tc>
                <w:tcPr>
                  <w:tcW w:w="1276" w:type="dxa"/>
                </w:tcPr>
                <w:p>
                  <w:pPr>
                    <w:jc w:val="left"/>
                    <w:rPr>
                      <w:rFonts w:eastAsiaTheme="minorEastAsia"/>
                      <w:sz w:val="21"/>
                      <w:szCs w:val="21"/>
                    </w:rPr>
                  </w:pPr>
                  <w:r>
                    <w:rPr>
                      <w:rFonts w:hint="eastAsia" w:eastAsiaTheme="minorEastAsia"/>
                      <w:sz w:val="21"/>
                      <w:szCs w:val="21"/>
                    </w:rPr>
                    <w:t>固废</w:t>
                  </w:r>
                </w:p>
              </w:tc>
              <w:tc>
                <w:tcPr>
                  <w:tcW w:w="5003" w:type="dxa"/>
                </w:tcPr>
                <w:p>
                  <w:pPr>
                    <w:jc w:val="left"/>
                    <w:rPr>
                      <w:rFonts w:hint="eastAsia" w:eastAsiaTheme="minorEastAsia"/>
                      <w:sz w:val="21"/>
                      <w:szCs w:val="21"/>
                      <w:lang w:eastAsia="zh-CN"/>
                    </w:rPr>
                  </w:pPr>
                  <w:r>
                    <w:rPr>
                      <w:rFonts w:hint="eastAsia" w:eastAsiaTheme="minorEastAsia"/>
                      <w:sz w:val="21"/>
                      <w:szCs w:val="21"/>
                      <w:lang w:eastAsia="zh-CN"/>
                    </w:rPr>
                    <w:t>泵站维修废机油，产生量为</w:t>
                  </w:r>
                  <w:r>
                    <w:rPr>
                      <w:rFonts w:hint="eastAsia" w:eastAsiaTheme="minorEastAsia"/>
                      <w:sz w:val="21"/>
                      <w:szCs w:val="21"/>
                      <w:lang w:val="en-US" w:eastAsia="zh-CN"/>
                    </w:rPr>
                    <w:t>2Kg/a，</w:t>
                  </w:r>
                  <w:r>
                    <w:rPr>
                      <w:rFonts w:hint="eastAsia" w:eastAsiaTheme="minorEastAsia"/>
                      <w:sz w:val="21"/>
                      <w:szCs w:val="21"/>
                      <w:lang w:eastAsia="zh-CN"/>
                    </w:rPr>
                    <w:t>由维修人员带走处置。</w:t>
                  </w:r>
                </w:p>
              </w:tc>
              <w:tc>
                <w:tcPr>
                  <w:tcW w:w="551" w:type="dxa"/>
                </w:tcPr>
                <w:p>
                  <w:pPr>
                    <w:jc w:val="left"/>
                    <w:rPr>
                      <w:rFonts w:eastAsiaTheme="minorEastAsia"/>
                      <w:sz w:val="21"/>
                      <w:szCs w:val="21"/>
                    </w:rPr>
                  </w:pPr>
                </w:p>
              </w:tc>
            </w:tr>
          </w:tbl>
          <w:p>
            <w:pPr>
              <w:spacing w:line="360" w:lineRule="auto"/>
              <w:ind w:firstLine="482" w:firstLineChars="200"/>
              <w:rPr>
                <w:b/>
              </w:rPr>
            </w:pPr>
            <w:r>
              <w:rPr>
                <w:rFonts w:hint="eastAsia"/>
                <w:b/>
              </w:rPr>
              <w:t>3、工程方案设计</w:t>
            </w:r>
          </w:p>
          <w:p>
            <w:pPr>
              <w:spacing w:line="360" w:lineRule="auto"/>
              <w:ind w:firstLine="482" w:firstLineChars="200"/>
              <w:rPr>
                <w:b/>
              </w:rPr>
            </w:pPr>
            <w:r>
              <w:rPr>
                <w:rFonts w:hint="eastAsia"/>
                <w:b/>
              </w:rPr>
              <w:t>一、 取水工程</w:t>
            </w:r>
          </w:p>
          <w:p>
            <w:pPr>
              <w:spacing w:line="360" w:lineRule="auto"/>
              <w:ind w:firstLine="480" w:firstLineChars="200"/>
            </w:pPr>
            <w:r>
              <w:rPr>
                <w:rFonts w:hint="eastAsia"/>
              </w:rPr>
              <w:t>（1）取水规模</w:t>
            </w:r>
          </w:p>
          <w:p>
            <w:pPr>
              <w:spacing w:line="360" w:lineRule="auto"/>
              <w:ind w:firstLine="480" w:firstLineChars="200"/>
            </w:pPr>
            <w:r>
              <w:rPr>
                <w:rFonts w:hint="eastAsia"/>
              </w:rPr>
              <w:t>取水泵房年取水量广兴洲自来水厂175万m</w:t>
            </w:r>
            <w:r>
              <w:rPr>
                <w:rFonts w:hint="eastAsia"/>
                <w:vertAlign w:val="superscript"/>
              </w:rPr>
              <w:t>3</w:t>
            </w:r>
            <w:r>
              <w:rPr>
                <w:rFonts w:hint="eastAsia"/>
              </w:rPr>
              <w:t>/a，许市自来水厂125万m</w:t>
            </w:r>
            <w:r>
              <w:rPr>
                <w:rFonts w:hint="eastAsia"/>
                <w:vertAlign w:val="superscript"/>
              </w:rPr>
              <w:t>3</w:t>
            </w:r>
            <w:r>
              <w:rPr>
                <w:rFonts w:hint="eastAsia"/>
              </w:rPr>
              <w:t>/a。</w:t>
            </w:r>
          </w:p>
          <w:p>
            <w:pPr>
              <w:spacing w:line="360" w:lineRule="auto"/>
              <w:ind w:firstLine="480" w:firstLineChars="200"/>
            </w:pPr>
            <w:r>
              <w:rPr>
                <w:rFonts w:hint="eastAsia"/>
              </w:rPr>
              <w:t>（2）取水点和取水方式</w:t>
            </w:r>
          </w:p>
          <w:p>
            <w:pPr>
              <w:spacing w:line="360" w:lineRule="auto"/>
              <w:ind w:firstLine="480" w:firstLineChars="200"/>
              <w:rPr>
                <w:highlight w:val="none"/>
              </w:rPr>
            </w:pPr>
            <w:r>
              <w:rPr>
                <w:rFonts w:hint="eastAsia"/>
              </w:rPr>
              <w:t>根据水源论证，本工程取水点确定在原洪水港闸下游1km处长江右岸，长江桩号34+774。已建取水浮船泵站、输水管路，取水口坐标为：112°54'24.93"，纬度 29°36'33.59"。取水头部采用立式潜水泵浮船，泵组6台（备用一台），通过6根DN1400（壁厚12mm）输水钢管</w:t>
            </w:r>
            <w:r>
              <w:rPr>
                <w:rFonts w:hint="eastAsia"/>
                <w:highlight w:val="none"/>
              </w:rPr>
              <w:t>，本项目依托洪水港泵站新增</w:t>
            </w:r>
            <w:r>
              <w:rPr>
                <w:rFonts w:hint="eastAsia"/>
                <w:highlight w:val="none"/>
                <w:lang w:val="en-US" w:eastAsia="zh-CN"/>
              </w:rPr>
              <w:t>2</w:t>
            </w:r>
            <w:r>
              <w:rPr>
                <w:rFonts w:hint="eastAsia"/>
                <w:highlight w:val="none"/>
              </w:rPr>
              <w:t>台90KW取水泵，2根DN500输水钢管分别接入广兴洲镇水厂、许市镇水厂。沿建新垸西干渠新建输水管道与原输水管道连接。</w:t>
            </w:r>
          </w:p>
          <w:p>
            <w:pPr>
              <w:spacing w:line="360" w:lineRule="auto"/>
              <w:ind w:firstLine="482" w:firstLineChars="200"/>
              <w:rPr>
                <w:b/>
              </w:rPr>
            </w:pPr>
            <w:r>
              <w:rPr>
                <w:rFonts w:hint="eastAsia"/>
                <w:b/>
              </w:rPr>
              <w:t>二、 输水工程</w:t>
            </w:r>
          </w:p>
          <w:p>
            <w:pPr>
              <w:spacing w:line="360" w:lineRule="auto"/>
              <w:ind w:firstLine="480" w:firstLineChars="200"/>
            </w:pPr>
            <w:r>
              <w:rPr>
                <w:rFonts w:hint="eastAsia"/>
              </w:rPr>
              <w:t>（1）平面及竖向设计</w:t>
            </w:r>
          </w:p>
          <w:p>
            <w:pPr>
              <w:spacing w:line="360" w:lineRule="auto"/>
              <w:ind w:firstLine="480" w:firstLineChars="200"/>
            </w:pPr>
            <w:r>
              <w:rPr>
                <w:rFonts w:hint="eastAsia"/>
              </w:rPr>
              <w:t>取水泵房年取水量广兴洲自来水厂175万m</w:t>
            </w:r>
            <w:r>
              <w:rPr>
                <w:rFonts w:hint="eastAsia"/>
                <w:vertAlign w:val="superscript"/>
              </w:rPr>
              <w:t>3</w:t>
            </w:r>
            <w:r>
              <w:rPr>
                <w:rFonts w:hint="eastAsia"/>
              </w:rPr>
              <w:t>/a，许市自来水厂125万m</w:t>
            </w:r>
            <w:r>
              <w:rPr>
                <w:rFonts w:hint="eastAsia"/>
                <w:vertAlign w:val="superscript"/>
              </w:rPr>
              <w:t>3</w:t>
            </w:r>
            <w:r>
              <w:rPr>
                <w:rFonts w:hint="eastAsia"/>
              </w:rPr>
              <w:t>/a。现取水泵房谭子坑取水泵站距搬迁洪水港取水泵站3km，考虑到安全运行，节约 成本、后期维护等因数，从洪水港取水泵站沿建新垸西干渠铺设输水管道两根 DN500球墨铸铁管分别为2.6km（广兴洲自来水厂），2.2km（许市自来水厂），接原有输水管，埋深1.5m。许市自来水厂沿西干渠在长号居民点支渠处连接原有输水管，广兴洲自来水厂西干渠与二支渠交汇处连接原有输水管。</w:t>
            </w:r>
          </w:p>
          <w:p>
            <w:pPr>
              <w:numPr>
                <w:ilvl w:val="0"/>
                <w:numId w:val="1"/>
              </w:numPr>
              <w:spacing w:line="360" w:lineRule="auto"/>
              <w:ind w:firstLine="480" w:firstLineChars="200"/>
              <w:rPr>
                <w:rFonts w:hint="eastAsia"/>
                <w:highlight w:val="none"/>
              </w:rPr>
            </w:pPr>
            <w:r>
              <w:rPr>
                <w:rFonts w:hint="eastAsia"/>
                <w:highlight w:val="none"/>
                <w:lang w:eastAsia="zh-CN"/>
              </w:rPr>
              <w:t>管道穿越方式。本项目考虑到管道的安全性和穿越处的实际需要，穿越防洪堤时采用泥水平衡顶管穿越。</w:t>
            </w:r>
            <w:r>
              <w:rPr>
                <w:rFonts w:hint="eastAsia"/>
                <w:highlight w:val="none"/>
              </w:rPr>
              <w:t>顶管施工就是非开挖施工方法，是一种不开挖或者少开挖的管道埋设施工技术。这种技术的优点是</w:t>
            </w:r>
            <w:r>
              <w:rPr>
                <w:rFonts w:hint="eastAsia"/>
                <w:highlight w:val="none"/>
                <w:lang w:eastAsia="zh-CN"/>
              </w:rPr>
              <w:t>：</w:t>
            </w:r>
            <w:r>
              <w:rPr>
                <w:rFonts w:hint="eastAsia"/>
                <w:highlight w:val="none"/>
              </w:rPr>
              <w:t>不开挖地面</w:t>
            </w:r>
            <w:r>
              <w:rPr>
                <w:rFonts w:hint="eastAsia"/>
                <w:highlight w:val="none"/>
                <w:lang w:eastAsia="zh-CN"/>
              </w:rPr>
              <w:t>，</w:t>
            </w:r>
            <w:r>
              <w:rPr>
                <w:rFonts w:hint="eastAsia"/>
                <w:highlight w:val="none"/>
              </w:rPr>
              <w:t>不拆迁，不破坏地面建筑物</w:t>
            </w:r>
            <w:r>
              <w:rPr>
                <w:rFonts w:hint="eastAsia"/>
                <w:highlight w:val="none"/>
                <w:lang w:eastAsia="zh-CN"/>
              </w:rPr>
              <w:t>，</w:t>
            </w:r>
            <w:r>
              <w:rPr>
                <w:rFonts w:hint="eastAsia"/>
                <w:highlight w:val="none"/>
              </w:rPr>
              <w:t>不破坏环境</w:t>
            </w:r>
            <w:r>
              <w:rPr>
                <w:rFonts w:hint="eastAsia"/>
                <w:highlight w:val="none"/>
                <w:lang w:eastAsia="zh-CN"/>
              </w:rPr>
              <w:t>，</w:t>
            </w:r>
            <w:r>
              <w:rPr>
                <w:rFonts w:hint="eastAsia"/>
                <w:highlight w:val="none"/>
              </w:rPr>
              <w:t>不影响管道的段差变形</w:t>
            </w:r>
            <w:r>
              <w:rPr>
                <w:rFonts w:hint="eastAsia"/>
                <w:highlight w:val="none"/>
                <w:lang w:eastAsia="zh-CN"/>
              </w:rPr>
              <w:t>，</w:t>
            </w:r>
            <w:r>
              <w:rPr>
                <w:rFonts w:hint="eastAsia"/>
                <w:highlight w:val="none"/>
              </w:rPr>
              <w:t>省时、高效、安全，综合造价低。</w:t>
            </w:r>
          </w:p>
          <w:p>
            <w:pPr>
              <w:numPr>
                <w:ilvl w:val="0"/>
                <w:numId w:val="1"/>
              </w:numPr>
              <w:spacing w:line="360" w:lineRule="auto"/>
              <w:ind w:firstLine="480" w:firstLineChars="200"/>
            </w:pPr>
            <w:r>
              <w:rPr>
                <w:rFonts w:hint="eastAsia"/>
              </w:rPr>
              <w:t xml:space="preserve">管道的安装 </w:t>
            </w:r>
          </w:p>
          <w:p>
            <w:pPr>
              <w:spacing w:line="360" w:lineRule="auto"/>
              <w:ind w:firstLine="480" w:firstLineChars="200"/>
            </w:pPr>
            <w:r>
              <w:rPr>
                <w:rFonts w:hint="eastAsia"/>
              </w:rPr>
              <w:t>一般地段的管道施工采用沟槽开挖方式。根据施工地段的土质和埋设深度以及场地条件选择直槽或梯形槽。沟槽宽度应便于管道敷设和安装，同时考虑夯实机具便于操作。</w:t>
            </w:r>
          </w:p>
          <w:p>
            <w:pPr>
              <w:spacing w:line="360" w:lineRule="auto"/>
              <w:ind w:firstLine="482" w:firstLineChars="200"/>
              <w:rPr>
                <w:b/>
              </w:rPr>
            </w:pPr>
            <w:r>
              <w:rPr>
                <w:rFonts w:hint="eastAsia"/>
                <w:b/>
              </w:rPr>
              <w:t>三、主要工程量</w:t>
            </w:r>
          </w:p>
          <w:p>
            <w:pPr>
              <w:spacing w:line="360" w:lineRule="auto"/>
              <w:ind w:firstLine="480" w:firstLineChars="200"/>
            </w:pPr>
            <w:r>
              <w:rPr>
                <w:rFonts w:hint="eastAsia"/>
              </w:rPr>
              <w:t>（1）占地面积</w:t>
            </w:r>
          </w:p>
          <w:p>
            <w:pPr>
              <w:spacing w:line="360" w:lineRule="auto"/>
              <w:ind w:firstLine="480" w:firstLineChars="200"/>
            </w:pPr>
            <w:r>
              <w:rPr>
                <w:rFonts w:hint="eastAsia"/>
              </w:rPr>
              <w:t>根据现场调查，结合项目主体工程设计资料，本项目新铺设输水管线占地 4160m</w:t>
            </w:r>
            <w:r>
              <w:rPr>
                <w:rFonts w:hint="eastAsia"/>
                <w:vertAlign w:val="superscript"/>
              </w:rPr>
              <w:t>2</w:t>
            </w:r>
            <w:r>
              <w:rPr>
                <w:rFonts w:hint="eastAsia"/>
              </w:rPr>
              <w:t>。占地现状为农业用地。</w:t>
            </w:r>
          </w:p>
          <w:p>
            <w:pPr>
              <w:spacing w:line="360" w:lineRule="auto"/>
              <w:ind w:firstLine="480" w:firstLineChars="200"/>
            </w:pPr>
            <w:r>
              <w:rPr>
                <w:rFonts w:hint="eastAsia"/>
              </w:rPr>
              <w:t>（2） 土石方</w:t>
            </w:r>
          </w:p>
          <w:p>
            <w:pPr>
              <w:spacing w:line="360" w:lineRule="auto"/>
              <w:ind w:firstLine="480" w:firstLineChars="200"/>
            </w:pPr>
            <w:r>
              <w:rPr>
                <w:rFonts w:hint="eastAsia"/>
              </w:rPr>
              <w:t>根据本项目设计资料，经现场勘查永久占地为农业用地，本项目新铺设输水管线土石方开挖总量为</w:t>
            </w:r>
            <w:r>
              <w:rPr>
                <w:rFonts w:hint="eastAsia"/>
                <w:lang w:eastAsia="zh-CN"/>
              </w:rPr>
              <w:t>6384</w:t>
            </w:r>
            <w:r>
              <w:rPr>
                <w:rFonts w:hint="eastAsia"/>
              </w:rPr>
              <w:t xml:space="preserve"> m</w:t>
            </w:r>
            <w:r>
              <w:rPr>
                <w:rFonts w:hint="eastAsia"/>
                <w:vertAlign w:val="superscript"/>
              </w:rPr>
              <w:t>3</w:t>
            </w:r>
            <w:r>
              <w:rPr>
                <w:rFonts w:hint="eastAsia"/>
              </w:rPr>
              <w:t>。本项目土石全部回填。</w:t>
            </w:r>
          </w:p>
          <w:p>
            <w:pPr>
              <w:spacing w:line="360" w:lineRule="auto"/>
              <w:ind w:firstLine="482" w:firstLineChars="200"/>
              <w:rPr>
                <w:b/>
              </w:rPr>
            </w:pPr>
            <w:r>
              <w:rPr>
                <w:rFonts w:hint="eastAsia"/>
                <w:b/>
              </w:rPr>
              <w:t>四、水量预测与水源论证</w:t>
            </w:r>
          </w:p>
          <w:p>
            <w:pPr>
              <w:spacing w:line="360" w:lineRule="auto"/>
              <w:ind w:firstLine="482" w:firstLineChars="200"/>
              <w:rPr>
                <w:b/>
                <w:bCs/>
              </w:rPr>
            </w:pPr>
            <w:r>
              <w:rPr>
                <w:rFonts w:hint="eastAsia"/>
                <w:b/>
                <w:bCs/>
              </w:rPr>
              <w:t>1、 需水量预测</w:t>
            </w:r>
          </w:p>
          <w:p>
            <w:pPr>
              <w:spacing w:line="360" w:lineRule="auto"/>
              <w:ind w:firstLine="480" w:firstLineChars="200"/>
            </w:pPr>
            <w:r>
              <w:rPr>
                <w:rFonts w:hint="eastAsia"/>
                <w:lang w:eastAsia="zh-CN"/>
              </w:rPr>
              <w:t>（</w:t>
            </w:r>
            <w:r>
              <w:rPr>
                <w:rFonts w:hint="eastAsia"/>
                <w:lang w:val="en-US" w:eastAsia="zh-CN"/>
              </w:rPr>
              <w:t>1</w:t>
            </w:r>
            <w:r>
              <w:rPr>
                <w:rFonts w:hint="eastAsia"/>
                <w:lang w:eastAsia="zh-CN"/>
              </w:rPr>
              <w:t>）</w:t>
            </w:r>
            <w:r>
              <w:rPr>
                <w:rFonts w:hint="eastAsia"/>
              </w:rPr>
              <w:t>广兴洲自来水厂</w:t>
            </w:r>
          </w:p>
          <w:p>
            <w:pPr>
              <w:spacing w:line="360" w:lineRule="auto"/>
              <w:ind w:firstLine="480" w:firstLineChars="200"/>
            </w:pPr>
            <w:r>
              <w:rPr>
                <w:rFonts w:hint="eastAsia"/>
              </w:rPr>
              <w:t>根据《岳阳市君山区广兴洲镇安全饮水工程初步设计报告》，用水量预测如下：居民生活用水:本项目供水范围内到2027年的规划人口为45943人，最高日居民生活用水定额取80L/d.人。综合生活用水量为3675.52m</w:t>
            </w:r>
            <w:r>
              <w:rPr>
                <w:rFonts w:hint="eastAsia"/>
                <w:vertAlign w:val="superscript"/>
              </w:rPr>
              <w:t>3</w:t>
            </w:r>
            <w:r>
              <w:rPr>
                <w:rFonts w:hint="eastAsia"/>
              </w:rPr>
              <w:t>/d。村镇企业和专业户饲养畜禽用水量，用水范国无大户乡镇企业，且本工程为农村饮水安全工程，企业用水量不考虑。公共建筑用水量：由于缺乏资料，根据规范SL310-2004建议的生活用水量的5％~10％，本项目取8％，计算结果为294.04m</w:t>
            </w:r>
            <w:r>
              <w:rPr>
                <w:vertAlign w:val="superscript"/>
              </w:rPr>
              <w:t>3</w:t>
            </w:r>
            <w:r>
              <w:rPr>
                <w:rFonts w:hint="eastAsia"/>
              </w:rPr>
              <w:t>/d。未预见用水量和管网漏失水量按日用水量的15％计算，计算结果为595.43mm</w:t>
            </w:r>
            <w:r>
              <w:rPr>
                <w:vertAlign w:val="superscript"/>
              </w:rPr>
              <w:t>3</w:t>
            </w:r>
            <w:r>
              <w:rPr>
                <w:rFonts w:hint="eastAsia"/>
              </w:rPr>
              <w:t>/d。</w:t>
            </w:r>
          </w:p>
          <w:p>
            <w:pPr>
              <w:spacing w:line="360" w:lineRule="auto"/>
              <w:ind w:firstLine="480" w:firstLineChars="200"/>
            </w:pPr>
            <w:r>
              <w:rPr>
                <w:rFonts w:hint="eastAsia"/>
              </w:rPr>
              <w:t>故供水规模取4565m</w:t>
            </w:r>
            <w:r>
              <w:rPr>
                <w:vertAlign w:val="superscript"/>
              </w:rPr>
              <w:t>3</w:t>
            </w:r>
            <w:r>
              <w:rPr>
                <w:rFonts w:hint="eastAsia"/>
              </w:rPr>
              <w:t>/d，水源取水量可按供水规模加水厂自用水量确定，为4793m</w:t>
            </w:r>
            <w:r>
              <w:rPr>
                <w:rFonts w:hint="eastAsia"/>
                <w:vertAlign w:val="superscript"/>
              </w:rPr>
              <w:t>3</w:t>
            </w:r>
            <w:r>
              <w:rPr>
                <w:rFonts w:hint="eastAsia"/>
              </w:rPr>
              <w:t>/d。</w:t>
            </w:r>
          </w:p>
          <w:p>
            <w:pPr>
              <w:spacing w:line="360" w:lineRule="auto"/>
              <w:ind w:firstLine="480" w:firstLineChars="200"/>
            </w:pPr>
            <w:r>
              <w:rPr>
                <w:rFonts w:hint="eastAsia"/>
                <w:lang w:eastAsia="zh-CN"/>
              </w:rPr>
              <w:t>（</w:t>
            </w:r>
            <w:r>
              <w:rPr>
                <w:rFonts w:hint="eastAsia"/>
                <w:lang w:val="en-US" w:eastAsia="zh-CN"/>
              </w:rPr>
              <w:t>2</w:t>
            </w:r>
            <w:r>
              <w:rPr>
                <w:rFonts w:hint="eastAsia"/>
                <w:lang w:eastAsia="zh-CN"/>
              </w:rPr>
              <w:t>）</w:t>
            </w:r>
            <w:r>
              <w:rPr>
                <w:rFonts w:hint="eastAsia"/>
              </w:rPr>
              <w:t>许市镇自来水厂</w:t>
            </w:r>
          </w:p>
          <w:p>
            <w:pPr>
              <w:spacing w:line="360" w:lineRule="auto"/>
              <w:ind w:firstLine="480" w:firstLineChars="200"/>
            </w:pPr>
            <w:r>
              <w:rPr>
                <w:rFonts w:hint="eastAsia"/>
              </w:rPr>
              <w:t>根据《岳阳市君山区许市镇安全饮水工程初步设计报告》，</w:t>
            </w:r>
            <w:r>
              <w:rPr>
                <w:rFonts w:hint="eastAsia"/>
                <w:bCs/>
              </w:rPr>
              <w:t>用水量预测如下，居民生活用水：本项目供水范围内到2027年的规划人口为33731人，最高日居民生活用水定额取80L/d人、综合生活用水量为2698.5m</w:t>
            </w:r>
            <w:r>
              <w:rPr>
                <w:bCs/>
                <w:vertAlign w:val="superscript"/>
              </w:rPr>
              <w:t>3</w:t>
            </w:r>
            <w:r>
              <w:rPr>
                <w:rFonts w:hint="eastAsia"/>
                <w:bCs/>
              </w:rPr>
              <w:t>d、村镇企业和专业户饲养畜禽用水量，用水范围无大户乡镇企业，且本工程为农村饮水安全工程，企业用水量不考虑。公共建筑用水量，由于缺乏资料，根据规范SL310-2004建议的居民生活用水量的5％~10％、本项目取10％，计算结果为269.85m</w:t>
            </w:r>
            <w:r>
              <w:rPr>
                <w:bCs/>
                <w:vertAlign w:val="superscript"/>
              </w:rPr>
              <w:t>3</w:t>
            </w:r>
            <w:r>
              <w:rPr>
                <w:rFonts w:hint="eastAsia"/>
                <w:bCs/>
              </w:rPr>
              <w:t>/d。未预见用水量和管网漏失水量按日用水量的10％计算，计算结果为269.85m</w:t>
            </w:r>
            <w:r>
              <w:rPr>
                <w:bCs/>
                <w:vertAlign w:val="superscript"/>
              </w:rPr>
              <w:t>3</w:t>
            </w:r>
            <w:r>
              <w:rPr>
                <w:rFonts w:hint="eastAsia"/>
                <w:bCs/>
              </w:rPr>
              <w:t>/d，故供水规模取3265m</w:t>
            </w:r>
            <w:r>
              <w:rPr>
                <w:bCs/>
                <w:vertAlign w:val="superscript"/>
              </w:rPr>
              <w:t>3</w:t>
            </w:r>
            <w:r>
              <w:rPr>
                <w:rFonts w:hint="eastAsia"/>
                <w:bCs/>
              </w:rPr>
              <w:t>/d，水源取水量可按供水规模加水厂自用水量确定，为3428m</w:t>
            </w:r>
            <w:r>
              <w:rPr>
                <w:bCs/>
                <w:vertAlign w:val="superscript"/>
              </w:rPr>
              <w:t>3</w:t>
            </w:r>
            <w:r>
              <w:rPr>
                <w:rFonts w:hint="eastAsia"/>
                <w:bCs/>
              </w:rPr>
              <w:t>/d</w:t>
            </w:r>
            <w:r>
              <w:rPr>
                <w:rFonts w:hint="eastAsia"/>
              </w:rPr>
              <w:t>。</w:t>
            </w:r>
          </w:p>
          <w:p>
            <w:pPr>
              <w:spacing w:line="360" w:lineRule="auto"/>
              <w:ind w:firstLine="482" w:firstLineChars="200"/>
              <w:rPr>
                <w:b/>
                <w:bCs/>
              </w:rPr>
            </w:pPr>
            <w:r>
              <w:rPr>
                <w:b/>
                <w:bCs/>
              </w:rPr>
              <w:t>2</w:t>
            </w:r>
            <w:r>
              <w:rPr>
                <w:rFonts w:hint="eastAsia"/>
                <w:b/>
                <w:bCs/>
              </w:rPr>
              <w:t>、 水源论证</w:t>
            </w:r>
          </w:p>
          <w:p>
            <w:pPr>
              <w:spacing w:line="360" w:lineRule="auto"/>
              <w:ind w:firstLine="480" w:firstLineChars="200"/>
            </w:pPr>
            <w:r>
              <w:rPr>
                <w:rFonts w:hint="eastAsia"/>
              </w:rPr>
              <w:t>1）水量由保证</w:t>
            </w:r>
          </w:p>
          <w:p>
            <w:pPr>
              <w:spacing w:line="360" w:lineRule="auto"/>
              <w:ind w:firstLine="480" w:firstLineChars="200"/>
            </w:pPr>
            <w:r>
              <w:rPr>
                <w:rFonts w:hint="eastAsia"/>
              </w:rPr>
              <w:t>根据水量计算，取水口水量有保证；本工程以长江干流为水源，设计最大取水流量19.54m</w:t>
            </w:r>
            <w:r>
              <w:rPr>
                <w:rFonts w:hint="eastAsia"/>
                <w:vertAlign w:val="superscript"/>
              </w:rPr>
              <w:t>3</w:t>
            </w:r>
            <w:r>
              <w:rPr>
                <w:rFonts w:hint="eastAsia"/>
              </w:rPr>
              <w:t>/s。广兴洲镇水厂最大取水流量0</w:t>
            </w:r>
            <w:r>
              <w:t>.055</w:t>
            </w:r>
            <w:r>
              <w:rPr>
                <w:rFonts w:hint="eastAsia"/>
              </w:rPr>
              <w:t xml:space="preserve"> m</w:t>
            </w:r>
            <w:r>
              <w:rPr>
                <w:rFonts w:hint="eastAsia"/>
                <w:vertAlign w:val="superscript"/>
              </w:rPr>
              <w:t>3</w:t>
            </w:r>
            <w:r>
              <w:rPr>
                <w:rFonts w:hint="eastAsia"/>
              </w:rPr>
              <w:t>/s，许市镇水厂最大取水流量0</w:t>
            </w:r>
            <w:r>
              <w:t>.04</w:t>
            </w:r>
            <w:r>
              <w:rPr>
                <w:rFonts w:hint="eastAsia"/>
              </w:rPr>
              <w:t xml:space="preserve"> m</w:t>
            </w:r>
            <w:r>
              <w:rPr>
                <w:rFonts w:hint="eastAsia"/>
                <w:vertAlign w:val="superscript"/>
              </w:rPr>
              <w:t>3</w:t>
            </w:r>
            <w:r>
              <w:rPr>
                <w:rFonts w:hint="eastAsia"/>
              </w:rPr>
              <w:t>/s。说明本工程以长江为取水水源的取水量有保障。</w:t>
            </w:r>
          </w:p>
          <w:p>
            <w:pPr>
              <w:spacing w:line="360" w:lineRule="auto"/>
              <w:ind w:firstLine="480" w:firstLineChars="200"/>
            </w:pPr>
            <w:r>
              <w:rPr>
                <w:rFonts w:hint="eastAsia"/>
              </w:rPr>
              <w:t>2）水质有保证</w:t>
            </w:r>
          </w:p>
          <w:p>
            <w:pPr>
              <w:spacing w:line="360" w:lineRule="auto"/>
              <w:ind w:firstLine="480" w:firstLineChars="200"/>
            </w:pPr>
            <w:r>
              <w:rPr>
                <w:rFonts w:hint="eastAsia"/>
              </w:rPr>
              <w:t xml:space="preserve">本取水口位于原谭子坑取水口河道上游 </w:t>
            </w:r>
            <w:r>
              <w:t>3</w:t>
            </w:r>
            <w:r>
              <w:rPr>
                <w:rFonts w:hint="eastAsia"/>
              </w:rPr>
              <w:t>km，取水口以上无工业区，无较大的集中居住区，根据相关规范自来水厂的水源要求水质达到《地表水环境质量标准》(GB3838-2002)Ⅲ类水标准以上。本项目以长江水作为水源，长江的水量变化较大，应分别对丰水期和枯水期的长江水进行水质评价。根据本项目《续延取水申请书》提供的资料，君山区水质检测中心于2018年12月26日(枯水期)对谭子坑长江取水口处水质进行了监测，详见下表。</w:t>
            </w:r>
          </w:p>
          <w:p>
            <w:pPr>
              <w:spacing w:line="360" w:lineRule="auto"/>
              <w:jc w:val="center"/>
              <w:rPr>
                <w:b/>
                <w:sz w:val="21"/>
                <w:szCs w:val="21"/>
              </w:rPr>
            </w:pPr>
            <w:r>
              <w:rPr>
                <w:rFonts w:hint="eastAsia"/>
                <w:b/>
                <w:sz w:val="21"/>
                <w:szCs w:val="21"/>
              </w:rPr>
              <w:t>表</w:t>
            </w:r>
            <w:r>
              <w:rPr>
                <w:b/>
                <w:sz w:val="21"/>
                <w:szCs w:val="21"/>
              </w:rPr>
              <w:t xml:space="preserve">1-2  </w:t>
            </w:r>
            <w:r>
              <w:rPr>
                <w:rFonts w:hint="eastAsia"/>
                <w:b/>
                <w:sz w:val="21"/>
                <w:szCs w:val="21"/>
              </w:rPr>
              <w:t>潭子坑取水口处枯水期水质现状监测结果</w:t>
            </w:r>
          </w:p>
          <w:tbl>
            <w:tblPr>
              <w:tblStyle w:val="45"/>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92"/>
              <w:gridCol w:w="2258"/>
              <w:gridCol w:w="1895"/>
              <w:gridCol w:w="1688"/>
              <w:gridCol w:w="168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序号</w:t>
                  </w:r>
                </w:p>
              </w:tc>
              <w:tc>
                <w:tcPr>
                  <w:tcW w:w="1341" w:type="pct"/>
                </w:tcPr>
                <w:p>
                  <w:pPr>
                    <w:jc w:val="center"/>
                    <w:rPr>
                      <w:sz w:val="21"/>
                      <w:szCs w:val="21"/>
                    </w:rPr>
                  </w:pPr>
                  <w:r>
                    <w:rPr>
                      <w:rFonts w:hint="eastAsia"/>
                      <w:sz w:val="21"/>
                      <w:szCs w:val="21"/>
                    </w:rPr>
                    <w:t>检测项目</w:t>
                  </w:r>
                </w:p>
              </w:tc>
              <w:tc>
                <w:tcPr>
                  <w:tcW w:w="1125" w:type="pct"/>
                </w:tcPr>
                <w:p>
                  <w:pPr>
                    <w:jc w:val="center"/>
                    <w:rPr>
                      <w:sz w:val="21"/>
                      <w:szCs w:val="21"/>
                    </w:rPr>
                  </w:pPr>
                  <w:r>
                    <w:rPr>
                      <w:rFonts w:hint="eastAsia"/>
                      <w:sz w:val="21"/>
                      <w:szCs w:val="21"/>
                    </w:rPr>
                    <w:t>结果</w:t>
                  </w:r>
                </w:p>
              </w:tc>
              <w:tc>
                <w:tcPr>
                  <w:tcW w:w="1002" w:type="pct"/>
                </w:tcPr>
                <w:p>
                  <w:pPr>
                    <w:jc w:val="center"/>
                    <w:rPr>
                      <w:sz w:val="21"/>
                      <w:szCs w:val="21"/>
                    </w:rPr>
                  </w:pPr>
                  <w:r>
                    <w:rPr>
                      <w:rFonts w:hint="eastAsia"/>
                      <w:sz w:val="21"/>
                      <w:szCs w:val="21"/>
                    </w:rPr>
                    <w:t>单位</w:t>
                  </w:r>
                </w:p>
              </w:tc>
              <w:tc>
                <w:tcPr>
                  <w:tcW w:w="1002" w:type="pct"/>
                </w:tcPr>
                <w:p>
                  <w:pPr>
                    <w:jc w:val="center"/>
                    <w:rPr>
                      <w:sz w:val="21"/>
                      <w:szCs w:val="21"/>
                    </w:rPr>
                  </w:pPr>
                  <w:r>
                    <w:rPr>
                      <w:rFonts w:hint="eastAsia"/>
                      <w:sz w:val="21"/>
                      <w:szCs w:val="21"/>
                    </w:rPr>
                    <w:t>限值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p>
              </w:tc>
              <w:tc>
                <w:tcPr>
                  <w:tcW w:w="1341" w:type="pct"/>
                </w:tcPr>
                <w:p>
                  <w:pPr>
                    <w:jc w:val="center"/>
                    <w:rPr>
                      <w:sz w:val="21"/>
                      <w:szCs w:val="21"/>
                    </w:rPr>
                  </w:pPr>
                  <w:r>
                    <w:rPr>
                      <w:rFonts w:hint="eastAsia"/>
                      <w:sz w:val="21"/>
                      <w:szCs w:val="21"/>
                    </w:rPr>
                    <w:t>色度</w:t>
                  </w:r>
                </w:p>
              </w:tc>
              <w:tc>
                <w:tcPr>
                  <w:tcW w:w="1125" w:type="pct"/>
                </w:tcPr>
                <w:p>
                  <w:pPr>
                    <w:jc w:val="center"/>
                    <w:rPr>
                      <w:sz w:val="21"/>
                      <w:szCs w:val="21"/>
                    </w:rPr>
                  </w:pPr>
                  <w:r>
                    <w:rPr>
                      <w:rFonts w:hint="eastAsia"/>
                      <w:sz w:val="21"/>
                      <w:szCs w:val="21"/>
                    </w:rPr>
                    <w:t>0</w:t>
                  </w:r>
                </w:p>
              </w:tc>
              <w:tc>
                <w:tcPr>
                  <w:tcW w:w="1002" w:type="pct"/>
                </w:tcPr>
                <w:p>
                  <w:pPr>
                    <w:jc w:val="center"/>
                    <w:rPr>
                      <w:sz w:val="21"/>
                      <w:szCs w:val="21"/>
                    </w:rPr>
                  </w:pPr>
                  <w:r>
                    <w:rPr>
                      <w:rFonts w:hint="eastAsia"/>
                      <w:sz w:val="21"/>
                      <w:szCs w:val="21"/>
                    </w:rPr>
                    <w:t>度</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p>
              </w:tc>
              <w:tc>
                <w:tcPr>
                  <w:tcW w:w="1341" w:type="pct"/>
                </w:tcPr>
                <w:p>
                  <w:pPr>
                    <w:jc w:val="center"/>
                    <w:rPr>
                      <w:sz w:val="21"/>
                      <w:szCs w:val="21"/>
                    </w:rPr>
                  </w:pPr>
                  <w:r>
                    <w:rPr>
                      <w:rFonts w:hint="eastAsia"/>
                      <w:sz w:val="21"/>
                      <w:szCs w:val="21"/>
                    </w:rPr>
                    <w:t>浑浊度</w:t>
                  </w:r>
                </w:p>
              </w:tc>
              <w:tc>
                <w:tcPr>
                  <w:tcW w:w="1125" w:type="pct"/>
                </w:tcPr>
                <w:p>
                  <w:pPr>
                    <w:jc w:val="center"/>
                    <w:rPr>
                      <w:sz w:val="21"/>
                      <w:szCs w:val="21"/>
                    </w:rPr>
                  </w:pPr>
                  <w:r>
                    <w:rPr>
                      <w:rFonts w:hint="eastAsia"/>
                      <w:sz w:val="21"/>
                      <w:szCs w:val="21"/>
                    </w:rPr>
                    <w:t>4</w:t>
                  </w:r>
                  <w:r>
                    <w:rPr>
                      <w:sz w:val="21"/>
                      <w:szCs w:val="21"/>
                    </w:rPr>
                    <w:t>.181</w:t>
                  </w:r>
                </w:p>
              </w:tc>
              <w:tc>
                <w:tcPr>
                  <w:tcW w:w="1002" w:type="pct"/>
                </w:tcPr>
                <w:p>
                  <w:pPr>
                    <w:jc w:val="center"/>
                    <w:rPr>
                      <w:sz w:val="21"/>
                      <w:szCs w:val="21"/>
                    </w:rPr>
                  </w:pPr>
                  <w:r>
                    <w:rPr>
                      <w:rFonts w:hint="eastAsia"/>
                      <w:sz w:val="21"/>
                      <w:szCs w:val="21"/>
                    </w:rPr>
                    <w:t>N</w:t>
                  </w:r>
                  <w:r>
                    <w:rPr>
                      <w:sz w:val="21"/>
                      <w:szCs w:val="21"/>
                    </w:rPr>
                    <w:t>TU</w:t>
                  </w:r>
                </w:p>
              </w:tc>
              <w:tc>
                <w:tcPr>
                  <w:tcW w:w="1002" w:type="pct"/>
                </w:tcPr>
                <w:p>
                  <w:pPr>
                    <w:jc w:val="center"/>
                    <w:rPr>
                      <w:sz w:val="21"/>
                      <w:szCs w:val="21"/>
                    </w:rPr>
                  </w:pPr>
                  <w:r>
                    <w:rPr>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p>
              </w:tc>
              <w:tc>
                <w:tcPr>
                  <w:tcW w:w="1341" w:type="pct"/>
                </w:tcPr>
                <w:p>
                  <w:pPr>
                    <w:jc w:val="center"/>
                    <w:rPr>
                      <w:sz w:val="21"/>
                      <w:szCs w:val="21"/>
                    </w:rPr>
                  </w:pPr>
                  <w:r>
                    <w:rPr>
                      <w:rFonts w:hint="eastAsia"/>
                      <w:sz w:val="21"/>
                      <w:szCs w:val="21"/>
                    </w:rPr>
                    <w:t>臭和味</w:t>
                  </w:r>
                </w:p>
              </w:tc>
              <w:tc>
                <w:tcPr>
                  <w:tcW w:w="1125" w:type="pct"/>
                </w:tcPr>
                <w:p>
                  <w:pPr>
                    <w:jc w:val="center"/>
                    <w:rPr>
                      <w:sz w:val="21"/>
                      <w:szCs w:val="21"/>
                    </w:rPr>
                  </w:pPr>
                  <w:r>
                    <w:rPr>
                      <w:rFonts w:hint="eastAsia"/>
                      <w:sz w:val="21"/>
                      <w:szCs w:val="21"/>
                    </w:rPr>
                    <w:t>0</w:t>
                  </w:r>
                </w:p>
              </w:tc>
              <w:tc>
                <w:tcPr>
                  <w:tcW w:w="1002" w:type="pct"/>
                </w:tcPr>
                <w:p>
                  <w:pPr>
                    <w:jc w:val="center"/>
                    <w:rPr>
                      <w:sz w:val="21"/>
                      <w:szCs w:val="21"/>
                    </w:rPr>
                  </w:pPr>
                  <w:r>
                    <w:rPr>
                      <w:rFonts w:hint="eastAsia"/>
                      <w:sz w:val="21"/>
                      <w:szCs w:val="21"/>
                    </w:rPr>
                    <w:t>级</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4</w:t>
                  </w:r>
                </w:p>
              </w:tc>
              <w:tc>
                <w:tcPr>
                  <w:tcW w:w="1341" w:type="pct"/>
                </w:tcPr>
                <w:p>
                  <w:pPr>
                    <w:jc w:val="center"/>
                    <w:rPr>
                      <w:sz w:val="21"/>
                      <w:szCs w:val="21"/>
                    </w:rPr>
                  </w:pPr>
                  <w:r>
                    <w:rPr>
                      <w:rFonts w:hint="eastAsia"/>
                      <w:sz w:val="21"/>
                      <w:szCs w:val="21"/>
                    </w:rPr>
                    <w:t>肉眼可见物</w:t>
                  </w:r>
                </w:p>
              </w:tc>
              <w:tc>
                <w:tcPr>
                  <w:tcW w:w="1125" w:type="pct"/>
                </w:tcPr>
                <w:p>
                  <w:pPr>
                    <w:jc w:val="center"/>
                    <w:rPr>
                      <w:sz w:val="21"/>
                      <w:szCs w:val="21"/>
                    </w:rPr>
                  </w:pPr>
                  <w:r>
                    <w:rPr>
                      <w:rFonts w:hint="eastAsia"/>
                      <w:sz w:val="21"/>
                      <w:szCs w:val="21"/>
                    </w:rPr>
                    <w:t>无</w:t>
                  </w:r>
                </w:p>
              </w:tc>
              <w:tc>
                <w:tcPr>
                  <w:tcW w:w="1002" w:type="pct"/>
                </w:tcPr>
                <w:p>
                  <w:pPr>
                    <w:jc w:val="center"/>
                    <w:rPr>
                      <w:sz w:val="21"/>
                      <w:szCs w:val="21"/>
                    </w:rPr>
                  </w:pPr>
                  <w:r>
                    <w:rPr>
                      <w:rFonts w:hint="eastAsia"/>
                      <w:sz w:val="21"/>
                      <w:szCs w:val="21"/>
                    </w:rPr>
                    <w:t>/</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5</w:t>
                  </w:r>
                </w:p>
              </w:tc>
              <w:tc>
                <w:tcPr>
                  <w:tcW w:w="1341" w:type="pct"/>
                </w:tcPr>
                <w:p>
                  <w:pPr>
                    <w:jc w:val="center"/>
                    <w:rPr>
                      <w:sz w:val="21"/>
                      <w:szCs w:val="21"/>
                    </w:rPr>
                  </w:pPr>
                  <w:r>
                    <w:rPr>
                      <w:rFonts w:hint="eastAsia"/>
                      <w:sz w:val="21"/>
                      <w:szCs w:val="21"/>
                    </w:rPr>
                    <w:t>水温</w:t>
                  </w:r>
                </w:p>
              </w:tc>
              <w:tc>
                <w:tcPr>
                  <w:tcW w:w="1125" w:type="pct"/>
                </w:tcPr>
                <w:p>
                  <w:pPr>
                    <w:jc w:val="center"/>
                    <w:rPr>
                      <w:sz w:val="21"/>
                      <w:szCs w:val="21"/>
                    </w:rPr>
                  </w:pPr>
                  <w:r>
                    <w:rPr>
                      <w:rFonts w:hint="eastAsia"/>
                      <w:sz w:val="21"/>
                      <w:szCs w:val="21"/>
                    </w:rPr>
                    <w:t>1</w:t>
                  </w:r>
                  <w:r>
                    <w:rPr>
                      <w:sz w:val="21"/>
                      <w:szCs w:val="21"/>
                    </w:rPr>
                    <w:t>1</w:t>
                  </w:r>
                </w:p>
              </w:tc>
              <w:tc>
                <w:tcPr>
                  <w:tcW w:w="1002" w:type="pct"/>
                </w:tcPr>
                <w:p>
                  <w:pPr>
                    <w:jc w:val="center"/>
                    <w:rPr>
                      <w:sz w:val="21"/>
                      <w:szCs w:val="21"/>
                    </w:rPr>
                  </w:pPr>
                  <w:r>
                    <w:rPr>
                      <w:rFonts w:hint="eastAsia"/>
                      <w:sz w:val="21"/>
                      <w:szCs w:val="21"/>
                    </w:rPr>
                    <w:t>℃</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6</w:t>
                  </w:r>
                </w:p>
              </w:tc>
              <w:tc>
                <w:tcPr>
                  <w:tcW w:w="1341" w:type="pct"/>
                </w:tcPr>
                <w:p>
                  <w:pPr>
                    <w:jc w:val="center"/>
                    <w:rPr>
                      <w:sz w:val="21"/>
                      <w:szCs w:val="21"/>
                    </w:rPr>
                  </w:pPr>
                  <w:r>
                    <w:rPr>
                      <w:rFonts w:hint="eastAsia"/>
                      <w:sz w:val="21"/>
                      <w:szCs w:val="21"/>
                    </w:rPr>
                    <w:t>P</w:t>
                  </w:r>
                  <w:r>
                    <w:rPr>
                      <w:sz w:val="21"/>
                      <w:szCs w:val="21"/>
                    </w:rPr>
                    <w:t>H</w:t>
                  </w:r>
                </w:p>
              </w:tc>
              <w:tc>
                <w:tcPr>
                  <w:tcW w:w="1125" w:type="pct"/>
                </w:tcPr>
                <w:p>
                  <w:pPr>
                    <w:jc w:val="center"/>
                    <w:rPr>
                      <w:sz w:val="21"/>
                      <w:szCs w:val="21"/>
                    </w:rPr>
                  </w:pPr>
                  <w:r>
                    <w:rPr>
                      <w:rFonts w:hint="eastAsia"/>
                      <w:sz w:val="21"/>
                      <w:szCs w:val="21"/>
                    </w:rPr>
                    <w:t>7</w:t>
                  </w:r>
                  <w:r>
                    <w:rPr>
                      <w:sz w:val="21"/>
                      <w:szCs w:val="21"/>
                    </w:rPr>
                    <w:t>.96</w:t>
                  </w:r>
                </w:p>
              </w:tc>
              <w:tc>
                <w:tcPr>
                  <w:tcW w:w="1002" w:type="pct"/>
                </w:tcPr>
                <w:p>
                  <w:pPr>
                    <w:jc w:val="center"/>
                    <w:rPr>
                      <w:sz w:val="21"/>
                      <w:szCs w:val="21"/>
                    </w:rPr>
                  </w:pPr>
                  <w:r>
                    <w:rPr>
                      <w:rFonts w:hint="eastAsia"/>
                      <w:sz w:val="21"/>
                      <w:szCs w:val="21"/>
                    </w:rPr>
                    <w:t>P</w:t>
                  </w:r>
                  <w:r>
                    <w:rPr>
                      <w:sz w:val="21"/>
                      <w:szCs w:val="21"/>
                    </w:rPr>
                    <w:t>H</w:t>
                  </w:r>
                  <w:r>
                    <w:rPr>
                      <w:rFonts w:hint="eastAsia"/>
                      <w:sz w:val="21"/>
                      <w:szCs w:val="21"/>
                    </w:rPr>
                    <w:t>单位</w:t>
                  </w:r>
                </w:p>
              </w:tc>
              <w:tc>
                <w:tcPr>
                  <w:tcW w:w="1002" w:type="pct"/>
                </w:tcPr>
                <w:p>
                  <w:pPr>
                    <w:jc w:val="center"/>
                    <w:rPr>
                      <w:sz w:val="21"/>
                      <w:szCs w:val="21"/>
                    </w:rPr>
                  </w:pPr>
                  <w:r>
                    <w:rPr>
                      <w:rFonts w:hint="eastAsia"/>
                      <w:sz w:val="21"/>
                      <w:szCs w:val="21"/>
                    </w:rPr>
                    <w:t>6~</w:t>
                  </w:r>
                  <w:r>
                    <w:rPr>
                      <w:sz w:val="21"/>
                      <w:szCs w:val="21"/>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7</w:t>
                  </w:r>
                </w:p>
              </w:tc>
              <w:tc>
                <w:tcPr>
                  <w:tcW w:w="1341" w:type="pct"/>
                </w:tcPr>
                <w:p>
                  <w:pPr>
                    <w:jc w:val="center"/>
                    <w:rPr>
                      <w:sz w:val="21"/>
                      <w:szCs w:val="21"/>
                    </w:rPr>
                  </w:pPr>
                  <w:r>
                    <w:rPr>
                      <w:rFonts w:hint="eastAsia"/>
                      <w:sz w:val="21"/>
                      <w:szCs w:val="21"/>
                    </w:rPr>
                    <w:t>溶解性总固体</w:t>
                  </w:r>
                </w:p>
              </w:tc>
              <w:tc>
                <w:tcPr>
                  <w:tcW w:w="1125" w:type="pct"/>
                </w:tcPr>
                <w:p>
                  <w:pPr>
                    <w:jc w:val="center"/>
                    <w:rPr>
                      <w:sz w:val="21"/>
                      <w:szCs w:val="21"/>
                    </w:rPr>
                  </w:pPr>
                  <w:r>
                    <w:rPr>
                      <w:rFonts w:hint="eastAsia"/>
                      <w:sz w:val="21"/>
                      <w:szCs w:val="21"/>
                    </w:rPr>
                    <w:t>1</w:t>
                  </w:r>
                  <w:r>
                    <w:rPr>
                      <w:sz w:val="21"/>
                      <w:szCs w:val="21"/>
                    </w:rPr>
                    <w:t>62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8</w:t>
                  </w:r>
                </w:p>
              </w:tc>
              <w:tc>
                <w:tcPr>
                  <w:tcW w:w="1341" w:type="pct"/>
                </w:tcPr>
                <w:p>
                  <w:pPr>
                    <w:jc w:val="center"/>
                    <w:rPr>
                      <w:sz w:val="21"/>
                      <w:szCs w:val="21"/>
                    </w:rPr>
                  </w:pPr>
                  <w:r>
                    <w:rPr>
                      <w:rFonts w:hint="eastAsia"/>
                      <w:sz w:val="21"/>
                      <w:szCs w:val="21"/>
                    </w:rPr>
                    <w:t>总硬度（以C</w:t>
                  </w:r>
                  <w:r>
                    <w:rPr>
                      <w:sz w:val="21"/>
                      <w:szCs w:val="21"/>
                    </w:rPr>
                    <w:t>aCO3</w:t>
                  </w:r>
                  <w:r>
                    <w:rPr>
                      <w:rFonts w:hint="eastAsia"/>
                      <w:sz w:val="21"/>
                      <w:szCs w:val="21"/>
                    </w:rPr>
                    <w:t>计）</w:t>
                  </w:r>
                </w:p>
              </w:tc>
              <w:tc>
                <w:tcPr>
                  <w:tcW w:w="1125" w:type="pct"/>
                </w:tcPr>
                <w:p>
                  <w:pPr>
                    <w:jc w:val="center"/>
                    <w:rPr>
                      <w:sz w:val="21"/>
                      <w:szCs w:val="21"/>
                    </w:rPr>
                  </w:pPr>
                  <w:r>
                    <w:rPr>
                      <w:rFonts w:hint="eastAsia"/>
                      <w:sz w:val="21"/>
                      <w:szCs w:val="21"/>
                    </w:rPr>
                    <w:t>1</w:t>
                  </w:r>
                  <w:r>
                    <w:rPr>
                      <w:sz w:val="21"/>
                      <w:szCs w:val="21"/>
                    </w:rPr>
                    <w:t>76</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9</w:t>
                  </w:r>
                </w:p>
              </w:tc>
              <w:tc>
                <w:tcPr>
                  <w:tcW w:w="1341" w:type="pct"/>
                </w:tcPr>
                <w:p>
                  <w:pPr>
                    <w:jc w:val="center"/>
                    <w:rPr>
                      <w:sz w:val="21"/>
                      <w:szCs w:val="21"/>
                    </w:rPr>
                  </w:pPr>
                  <w:r>
                    <w:rPr>
                      <w:rFonts w:hint="eastAsia"/>
                      <w:sz w:val="21"/>
                      <w:szCs w:val="21"/>
                    </w:rPr>
                    <w:t>氯化物（以C</w:t>
                  </w:r>
                  <w:r>
                    <w:rPr>
                      <w:sz w:val="21"/>
                      <w:szCs w:val="21"/>
                    </w:rPr>
                    <w:t>l</w:t>
                  </w:r>
                  <w:r>
                    <w:rPr>
                      <w:rFonts w:hint="eastAsia"/>
                      <w:sz w:val="21"/>
                      <w:szCs w:val="21"/>
                    </w:rPr>
                    <w:t>-计）</w:t>
                  </w:r>
                </w:p>
              </w:tc>
              <w:tc>
                <w:tcPr>
                  <w:tcW w:w="1125" w:type="pct"/>
                </w:tcPr>
                <w:p>
                  <w:pPr>
                    <w:jc w:val="center"/>
                    <w:rPr>
                      <w:sz w:val="21"/>
                      <w:szCs w:val="21"/>
                    </w:rPr>
                  </w:pPr>
                  <w:r>
                    <w:rPr>
                      <w:rFonts w:hint="eastAsia"/>
                      <w:sz w:val="21"/>
                      <w:szCs w:val="21"/>
                    </w:rPr>
                    <w:t>1</w:t>
                  </w:r>
                  <w:r>
                    <w:rPr>
                      <w:sz w:val="21"/>
                      <w:szCs w:val="21"/>
                    </w:rPr>
                    <w:t>8.8</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250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0</w:t>
                  </w:r>
                </w:p>
              </w:tc>
              <w:tc>
                <w:tcPr>
                  <w:tcW w:w="1341" w:type="pct"/>
                </w:tcPr>
                <w:p>
                  <w:pPr>
                    <w:jc w:val="center"/>
                    <w:rPr>
                      <w:sz w:val="21"/>
                      <w:szCs w:val="21"/>
                    </w:rPr>
                  </w:pPr>
                  <w:r>
                    <w:rPr>
                      <w:rFonts w:hint="eastAsia"/>
                      <w:sz w:val="21"/>
                      <w:szCs w:val="21"/>
                    </w:rPr>
                    <w:t>高锰酸钾指数</w:t>
                  </w:r>
                </w:p>
              </w:tc>
              <w:tc>
                <w:tcPr>
                  <w:tcW w:w="1125" w:type="pct"/>
                </w:tcPr>
                <w:p>
                  <w:pPr>
                    <w:jc w:val="center"/>
                    <w:rPr>
                      <w:sz w:val="21"/>
                      <w:szCs w:val="21"/>
                    </w:rPr>
                  </w:pPr>
                  <w:r>
                    <w:rPr>
                      <w:rFonts w:hint="eastAsia"/>
                      <w:sz w:val="21"/>
                      <w:szCs w:val="21"/>
                    </w:rPr>
                    <w:t>1</w:t>
                  </w:r>
                  <w:r>
                    <w:rPr>
                      <w:sz w:val="21"/>
                      <w:szCs w:val="21"/>
                    </w:rPr>
                    <w:t>.22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1</w:t>
                  </w:r>
                </w:p>
              </w:tc>
              <w:tc>
                <w:tcPr>
                  <w:tcW w:w="1341" w:type="pct"/>
                </w:tcPr>
                <w:p>
                  <w:pPr>
                    <w:jc w:val="center"/>
                    <w:rPr>
                      <w:sz w:val="21"/>
                      <w:szCs w:val="21"/>
                    </w:rPr>
                  </w:pPr>
                  <w:r>
                    <w:rPr>
                      <w:rFonts w:hint="eastAsia"/>
                      <w:sz w:val="21"/>
                      <w:szCs w:val="21"/>
                    </w:rPr>
                    <w:t>挥发酚（以苯酚计）</w:t>
                  </w:r>
                </w:p>
              </w:tc>
              <w:tc>
                <w:tcPr>
                  <w:tcW w:w="1125" w:type="pct"/>
                </w:tcPr>
                <w:p>
                  <w:pPr>
                    <w:jc w:val="center"/>
                    <w:rPr>
                      <w:sz w:val="21"/>
                      <w:szCs w:val="21"/>
                    </w:rPr>
                  </w:pPr>
                  <w:r>
                    <w:rPr>
                      <w:rFonts w:hint="eastAsia"/>
                      <w:sz w:val="21"/>
                      <w:szCs w:val="21"/>
                    </w:rPr>
                    <w:t>＜0</w:t>
                  </w:r>
                  <w:r>
                    <w:rPr>
                      <w:sz w:val="21"/>
                      <w:szCs w:val="21"/>
                    </w:rPr>
                    <w:t>.002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0.005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2</w:t>
                  </w:r>
                  <w:r>
                    <w:rPr>
                      <w:rFonts w:hint="eastAsia"/>
                      <w:sz w:val="21"/>
                      <w:szCs w:val="21"/>
                    </w:rPr>
                    <w:t xml:space="preserve"> </w:t>
                  </w:r>
                </w:p>
              </w:tc>
              <w:tc>
                <w:tcPr>
                  <w:tcW w:w="1341" w:type="pct"/>
                </w:tcPr>
                <w:p>
                  <w:pPr>
                    <w:jc w:val="center"/>
                    <w:rPr>
                      <w:sz w:val="21"/>
                      <w:szCs w:val="21"/>
                    </w:rPr>
                  </w:pPr>
                  <w:r>
                    <w:rPr>
                      <w:rFonts w:hint="eastAsia"/>
                      <w:sz w:val="21"/>
                      <w:szCs w:val="21"/>
                    </w:rPr>
                    <w:t>阴离子合成洗涤剂</w:t>
                  </w:r>
                </w:p>
              </w:tc>
              <w:tc>
                <w:tcPr>
                  <w:tcW w:w="1125" w:type="pct"/>
                </w:tcPr>
                <w:p>
                  <w:pPr>
                    <w:jc w:val="center"/>
                    <w:rPr>
                      <w:sz w:val="21"/>
                      <w:szCs w:val="21"/>
                    </w:rPr>
                  </w:pPr>
                  <w:r>
                    <w:rPr>
                      <w:rFonts w:hint="eastAsia"/>
                      <w:sz w:val="21"/>
                      <w:szCs w:val="21"/>
                    </w:rPr>
                    <w:t>＜0</w:t>
                  </w:r>
                  <w:r>
                    <w:rPr>
                      <w:sz w:val="21"/>
                      <w:szCs w:val="21"/>
                    </w:rPr>
                    <w:t>.1</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≤0</w:t>
                  </w:r>
                  <w:r>
                    <w:rPr>
                      <w:sz w:val="21"/>
                      <w:szCs w:val="21"/>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3</w:t>
                  </w:r>
                </w:p>
              </w:tc>
              <w:tc>
                <w:tcPr>
                  <w:tcW w:w="1341" w:type="pct"/>
                </w:tcPr>
                <w:p>
                  <w:pPr>
                    <w:jc w:val="center"/>
                    <w:rPr>
                      <w:sz w:val="21"/>
                      <w:szCs w:val="21"/>
                    </w:rPr>
                  </w:pPr>
                  <w:r>
                    <w:rPr>
                      <w:rFonts w:hint="eastAsia"/>
                      <w:sz w:val="21"/>
                      <w:szCs w:val="21"/>
                    </w:rPr>
                    <w:t>氰化物</w:t>
                  </w:r>
                </w:p>
              </w:tc>
              <w:tc>
                <w:tcPr>
                  <w:tcW w:w="1125" w:type="pct"/>
                </w:tcPr>
                <w:p>
                  <w:pPr>
                    <w:jc w:val="center"/>
                    <w:rPr>
                      <w:sz w:val="21"/>
                      <w:szCs w:val="21"/>
                    </w:rPr>
                  </w:pPr>
                  <w:r>
                    <w:rPr>
                      <w:rFonts w:hint="eastAsia"/>
                      <w:sz w:val="21"/>
                      <w:szCs w:val="21"/>
                    </w:rPr>
                    <w:t>0</w:t>
                  </w:r>
                  <w:r>
                    <w:rPr>
                      <w:sz w:val="21"/>
                      <w:szCs w:val="21"/>
                    </w:rPr>
                    <w:t>.028</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≤0</w:t>
                  </w:r>
                  <w:r>
                    <w:rPr>
                      <w:sz w:val="21"/>
                      <w:szCs w:val="21"/>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4</w:t>
                  </w:r>
                </w:p>
              </w:tc>
              <w:tc>
                <w:tcPr>
                  <w:tcW w:w="1341" w:type="pct"/>
                </w:tcPr>
                <w:p>
                  <w:pPr>
                    <w:jc w:val="center"/>
                    <w:rPr>
                      <w:sz w:val="21"/>
                      <w:szCs w:val="21"/>
                    </w:rPr>
                  </w:pPr>
                  <w:r>
                    <w:rPr>
                      <w:rFonts w:hint="eastAsia"/>
                      <w:sz w:val="21"/>
                      <w:szCs w:val="21"/>
                    </w:rPr>
                    <w:t>氟化物（以F计）</w:t>
                  </w:r>
                </w:p>
              </w:tc>
              <w:tc>
                <w:tcPr>
                  <w:tcW w:w="1125" w:type="pct"/>
                </w:tcPr>
                <w:p>
                  <w:pPr>
                    <w:jc w:val="center"/>
                    <w:rPr>
                      <w:sz w:val="21"/>
                      <w:szCs w:val="21"/>
                    </w:rPr>
                  </w:pPr>
                  <w:r>
                    <w:rPr>
                      <w:rFonts w:hint="eastAsia"/>
                      <w:sz w:val="21"/>
                      <w:szCs w:val="21"/>
                    </w:rPr>
                    <w:t>0</w:t>
                  </w:r>
                  <w:r>
                    <w:rPr>
                      <w:sz w:val="21"/>
                      <w:szCs w:val="21"/>
                    </w:rPr>
                    <w:t>.228</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≤0</w:t>
                  </w:r>
                  <w:r>
                    <w:rPr>
                      <w:sz w:val="21"/>
                      <w:szCs w:val="21"/>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5</w:t>
                  </w:r>
                </w:p>
              </w:tc>
              <w:tc>
                <w:tcPr>
                  <w:tcW w:w="1341" w:type="pct"/>
                </w:tcPr>
                <w:p>
                  <w:pPr>
                    <w:jc w:val="center"/>
                    <w:rPr>
                      <w:sz w:val="21"/>
                      <w:szCs w:val="21"/>
                    </w:rPr>
                  </w:pPr>
                  <w:r>
                    <w:rPr>
                      <w:rFonts w:hint="eastAsia"/>
                      <w:sz w:val="21"/>
                      <w:szCs w:val="21"/>
                    </w:rPr>
                    <w:t>铬（六价）</w:t>
                  </w:r>
                </w:p>
              </w:tc>
              <w:tc>
                <w:tcPr>
                  <w:tcW w:w="1125" w:type="pct"/>
                </w:tcPr>
                <w:p>
                  <w:pPr>
                    <w:jc w:val="center"/>
                    <w:rPr>
                      <w:sz w:val="21"/>
                      <w:szCs w:val="21"/>
                    </w:rPr>
                  </w:pPr>
                  <w:r>
                    <w:rPr>
                      <w:rFonts w:hint="eastAsia"/>
                      <w:sz w:val="21"/>
                      <w:szCs w:val="21"/>
                    </w:rPr>
                    <w:t>0</w:t>
                  </w:r>
                  <w:r>
                    <w:rPr>
                      <w:sz w:val="21"/>
                      <w:szCs w:val="21"/>
                    </w:rPr>
                    <w:t>.012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≤0</w:t>
                  </w:r>
                  <w:r>
                    <w:rPr>
                      <w:sz w:val="21"/>
                      <w:szCs w:val="21"/>
                    </w:rPr>
                    <w:t>.05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6</w:t>
                  </w:r>
                </w:p>
              </w:tc>
              <w:tc>
                <w:tcPr>
                  <w:tcW w:w="1341" w:type="pct"/>
                </w:tcPr>
                <w:p>
                  <w:pPr>
                    <w:jc w:val="center"/>
                    <w:rPr>
                      <w:sz w:val="21"/>
                      <w:szCs w:val="21"/>
                    </w:rPr>
                  </w:pPr>
                  <w:r>
                    <w:rPr>
                      <w:rFonts w:hint="eastAsia"/>
                      <w:sz w:val="21"/>
                      <w:szCs w:val="21"/>
                    </w:rPr>
                    <w:t>铝</w:t>
                  </w:r>
                </w:p>
              </w:tc>
              <w:tc>
                <w:tcPr>
                  <w:tcW w:w="1125" w:type="pct"/>
                </w:tcPr>
                <w:p>
                  <w:pPr>
                    <w:jc w:val="center"/>
                    <w:rPr>
                      <w:sz w:val="21"/>
                      <w:szCs w:val="21"/>
                    </w:rPr>
                  </w:pPr>
                  <w:r>
                    <w:rPr>
                      <w:rFonts w:hint="eastAsia"/>
                      <w:sz w:val="21"/>
                      <w:szCs w:val="21"/>
                    </w:rPr>
                    <w:t>0</w:t>
                  </w:r>
                  <w:r>
                    <w:rPr>
                      <w:sz w:val="21"/>
                      <w:szCs w:val="21"/>
                    </w:rPr>
                    <w:t>.029</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≤0</w:t>
                  </w:r>
                  <w:r>
                    <w:rPr>
                      <w:sz w:val="21"/>
                      <w:szCs w:val="21"/>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7</w:t>
                  </w:r>
                </w:p>
              </w:tc>
              <w:tc>
                <w:tcPr>
                  <w:tcW w:w="1341" w:type="pct"/>
                </w:tcPr>
                <w:p>
                  <w:pPr>
                    <w:jc w:val="center"/>
                    <w:rPr>
                      <w:sz w:val="21"/>
                      <w:szCs w:val="21"/>
                    </w:rPr>
                  </w:pPr>
                  <w:r>
                    <w:rPr>
                      <w:rFonts w:hint="eastAsia"/>
                      <w:sz w:val="21"/>
                      <w:szCs w:val="21"/>
                    </w:rPr>
                    <w:t>硫酸盐（以S</w:t>
                  </w:r>
                  <w:r>
                    <w:rPr>
                      <w:sz w:val="21"/>
                      <w:szCs w:val="21"/>
                    </w:rPr>
                    <w:t>O</w:t>
                  </w:r>
                  <w:r>
                    <w:rPr>
                      <w:sz w:val="21"/>
                      <w:szCs w:val="21"/>
                      <w:vertAlign w:val="subscript"/>
                    </w:rPr>
                    <w:t>4</w:t>
                  </w:r>
                  <w:r>
                    <w:rPr>
                      <w:sz w:val="21"/>
                      <w:szCs w:val="21"/>
                      <w:vertAlign w:val="superscript"/>
                    </w:rPr>
                    <w:t>2-</w:t>
                  </w:r>
                  <w:r>
                    <w:rPr>
                      <w:rFonts w:hint="eastAsia"/>
                      <w:sz w:val="21"/>
                      <w:szCs w:val="21"/>
                    </w:rPr>
                    <w:t>计）</w:t>
                  </w:r>
                </w:p>
              </w:tc>
              <w:tc>
                <w:tcPr>
                  <w:tcW w:w="1125" w:type="pct"/>
                </w:tcPr>
                <w:p>
                  <w:pPr>
                    <w:jc w:val="center"/>
                    <w:rPr>
                      <w:sz w:val="21"/>
                      <w:szCs w:val="21"/>
                    </w:rPr>
                  </w:pPr>
                  <w:r>
                    <w:rPr>
                      <w:rFonts w:hint="eastAsia"/>
                      <w:sz w:val="21"/>
                      <w:szCs w:val="21"/>
                    </w:rPr>
                    <w:t>3</w:t>
                  </w:r>
                  <w:r>
                    <w:rPr>
                      <w:sz w:val="21"/>
                      <w:szCs w:val="21"/>
                    </w:rPr>
                    <w:t>7.2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250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8</w:t>
                  </w:r>
                </w:p>
              </w:tc>
              <w:tc>
                <w:tcPr>
                  <w:tcW w:w="1341" w:type="pct"/>
                </w:tcPr>
                <w:p>
                  <w:pPr>
                    <w:jc w:val="center"/>
                    <w:rPr>
                      <w:sz w:val="21"/>
                      <w:szCs w:val="21"/>
                    </w:rPr>
                  </w:pPr>
                  <w:r>
                    <w:rPr>
                      <w:rFonts w:hint="eastAsia"/>
                      <w:sz w:val="21"/>
                      <w:szCs w:val="21"/>
                    </w:rPr>
                    <w:t>硝酸盐（以N计）</w:t>
                  </w:r>
                </w:p>
              </w:tc>
              <w:tc>
                <w:tcPr>
                  <w:tcW w:w="1125" w:type="pct"/>
                </w:tcPr>
                <w:p>
                  <w:pPr>
                    <w:jc w:val="center"/>
                    <w:rPr>
                      <w:sz w:val="21"/>
                      <w:szCs w:val="21"/>
                    </w:rPr>
                  </w:pPr>
                  <w:r>
                    <w:rPr>
                      <w:rFonts w:hint="eastAsia"/>
                      <w:sz w:val="21"/>
                      <w:szCs w:val="21"/>
                    </w:rPr>
                    <w:t>1</w:t>
                  </w:r>
                  <w:r>
                    <w:rPr>
                      <w:sz w:val="21"/>
                      <w:szCs w:val="21"/>
                    </w:rPr>
                    <w:t>.57</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9</w:t>
                  </w:r>
                </w:p>
              </w:tc>
              <w:tc>
                <w:tcPr>
                  <w:tcW w:w="1341" w:type="pct"/>
                </w:tcPr>
                <w:p>
                  <w:pPr>
                    <w:jc w:val="center"/>
                    <w:rPr>
                      <w:sz w:val="21"/>
                      <w:szCs w:val="21"/>
                    </w:rPr>
                  </w:pPr>
                  <w:r>
                    <w:rPr>
                      <w:rFonts w:hint="eastAsia"/>
                      <w:sz w:val="21"/>
                      <w:szCs w:val="21"/>
                    </w:rPr>
                    <w:t>亚硝酸盐（以N计）</w:t>
                  </w:r>
                </w:p>
              </w:tc>
              <w:tc>
                <w:tcPr>
                  <w:tcW w:w="1125" w:type="pct"/>
                </w:tcPr>
                <w:p>
                  <w:pPr>
                    <w:jc w:val="center"/>
                    <w:rPr>
                      <w:sz w:val="21"/>
                      <w:szCs w:val="21"/>
                    </w:rPr>
                  </w:pPr>
                  <w:r>
                    <w:rPr>
                      <w:rFonts w:hint="eastAsia"/>
                      <w:sz w:val="21"/>
                      <w:szCs w:val="21"/>
                    </w:rPr>
                    <w:t>＜0</w:t>
                  </w:r>
                  <w:r>
                    <w:rPr>
                      <w:sz w:val="21"/>
                      <w:szCs w:val="21"/>
                    </w:rPr>
                    <w:t>.002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0</w:t>
                  </w:r>
                </w:p>
              </w:tc>
              <w:tc>
                <w:tcPr>
                  <w:tcW w:w="1341" w:type="pct"/>
                </w:tcPr>
                <w:p>
                  <w:pPr>
                    <w:jc w:val="center"/>
                    <w:rPr>
                      <w:sz w:val="21"/>
                      <w:szCs w:val="21"/>
                    </w:rPr>
                  </w:pPr>
                  <w:r>
                    <w:rPr>
                      <w:rFonts w:hint="eastAsia"/>
                      <w:sz w:val="21"/>
                      <w:szCs w:val="21"/>
                    </w:rPr>
                    <w:t>三氯甲烷</w:t>
                  </w:r>
                </w:p>
              </w:tc>
              <w:tc>
                <w:tcPr>
                  <w:tcW w:w="1125" w:type="pct"/>
                </w:tcPr>
                <w:p>
                  <w:pPr>
                    <w:jc w:val="center"/>
                    <w:rPr>
                      <w:sz w:val="21"/>
                      <w:szCs w:val="21"/>
                    </w:rPr>
                  </w:pPr>
                  <w:r>
                    <w:rPr>
                      <w:rFonts w:hint="eastAsia"/>
                      <w:sz w:val="21"/>
                      <w:szCs w:val="21"/>
                    </w:rPr>
                    <w:t>＜4</w:t>
                  </w:r>
                  <w:r>
                    <w:rPr>
                      <w:sz w:val="21"/>
                      <w:szCs w:val="21"/>
                    </w:rPr>
                    <w:t>.0</w:t>
                  </w:r>
                </w:p>
              </w:tc>
              <w:tc>
                <w:tcPr>
                  <w:tcW w:w="1002" w:type="pct"/>
                </w:tcPr>
                <w:p>
                  <w:pPr>
                    <w:jc w:val="center"/>
                    <w:rPr>
                      <w:sz w:val="21"/>
                      <w:szCs w:val="21"/>
                    </w:rPr>
                  </w:pPr>
                  <w:r>
                    <w:rPr>
                      <w:sz w:val="21"/>
                      <w:szCs w:val="21"/>
                    </w:rPr>
                    <w:t>ug/L</w:t>
                  </w:r>
                </w:p>
              </w:tc>
              <w:tc>
                <w:tcPr>
                  <w:tcW w:w="1002" w:type="pct"/>
                </w:tcPr>
                <w:p>
                  <w:pPr>
                    <w:jc w:val="center"/>
                    <w:rPr>
                      <w:sz w:val="21"/>
                      <w:szCs w:val="21"/>
                    </w:rPr>
                  </w:pPr>
                  <w:r>
                    <w:rPr>
                      <w:rFonts w:hint="eastAsia"/>
                      <w:sz w:val="21"/>
                      <w:szCs w:val="21"/>
                    </w:rPr>
                    <w:t>≤</w:t>
                  </w:r>
                  <w:r>
                    <w:rPr>
                      <w:sz w:val="21"/>
                      <w:szCs w:val="21"/>
                    </w:rPr>
                    <w:t>60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1</w:t>
                  </w:r>
                </w:p>
              </w:tc>
              <w:tc>
                <w:tcPr>
                  <w:tcW w:w="1341" w:type="pct"/>
                </w:tcPr>
                <w:p>
                  <w:pPr>
                    <w:jc w:val="center"/>
                    <w:rPr>
                      <w:sz w:val="21"/>
                      <w:szCs w:val="21"/>
                    </w:rPr>
                  </w:pPr>
                  <w:r>
                    <w:rPr>
                      <w:rFonts w:hint="eastAsia"/>
                      <w:sz w:val="21"/>
                      <w:szCs w:val="21"/>
                    </w:rPr>
                    <w:t>四氯化碳</w:t>
                  </w:r>
                </w:p>
              </w:tc>
              <w:tc>
                <w:tcPr>
                  <w:tcW w:w="1125" w:type="pct"/>
                </w:tcPr>
                <w:p>
                  <w:pPr>
                    <w:jc w:val="center"/>
                    <w:rPr>
                      <w:sz w:val="21"/>
                      <w:szCs w:val="21"/>
                    </w:rPr>
                  </w:pPr>
                  <w:r>
                    <w:rPr>
                      <w:rFonts w:hint="eastAsia"/>
                      <w:sz w:val="21"/>
                      <w:szCs w:val="21"/>
                    </w:rPr>
                    <w:t>＜0</w:t>
                  </w:r>
                  <w:r>
                    <w:rPr>
                      <w:sz w:val="21"/>
                      <w:szCs w:val="21"/>
                    </w:rPr>
                    <w:t>.3</w:t>
                  </w:r>
                </w:p>
              </w:tc>
              <w:tc>
                <w:tcPr>
                  <w:tcW w:w="1002" w:type="pct"/>
                </w:tcPr>
                <w:p>
                  <w:pPr>
                    <w:jc w:val="center"/>
                    <w:rPr>
                      <w:sz w:val="21"/>
                      <w:szCs w:val="21"/>
                    </w:rPr>
                  </w:pPr>
                  <w:r>
                    <w:rPr>
                      <w:sz w:val="21"/>
                      <w:szCs w:val="21"/>
                    </w:rPr>
                    <w:t>ug/L</w:t>
                  </w:r>
                </w:p>
              </w:tc>
              <w:tc>
                <w:tcPr>
                  <w:tcW w:w="1002" w:type="pct"/>
                </w:tcPr>
                <w:p>
                  <w:pPr>
                    <w:jc w:val="center"/>
                    <w:rPr>
                      <w:sz w:val="21"/>
                      <w:szCs w:val="21"/>
                    </w:rPr>
                  </w:pPr>
                  <w:r>
                    <w:rPr>
                      <w:rFonts w:hint="eastAsia"/>
                      <w:sz w:val="21"/>
                      <w:szCs w:val="21"/>
                    </w:rPr>
                    <w:t>≤</w:t>
                  </w:r>
                  <w:r>
                    <w:rPr>
                      <w:sz w:val="21"/>
                      <w:szCs w:val="21"/>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2</w:t>
                  </w:r>
                </w:p>
              </w:tc>
              <w:tc>
                <w:tcPr>
                  <w:tcW w:w="1341" w:type="pct"/>
                </w:tcPr>
                <w:p>
                  <w:pPr>
                    <w:jc w:val="center"/>
                    <w:rPr>
                      <w:sz w:val="21"/>
                      <w:szCs w:val="21"/>
                    </w:rPr>
                  </w:pPr>
                  <w:r>
                    <w:rPr>
                      <w:rFonts w:hint="eastAsia"/>
                      <w:sz w:val="21"/>
                      <w:szCs w:val="21"/>
                    </w:rPr>
                    <w:t>氯酸盐</w:t>
                  </w:r>
                </w:p>
              </w:tc>
              <w:tc>
                <w:tcPr>
                  <w:tcW w:w="1125" w:type="pct"/>
                </w:tcPr>
                <w:p>
                  <w:pPr>
                    <w:jc w:val="center"/>
                    <w:rPr>
                      <w:sz w:val="21"/>
                      <w:szCs w:val="21"/>
                    </w:rPr>
                  </w:pPr>
                  <w:r>
                    <w:rPr>
                      <w:rFonts w:hint="eastAsia"/>
                      <w:sz w:val="21"/>
                      <w:szCs w:val="21"/>
                    </w:rPr>
                    <w:t>＜0</w:t>
                  </w:r>
                  <w:r>
                    <w:rPr>
                      <w:sz w:val="21"/>
                      <w:szCs w:val="21"/>
                    </w:rPr>
                    <w:t>.002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0.7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3</w:t>
                  </w:r>
                </w:p>
              </w:tc>
              <w:tc>
                <w:tcPr>
                  <w:tcW w:w="1341" w:type="pct"/>
                </w:tcPr>
                <w:p>
                  <w:pPr>
                    <w:jc w:val="center"/>
                    <w:rPr>
                      <w:sz w:val="21"/>
                      <w:szCs w:val="21"/>
                    </w:rPr>
                  </w:pPr>
                  <w:r>
                    <w:rPr>
                      <w:rFonts w:hint="eastAsia"/>
                      <w:sz w:val="21"/>
                      <w:szCs w:val="21"/>
                    </w:rPr>
                    <w:t>氨氮</w:t>
                  </w:r>
                </w:p>
              </w:tc>
              <w:tc>
                <w:tcPr>
                  <w:tcW w:w="1125" w:type="pct"/>
                </w:tcPr>
                <w:p>
                  <w:pPr>
                    <w:jc w:val="center"/>
                    <w:rPr>
                      <w:sz w:val="21"/>
                      <w:szCs w:val="21"/>
                    </w:rPr>
                  </w:pPr>
                  <w:r>
                    <w:rPr>
                      <w:rFonts w:hint="eastAsia"/>
                      <w:sz w:val="21"/>
                      <w:szCs w:val="21"/>
                    </w:rPr>
                    <w:t>0</w:t>
                  </w:r>
                  <w:r>
                    <w:rPr>
                      <w:sz w:val="21"/>
                      <w:szCs w:val="21"/>
                    </w:rPr>
                    <w:t>.152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4</w:t>
                  </w:r>
                </w:p>
              </w:tc>
              <w:tc>
                <w:tcPr>
                  <w:tcW w:w="1341" w:type="pct"/>
                </w:tcPr>
                <w:p>
                  <w:pPr>
                    <w:jc w:val="center"/>
                    <w:rPr>
                      <w:sz w:val="21"/>
                      <w:szCs w:val="21"/>
                    </w:rPr>
                  </w:pPr>
                  <w:r>
                    <w:rPr>
                      <w:rFonts w:hint="eastAsia"/>
                      <w:sz w:val="21"/>
                      <w:szCs w:val="21"/>
                    </w:rPr>
                    <w:t>亚氯酸盐</w:t>
                  </w:r>
                </w:p>
              </w:tc>
              <w:tc>
                <w:tcPr>
                  <w:tcW w:w="1125" w:type="pct"/>
                </w:tcPr>
                <w:p>
                  <w:pPr>
                    <w:jc w:val="center"/>
                    <w:rPr>
                      <w:sz w:val="21"/>
                      <w:szCs w:val="21"/>
                    </w:rPr>
                  </w:pPr>
                  <w:r>
                    <w:rPr>
                      <w:rFonts w:hint="eastAsia"/>
                      <w:sz w:val="21"/>
                      <w:szCs w:val="21"/>
                    </w:rPr>
                    <w:t>＜0</w:t>
                  </w:r>
                  <w:r>
                    <w:rPr>
                      <w:sz w:val="21"/>
                      <w:szCs w:val="21"/>
                    </w:rPr>
                    <w:t>.002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0.7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5</w:t>
                  </w:r>
                </w:p>
              </w:tc>
              <w:tc>
                <w:tcPr>
                  <w:tcW w:w="1341" w:type="pct"/>
                </w:tcPr>
                <w:p>
                  <w:pPr>
                    <w:jc w:val="center"/>
                    <w:rPr>
                      <w:sz w:val="21"/>
                      <w:szCs w:val="21"/>
                    </w:rPr>
                  </w:pPr>
                  <w:r>
                    <w:rPr>
                      <w:rFonts w:hint="eastAsia"/>
                      <w:sz w:val="21"/>
                      <w:szCs w:val="21"/>
                    </w:rPr>
                    <w:t>铁</w:t>
                  </w:r>
                </w:p>
              </w:tc>
              <w:tc>
                <w:tcPr>
                  <w:tcW w:w="1125" w:type="pct"/>
                </w:tcPr>
                <w:p>
                  <w:pPr>
                    <w:jc w:val="center"/>
                    <w:rPr>
                      <w:sz w:val="21"/>
                      <w:szCs w:val="21"/>
                    </w:rPr>
                  </w:pPr>
                  <w:r>
                    <w:rPr>
                      <w:rFonts w:hint="eastAsia"/>
                      <w:sz w:val="21"/>
                      <w:szCs w:val="21"/>
                    </w:rPr>
                    <w:t>0</w:t>
                  </w:r>
                  <w:r>
                    <w:rPr>
                      <w:sz w:val="21"/>
                      <w:szCs w:val="21"/>
                    </w:rPr>
                    <w:t>.08</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0.3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6</w:t>
                  </w:r>
                </w:p>
              </w:tc>
              <w:tc>
                <w:tcPr>
                  <w:tcW w:w="1341" w:type="pct"/>
                </w:tcPr>
                <w:p>
                  <w:pPr>
                    <w:jc w:val="center"/>
                    <w:rPr>
                      <w:sz w:val="21"/>
                      <w:szCs w:val="21"/>
                    </w:rPr>
                  </w:pPr>
                  <w:r>
                    <w:rPr>
                      <w:rFonts w:hint="eastAsia"/>
                      <w:sz w:val="21"/>
                      <w:szCs w:val="21"/>
                    </w:rPr>
                    <w:t>锰</w:t>
                  </w:r>
                </w:p>
              </w:tc>
              <w:tc>
                <w:tcPr>
                  <w:tcW w:w="1125" w:type="pct"/>
                </w:tcPr>
                <w:p>
                  <w:pPr>
                    <w:jc w:val="center"/>
                    <w:rPr>
                      <w:sz w:val="21"/>
                      <w:szCs w:val="21"/>
                    </w:rPr>
                  </w:pPr>
                  <w:r>
                    <w:rPr>
                      <w:rFonts w:hint="eastAsia"/>
                      <w:sz w:val="21"/>
                      <w:szCs w:val="21"/>
                    </w:rPr>
                    <w:t>0</w:t>
                  </w:r>
                  <w:r>
                    <w:rPr>
                      <w:sz w:val="21"/>
                      <w:szCs w:val="21"/>
                    </w:rPr>
                    <w:t>.02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7</w:t>
                  </w:r>
                </w:p>
              </w:tc>
              <w:tc>
                <w:tcPr>
                  <w:tcW w:w="1341" w:type="pct"/>
                </w:tcPr>
                <w:p>
                  <w:pPr>
                    <w:jc w:val="center"/>
                    <w:rPr>
                      <w:sz w:val="21"/>
                      <w:szCs w:val="21"/>
                    </w:rPr>
                  </w:pPr>
                  <w:r>
                    <w:rPr>
                      <w:rFonts w:hint="eastAsia"/>
                      <w:sz w:val="21"/>
                      <w:szCs w:val="21"/>
                    </w:rPr>
                    <w:t>铜</w:t>
                  </w:r>
                </w:p>
              </w:tc>
              <w:tc>
                <w:tcPr>
                  <w:tcW w:w="1125" w:type="pct"/>
                </w:tcPr>
                <w:p>
                  <w:pPr>
                    <w:jc w:val="center"/>
                    <w:rPr>
                      <w:sz w:val="21"/>
                      <w:szCs w:val="21"/>
                    </w:rPr>
                  </w:pPr>
                  <w:r>
                    <w:rPr>
                      <w:rFonts w:hint="eastAsia"/>
                      <w:sz w:val="21"/>
                      <w:szCs w:val="21"/>
                    </w:rPr>
                    <w:t>0</w:t>
                  </w:r>
                  <w:r>
                    <w:rPr>
                      <w:sz w:val="21"/>
                      <w:szCs w:val="21"/>
                    </w:rPr>
                    <w:t>.009</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8</w:t>
                  </w:r>
                </w:p>
              </w:tc>
              <w:tc>
                <w:tcPr>
                  <w:tcW w:w="1341" w:type="pct"/>
                </w:tcPr>
                <w:p>
                  <w:pPr>
                    <w:jc w:val="center"/>
                    <w:rPr>
                      <w:sz w:val="21"/>
                      <w:szCs w:val="21"/>
                    </w:rPr>
                  </w:pPr>
                  <w:r>
                    <w:rPr>
                      <w:rFonts w:hint="eastAsia"/>
                      <w:sz w:val="21"/>
                      <w:szCs w:val="21"/>
                    </w:rPr>
                    <w:t>锌</w:t>
                  </w:r>
                </w:p>
              </w:tc>
              <w:tc>
                <w:tcPr>
                  <w:tcW w:w="1125" w:type="pct"/>
                </w:tcPr>
                <w:p>
                  <w:pPr>
                    <w:jc w:val="center"/>
                    <w:rPr>
                      <w:sz w:val="21"/>
                      <w:szCs w:val="21"/>
                    </w:rPr>
                  </w:pPr>
                  <w:r>
                    <w:rPr>
                      <w:rFonts w:hint="eastAsia"/>
                      <w:sz w:val="21"/>
                      <w:szCs w:val="21"/>
                    </w:rPr>
                    <w:t>0</w:t>
                  </w:r>
                  <w:r>
                    <w:rPr>
                      <w:sz w:val="21"/>
                      <w:szCs w:val="21"/>
                    </w:rPr>
                    <w:t>.003</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9</w:t>
                  </w:r>
                </w:p>
              </w:tc>
              <w:tc>
                <w:tcPr>
                  <w:tcW w:w="1341" w:type="pct"/>
                </w:tcPr>
                <w:p>
                  <w:pPr>
                    <w:jc w:val="center"/>
                    <w:rPr>
                      <w:sz w:val="21"/>
                      <w:szCs w:val="21"/>
                    </w:rPr>
                  </w:pPr>
                  <w:r>
                    <w:rPr>
                      <w:rFonts w:hint="eastAsia"/>
                      <w:sz w:val="21"/>
                      <w:szCs w:val="21"/>
                    </w:rPr>
                    <w:t>铅</w:t>
                  </w:r>
                </w:p>
              </w:tc>
              <w:tc>
                <w:tcPr>
                  <w:tcW w:w="1125" w:type="pct"/>
                </w:tcPr>
                <w:p>
                  <w:pPr>
                    <w:jc w:val="center"/>
                    <w:rPr>
                      <w:sz w:val="21"/>
                      <w:szCs w:val="21"/>
                    </w:rPr>
                  </w:pPr>
                  <w:r>
                    <w:rPr>
                      <w:rFonts w:hint="eastAsia"/>
                      <w:sz w:val="21"/>
                      <w:szCs w:val="21"/>
                    </w:rPr>
                    <w:t>＜1</w:t>
                  </w:r>
                  <w:r>
                    <w:rPr>
                      <w:sz w:val="21"/>
                      <w:szCs w:val="21"/>
                    </w:rPr>
                    <w:t>.00</w:t>
                  </w:r>
                </w:p>
              </w:tc>
              <w:tc>
                <w:tcPr>
                  <w:tcW w:w="1002" w:type="pct"/>
                </w:tcPr>
                <w:p>
                  <w:pPr>
                    <w:jc w:val="center"/>
                    <w:rPr>
                      <w:sz w:val="21"/>
                      <w:szCs w:val="21"/>
                    </w:rPr>
                  </w:pPr>
                  <w:r>
                    <w:rPr>
                      <w:sz w:val="21"/>
                      <w:szCs w:val="21"/>
                    </w:rPr>
                    <w:t>ug/L</w:t>
                  </w:r>
                </w:p>
              </w:tc>
              <w:tc>
                <w:tcPr>
                  <w:tcW w:w="1002" w:type="pct"/>
                </w:tcPr>
                <w:p>
                  <w:pPr>
                    <w:jc w:val="center"/>
                    <w:rPr>
                      <w:sz w:val="21"/>
                      <w:szCs w:val="21"/>
                    </w:rPr>
                  </w:pPr>
                  <w:r>
                    <w:rPr>
                      <w:rFonts w:hint="eastAsia"/>
                      <w:sz w:val="21"/>
                      <w:szCs w:val="21"/>
                    </w:rPr>
                    <w:t>≤</w:t>
                  </w:r>
                  <w:r>
                    <w:rPr>
                      <w:sz w:val="21"/>
                      <w:szCs w:val="21"/>
                    </w:rPr>
                    <w:t>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r>
                    <w:rPr>
                      <w:sz w:val="21"/>
                      <w:szCs w:val="21"/>
                    </w:rPr>
                    <w:t>0</w:t>
                  </w:r>
                </w:p>
              </w:tc>
              <w:tc>
                <w:tcPr>
                  <w:tcW w:w="1341" w:type="pct"/>
                </w:tcPr>
                <w:p>
                  <w:pPr>
                    <w:jc w:val="center"/>
                    <w:rPr>
                      <w:sz w:val="21"/>
                      <w:szCs w:val="21"/>
                    </w:rPr>
                  </w:pPr>
                  <w:r>
                    <w:rPr>
                      <w:rFonts w:hint="eastAsia"/>
                      <w:sz w:val="21"/>
                      <w:szCs w:val="21"/>
                    </w:rPr>
                    <w:t>镉</w:t>
                  </w:r>
                </w:p>
              </w:tc>
              <w:tc>
                <w:tcPr>
                  <w:tcW w:w="1125" w:type="pct"/>
                </w:tcPr>
                <w:p>
                  <w:pPr>
                    <w:jc w:val="center"/>
                    <w:rPr>
                      <w:sz w:val="21"/>
                      <w:szCs w:val="21"/>
                    </w:rPr>
                  </w:pPr>
                  <w:r>
                    <w:rPr>
                      <w:rFonts w:hint="eastAsia"/>
                      <w:sz w:val="21"/>
                      <w:szCs w:val="21"/>
                    </w:rPr>
                    <w:t>0</w:t>
                  </w:r>
                  <w:r>
                    <w:rPr>
                      <w:sz w:val="21"/>
                      <w:szCs w:val="21"/>
                    </w:rPr>
                    <w:t>.112</w:t>
                  </w:r>
                </w:p>
              </w:tc>
              <w:tc>
                <w:tcPr>
                  <w:tcW w:w="1002" w:type="pct"/>
                </w:tcPr>
                <w:p>
                  <w:pPr>
                    <w:jc w:val="center"/>
                    <w:rPr>
                      <w:sz w:val="21"/>
                      <w:szCs w:val="21"/>
                    </w:rPr>
                  </w:pPr>
                  <w:r>
                    <w:rPr>
                      <w:sz w:val="21"/>
                      <w:szCs w:val="21"/>
                    </w:rPr>
                    <w:t>ug/L</w:t>
                  </w:r>
                </w:p>
              </w:tc>
              <w:tc>
                <w:tcPr>
                  <w:tcW w:w="1002" w:type="pct"/>
                </w:tcPr>
                <w:p>
                  <w:pPr>
                    <w:jc w:val="center"/>
                    <w:rPr>
                      <w:sz w:val="21"/>
                      <w:szCs w:val="21"/>
                    </w:rPr>
                  </w:pPr>
                  <w:r>
                    <w:rPr>
                      <w:rFonts w:hint="eastAsia"/>
                      <w:sz w:val="21"/>
                      <w:szCs w:val="21"/>
                    </w:rPr>
                    <w:t>≤</w:t>
                  </w:r>
                  <w:r>
                    <w:rPr>
                      <w:sz w:val="21"/>
                      <w:szCs w:val="21"/>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r>
                    <w:rPr>
                      <w:sz w:val="21"/>
                      <w:szCs w:val="21"/>
                    </w:rPr>
                    <w:t>1</w:t>
                  </w:r>
                </w:p>
              </w:tc>
              <w:tc>
                <w:tcPr>
                  <w:tcW w:w="1341" w:type="pct"/>
                </w:tcPr>
                <w:p>
                  <w:pPr>
                    <w:jc w:val="center"/>
                    <w:rPr>
                      <w:sz w:val="21"/>
                      <w:szCs w:val="21"/>
                    </w:rPr>
                  </w:pPr>
                  <w:r>
                    <w:rPr>
                      <w:rFonts w:hint="eastAsia"/>
                      <w:sz w:val="21"/>
                      <w:szCs w:val="21"/>
                    </w:rPr>
                    <w:t>砷</w:t>
                  </w:r>
                </w:p>
              </w:tc>
              <w:tc>
                <w:tcPr>
                  <w:tcW w:w="1125" w:type="pct"/>
                </w:tcPr>
                <w:p>
                  <w:pPr>
                    <w:jc w:val="center"/>
                    <w:rPr>
                      <w:sz w:val="21"/>
                      <w:szCs w:val="21"/>
                    </w:rPr>
                  </w:pPr>
                  <w:r>
                    <w:rPr>
                      <w:rFonts w:hint="eastAsia"/>
                      <w:sz w:val="21"/>
                      <w:szCs w:val="21"/>
                    </w:rPr>
                    <w:t>＜</w:t>
                  </w:r>
                  <w:r>
                    <w:rPr>
                      <w:sz w:val="21"/>
                      <w:szCs w:val="21"/>
                    </w:rPr>
                    <w:t>0.06</w:t>
                  </w:r>
                </w:p>
              </w:tc>
              <w:tc>
                <w:tcPr>
                  <w:tcW w:w="1002" w:type="pct"/>
                </w:tcPr>
                <w:p>
                  <w:pPr>
                    <w:jc w:val="center"/>
                    <w:rPr>
                      <w:sz w:val="21"/>
                      <w:szCs w:val="21"/>
                    </w:rPr>
                  </w:pPr>
                  <w:r>
                    <w:rPr>
                      <w:sz w:val="21"/>
                      <w:szCs w:val="21"/>
                    </w:rPr>
                    <w:t>ug/L</w:t>
                  </w:r>
                </w:p>
              </w:tc>
              <w:tc>
                <w:tcPr>
                  <w:tcW w:w="1002" w:type="pct"/>
                </w:tcPr>
                <w:p>
                  <w:pPr>
                    <w:jc w:val="center"/>
                    <w:rPr>
                      <w:sz w:val="21"/>
                      <w:szCs w:val="21"/>
                    </w:rPr>
                  </w:pPr>
                  <w:r>
                    <w:rPr>
                      <w:rFonts w:hint="eastAsia"/>
                      <w:sz w:val="21"/>
                      <w:szCs w:val="21"/>
                    </w:rPr>
                    <w:t>≤</w:t>
                  </w:r>
                  <w:r>
                    <w:rPr>
                      <w:sz w:val="21"/>
                      <w:szCs w:val="21"/>
                    </w:rPr>
                    <w:t>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r>
                    <w:rPr>
                      <w:sz w:val="21"/>
                      <w:szCs w:val="21"/>
                    </w:rPr>
                    <w:t>2</w:t>
                  </w:r>
                </w:p>
              </w:tc>
              <w:tc>
                <w:tcPr>
                  <w:tcW w:w="1341" w:type="pct"/>
                </w:tcPr>
                <w:p>
                  <w:pPr>
                    <w:jc w:val="center"/>
                    <w:rPr>
                      <w:sz w:val="21"/>
                      <w:szCs w:val="21"/>
                    </w:rPr>
                  </w:pPr>
                  <w:r>
                    <w:rPr>
                      <w:rFonts w:hint="eastAsia"/>
                      <w:sz w:val="21"/>
                      <w:szCs w:val="21"/>
                    </w:rPr>
                    <w:t>硒</w:t>
                  </w:r>
                </w:p>
              </w:tc>
              <w:tc>
                <w:tcPr>
                  <w:tcW w:w="1125" w:type="pct"/>
                </w:tcPr>
                <w:p>
                  <w:pPr>
                    <w:jc w:val="center"/>
                    <w:rPr>
                      <w:sz w:val="21"/>
                      <w:szCs w:val="21"/>
                    </w:rPr>
                  </w:pPr>
                  <w:r>
                    <w:rPr>
                      <w:rFonts w:hint="eastAsia"/>
                      <w:sz w:val="21"/>
                      <w:szCs w:val="21"/>
                    </w:rPr>
                    <w:t>＜</w:t>
                  </w:r>
                  <w:r>
                    <w:rPr>
                      <w:sz w:val="21"/>
                      <w:szCs w:val="21"/>
                    </w:rPr>
                    <w:t>0.05</w:t>
                  </w:r>
                </w:p>
              </w:tc>
              <w:tc>
                <w:tcPr>
                  <w:tcW w:w="1002" w:type="pct"/>
                </w:tcPr>
                <w:p>
                  <w:pPr>
                    <w:jc w:val="center"/>
                    <w:rPr>
                      <w:sz w:val="21"/>
                      <w:szCs w:val="21"/>
                    </w:rPr>
                  </w:pPr>
                  <w:r>
                    <w:rPr>
                      <w:sz w:val="21"/>
                      <w:szCs w:val="21"/>
                    </w:rPr>
                    <w:t>ug/L</w:t>
                  </w:r>
                </w:p>
              </w:tc>
              <w:tc>
                <w:tcPr>
                  <w:tcW w:w="1002" w:type="pct"/>
                </w:tcPr>
                <w:p>
                  <w:pPr>
                    <w:jc w:val="center"/>
                    <w:rPr>
                      <w:sz w:val="21"/>
                      <w:szCs w:val="21"/>
                    </w:rPr>
                  </w:pPr>
                  <w:r>
                    <w:rPr>
                      <w:rFonts w:hint="eastAsia"/>
                      <w:sz w:val="21"/>
                      <w:szCs w:val="21"/>
                    </w:rPr>
                    <w:t>≤</w:t>
                  </w:r>
                  <w:r>
                    <w:rPr>
                      <w:sz w:val="21"/>
                      <w:szCs w:val="21"/>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r>
                    <w:rPr>
                      <w:sz w:val="21"/>
                      <w:szCs w:val="21"/>
                    </w:rPr>
                    <w:t>3</w:t>
                  </w:r>
                </w:p>
              </w:tc>
              <w:tc>
                <w:tcPr>
                  <w:tcW w:w="1341" w:type="pct"/>
                </w:tcPr>
                <w:p>
                  <w:pPr>
                    <w:jc w:val="center"/>
                    <w:rPr>
                      <w:sz w:val="21"/>
                      <w:szCs w:val="21"/>
                    </w:rPr>
                  </w:pPr>
                  <w:r>
                    <w:rPr>
                      <w:rFonts w:hint="eastAsia"/>
                      <w:sz w:val="21"/>
                      <w:szCs w:val="21"/>
                    </w:rPr>
                    <w:t>汞</w:t>
                  </w:r>
                </w:p>
              </w:tc>
              <w:tc>
                <w:tcPr>
                  <w:tcW w:w="1125" w:type="pct"/>
                </w:tcPr>
                <w:p>
                  <w:pPr>
                    <w:jc w:val="center"/>
                    <w:rPr>
                      <w:sz w:val="21"/>
                      <w:szCs w:val="21"/>
                    </w:rPr>
                  </w:pPr>
                  <w:r>
                    <w:rPr>
                      <w:rFonts w:hint="eastAsia"/>
                      <w:sz w:val="21"/>
                      <w:szCs w:val="21"/>
                    </w:rPr>
                    <w:t>＜</w:t>
                  </w:r>
                  <w:r>
                    <w:rPr>
                      <w:sz w:val="21"/>
                      <w:szCs w:val="21"/>
                    </w:rPr>
                    <w:t>0.02</w:t>
                  </w:r>
                </w:p>
              </w:tc>
              <w:tc>
                <w:tcPr>
                  <w:tcW w:w="1002" w:type="pct"/>
                </w:tcPr>
                <w:p>
                  <w:pPr>
                    <w:jc w:val="center"/>
                    <w:rPr>
                      <w:sz w:val="21"/>
                      <w:szCs w:val="21"/>
                    </w:rPr>
                  </w:pPr>
                  <w:r>
                    <w:rPr>
                      <w:sz w:val="21"/>
                      <w:szCs w:val="21"/>
                    </w:rPr>
                    <w:t>ug/L</w:t>
                  </w:r>
                </w:p>
              </w:tc>
              <w:tc>
                <w:tcPr>
                  <w:tcW w:w="1002" w:type="pct"/>
                </w:tcPr>
                <w:p>
                  <w:pPr>
                    <w:jc w:val="center"/>
                    <w:rPr>
                      <w:sz w:val="21"/>
                      <w:szCs w:val="21"/>
                    </w:rPr>
                  </w:pPr>
                  <w:r>
                    <w:rPr>
                      <w:rFonts w:hint="eastAsia"/>
                      <w:sz w:val="21"/>
                      <w:szCs w:val="21"/>
                    </w:rPr>
                    <w:t>≤</w:t>
                  </w:r>
                  <w:r>
                    <w:rPr>
                      <w:sz w:val="21"/>
                      <w:szCs w:val="21"/>
                    </w:rPr>
                    <w:t>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r>
                    <w:rPr>
                      <w:sz w:val="21"/>
                      <w:szCs w:val="21"/>
                    </w:rPr>
                    <w:t>4</w:t>
                  </w:r>
                </w:p>
              </w:tc>
              <w:tc>
                <w:tcPr>
                  <w:tcW w:w="1341" w:type="pct"/>
                </w:tcPr>
                <w:p>
                  <w:pPr>
                    <w:jc w:val="center"/>
                    <w:rPr>
                      <w:sz w:val="21"/>
                      <w:szCs w:val="21"/>
                    </w:rPr>
                  </w:pPr>
                  <w:r>
                    <w:rPr>
                      <w:rFonts w:hint="eastAsia"/>
                      <w:sz w:val="21"/>
                      <w:szCs w:val="21"/>
                    </w:rPr>
                    <w:t>菌落总数</w:t>
                  </w:r>
                </w:p>
              </w:tc>
              <w:tc>
                <w:tcPr>
                  <w:tcW w:w="1125" w:type="pct"/>
                </w:tcPr>
                <w:p>
                  <w:pPr>
                    <w:jc w:val="center"/>
                    <w:rPr>
                      <w:sz w:val="21"/>
                      <w:szCs w:val="21"/>
                    </w:rPr>
                  </w:pPr>
                  <w:r>
                    <w:rPr>
                      <w:rFonts w:hint="eastAsia"/>
                      <w:sz w:val="21"/>
                      <w:szCs w:val="21"/>
                    </w:rPr>
                    <w:t>5</w:t>
                  </w:r>
                  <w:r>
                    <w:rPr>
                      <w:sz w:val="21"/>
                      <w:szCs w:val="21"/>
                    </w:rPr>
                    <w:t>6</w:t>
                  </w:r>
                </w:p>
              </w:tc>
              <w:tc>
                <w:tcPr>
                  <w:tcW w:w="1002" w:type="pct"/>
                </w:tcPr>
                <w:p>
                  <w:pPr>
                    <w:jc w:val="center"/>
                    <w:rPr>
                      <w:sz w:val="21"/>
                      <w:szCs w:val="21"/>
                    </w:rPr>
                  </w:pPr>
                  <w:r>
                    <w:rPr>
                      <w:sz w:val="21"/>
                      <w:szCs w:val="21"/>
                    </w:rPr>
                    <w:t>CFU</w:t>
                  </w:r>
                  <w:r>
                    <w:rPr>
                      <w:rFonts w:hint="eastAsia"/>
                      <w:sz w:val="21"/>
                      <w:szCs w:val="21"/>
                    </w:rPr>
                    <w:t>/</w:t>
                  </w:r>
                  <w:r>
                    <w:rPr>
                      <w:sz w:val="21"/>
                      <w:szCs w:val="21"/>
                    </w:rPr>
                    <w:t>ml</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r>
                    <w:rPr>
                      <w:sz w:val="21"/>
                      <w:szCs w:val="21"/>
                    </w:rPr>
                    <w:t>5</w:t>
                  </w:r>
                </w:p>
              </w:tc>
              <w:tc>
                <w:tcPr>
                  <w:tcW w:w="1341" w:type="pct"/>
                </w:tcPr>
                <w:p>
                  <w:pPr>
                    <w:jc w:val="center"/>
                    <w:rPr>
                      <w:sz w:val="21"/>
                      <w:szCs w:val="21"/>
                    </w:rPr>
                  </w:pPr>
                  <w:r>
                    <w:rPr>
                      <w:rFonts w:hint="eastAsia"/>
                      <w:sz w:val="21"/>
                      <w:szCs w:val="21"/>
                    </w:rPr>
                    <w:t>总大肠菌群</w:t>
                  </w:r>
                </w:p>
              </w:tc>
              <w:tc>
                <w:tcPr>
                  <w:tcW w:w="1125" w:type="pct"/>
                </w:tcPr>
                <w:p>
                  <w:pPr>
                    <w:jc w:val="center"/>
                    <w:rPr>
                      <w:sz w:val="21"/>
                      <w:szCs w:val="21"/>
                    </w:rPr>
                  </w:pPr>
                  <w:r>
                    <w:rPr>
                      <w:rFonts w:hint="eastAsia"/>
                      <w:sz w:val="21"/>
                      <w:szCs w:val="21"/>
                    </w:rPr>
                    <w:t>6</w:t>
                  </w:r>
                  <w:r>
                    <w:rPr>
                      <w:sz w:val="21"/>
                      <w:szCs w:val="21"/>
                    </w:rPr>
                    <w:t>9</w:t>
                  </w:r>
                </w:p>
              </w:tc>
              <w:tc>
                <w:tcPr>
                  <w:tcW w:w="1002" w:type="pct"/>
                </w:tcPr>
                <w:p>
                  <w:pPr>
                    <w:jc w:val="center"/>
                    <w:rPr>
                      <w:sz w:val="21"/>
                      <w:szCs w:val="21"/>
                    </w:rPr>
                  </w:pPr>
                  <w:r>
                    <w:rPr>
                      <w:sz w:val="21"/>
                      <w:szCs w:val="21"/>
                    </w:rPr>
                    <w:t>CFU</w:t>
                  </w:r>
                  <w:r>
                    <w:rPr>
                      <w:rFonts w:hint="eastAsia"/>
                      <w:sz w:val="21"/>
                      <w:szCs w:val="21"/>
                    </w:rPr>
                    <w:t>/</w:t>
                  </w:r>
                  <w:r>
                    <w:rPr>
                      <w:sz w:val="21"/>
                      <w:szCs w:val="21"/>
                    </w:rPr>
                    <w:t>100ml</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r>
                    <w:rPr>
                      <w:sz w:val="21"/>
                      <w:szCs w:val="21"/>
                    </w:rPr>
                    <w:t>6</w:t>
                  </w:r>
                </w:p>
              </w:tc>
              <w:tc>
                <w:tcPr>
                  <w:tcW w:w="1341" w:type="pct"/>
                </w:tcPr>
                <w:p>
                  <w:pPr>
                    <w:jc w:val="center"/>
                    <w:rPr>
                      <w:sz w:val="21"/>
                      <w:szCs w:val="21"/>
                    </w:rPr>
                  </w:pPr>
                  <w:r>
                    <w:rPr>
                      <w:rFonts w:hint="eastAsia"/>
                      <w:sz w:val="21"/>
                      <w:szCs w:val="21"/>
                    </w:rPr>
                    <w:t>粪大肠菌群</w:t>
                  </w:r>
                </w:p>
              </w:tc>
              <w:tc>
                <w:tcPr>
                  <w:tcW w:w="1125" w:type="pct"/>
                </w:tcPr>
                <w:p>
                  <w:pPr>
                    <w:jc w:val="center"/>
                    <w:rPr>
                      <w:sz w:val="21"/>
                      <w:szCs w:val="21"/>
                    </w:rPr>
                  </w:pPr>
                  <w:r>
                    <w:rPr>
                      <w:rFonts w:hint="eastAsia"/>
                      <w:sz w:val="21"/>
                      <w:szCs w:val="21"/>
                    </w:rPr>
                    <w:t>/</w:t>
                  </w:r>
                </w:p>
              </w:tc>
              <w:tc>
                <w:tcPr>
                  <w:tcW w:w="1002" w:type="pct"/>
                </w:tcPr>
                <w:p>
                  <w:pPr>
                    <w:jc w:val="center"/>
                    <w:rPr>
                      <w:sz w:val="21"/>
                      <w:szCs w:val="21"/>
                    </w:rPr>
                  </w:pPr>
                  <w:r>
                    <w:rPr>
                      <w:sz w:val="21"/>
                      <w:szCs w:val="21"/>
                    </w:rPr>
                    <w:t>CFU</w:t>
                  </w:r>
                  <w:r>
                    <w:rPr>
                      <w:rFonts w:hint="eastAsia"/>
                      <w:sz w:val="21"/>
                      <w:szCs w:val="21"/>
                    </w:rPr>
                    <w:t>/</w:t>
                  </w:r>
                  <w:r>
                    <w:rPr>
                      <w:sz w:val="21"/>
                      <w:szCs w:val="21"/>
                    </w:rPr>
                    <w:t>100ml</w:t>
                  </w:r>
                </w:p>
              </w:tc>
              <w:tc>
                <w:tcPr>
                  <w:tcW w:w="1002" w:type="pct"/>
                </w:tcPr>
                <w:p>
                  <w:pPr>
                    <w:jc w:val="center"/>
                    <w:rPr>
                      <w:sz w:val="21"/>
                      <w:szCs w:val="21"/>
                    </w:rPr>
                  </w:pPr>
                  <w:r>
                    <w:rPr>
                      <w:rFonts w:hint="eastAsia"/>
                      <w:sz w:val="21"/>
                      <w:szCs w:val="21"/>
                    </w:rPr>
                    <w:t>≤</w:t>
                  </w:r>
                  <w:r>
                    <w:rPr>
                      <w:sz w:val="21"/>
                      <w:szCs w:val="21"/>
                    </w:rPr>
                    <w:t>10000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r>
                    <w:rPr>
                      <w:sz w:val="21"/>
                      <w:szCs w:val="21"/>
                    </w:rPr>
                    <w:t>7</w:t>
                  </w:r>
                </w:p>
              </w:tc>
              <w:tc>
                <w:tcPr>
                  <w:tcW w:w="1341" w:type="pct"/>
                </w:tcPr>
                <w:p>
                  <w:pPr>
                    <w:jc w:val="center"/>
                    <w:rPr>
                      <w:sz w:val="21"/>
                      <w:szCs w:val="21"/>
                    </w:rPr>
                  </w:pPr>
                  <w:r>
                    <w:rPr>
                      <w:rFonts w:hint="eastAsia"/>
                      <w:sz w:val="21"/>
                      <w:szCs w:val="21"/>
                    </w:rPr>
                    <w:t>总磷</w:t>
                  </w:r>
                </w:p>
              </w:tc>
              <w:tc>
                <w:tcPr>
                  <w:tcW w:w="1125" w:type="pct"/>
                </w:tcPr>
                <w:p>
                  <w:pPr>
                    <w:jc w:val="center"/>
                    <w:rPr>
                      <w:sz w:val="21"/>
                      <w:szCs w:val="21"/>
                    </w:rPr>
                  </w:pPr>
                  <w:r>
                    <w:rPr>
                      <w:rFonts w:hint="eastAsia"/>
                      <w:sz w:val="21"/>
                      <w:szCs w:val="21"/>
                    </w:rPr>
                    <w:t>0</w:t>
                  </w:r>
                  <w:r>
                    <w:rPr>
                      <w:sz w:val="21"/>
                      <w:szCs w:val="21"/>
                    </w:rPr>
                    <w:t>.22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0.2</w:t>
                  </w:r>
                </w:p>
              </w:tc>
            </w:tr>
          </w:tbl>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pPr>
            <w:r>
              <w:rPr>
                <w:rFonts w:hint="eastAsia"/>
              </w:rPr>
              <w:t>由上表可知，检测期间，项目取水口断面除总磷外其他水质均符合《地表水环境质量标准》（</w:t>
            </w:r>
            <w:r>
              <w:t>GB3030-2002</w:t>
            </w:r>
            <w:r>
              <w:rPr>
                <w:rFonts w:hint="eastAsia"/>
              </w:rPr>
              <w:t>）</w:t>
            </w:r>
            <w:r>
              <w:rPr>
                <w:rFonts w:hint="eastAsia" w:ascii="宋体" w:hAnsi="宋体" w:eastAsia="宋体" w:cs="宋体"/>
              </w:rPr>
              <w:t>Ⅱ</w:t>
            </w:r>
            <w:r>
              <w:rPr>
                <w:rFonts w:hint="eastAsia"/>
              </w:rPr>
              <w:t>类标准，说明该取水口水质现状较好。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pPr>
            <w:r>
              <w:rPr>
                <w:rFonts w:hint="eastAsia"/>
              </w:rPr>
              <w:t>3）取水口合理性分析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pPr>
            <w:r>
              <w:rPr>
                <w:rFonts w:hint="eastAsia"/>
              </w:rPr>
              <w:t>根据《三峡后续工作长江中下游影响处理湖南段一期河道整治工程初步设计报告》河道演变形式可知，本次拟建站址在K34+774处，河岸附近未出现岸坡崩挫和近岸河床险情，因此，站址选择从河道演变分析上看是合理的。取水口设置在长江桩号34+774，距离上游桩号31+403华容小荆湖排污口3.371Km，大于3Km，取水水质较好。因此，从君山区建设垸洪水港取水口处取水选择是合理的，能保证取水口水质安全可靠，能满足君山区农田灌溉用水和生活饮用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pPr>
            <w:r>
              <w:rPr>
                <w:rFonts w:hint="eastAsia"/>
              </w:rPr>
              <w:t>综上所述，本项目地取水可行。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rPr>
            </w:pPr>
            <w:r>
              <w:rPr>
                <w:rFonts w:hint="eastAsia"/>
                <w:b/>
              </w:rPr>
              <w:t>五、施工组织设计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pPr>
            <w:r>
              <w:rPr>
                <w:rFonts w:hint="eastAsia"/>
              </w:rPr>
              <w:t>（1）  施工营地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pPr>
            <w:r>
              <w:rPr>
                <w:rFonts w:hint="eastAsia"/>
              </w:rPr>
              <w:t>本项目工程量较小，不设置施工营地。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pPr>
            <w:r>
              <w:rPr>
                <w:rFonts w:hint="eastAsia"/>
              </w:rPr>
              <w:t>（2） 弃土场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pPr>
            <w:r>
              <w:rPr>
                <w:rFonts w:hint="eastAsia"/>
              </w:rPr>
              <w:t>本项目共开挖土石方</w:t>
            </w:r>
            <w:r>
              <w:rPr>
                <w:rFonts w:hint="eastAsia"/>
                <w:lang w:eastAsia="zh-CN"/>
              </w:rPr>
              <w:t>6384</w:t>
            </w:r>
            <w:r>
              <w:rPr>
                <w:rFonts w:hint="eastAsia"/>
              </w:rPr>
              <w:t>m</w:t>
            </w:r>
            <w:r>
              <w:rPr>
                <w:rFonts w:hint="eastAsia"/>
                <w:vertAlign w:val="superscript"/>
              </w:rPr>
              <w:t>3</w:t>
            </w:r>
            <w:r>
              <w:rPr>
                <w:rFonts w:hint="eastAsia"/>
              </w:rPr>
              <w:t>，回填土石方</w:t>
            </w:r>
            <w:r>
              <w:rPr>
                <w:rFonts w:hint="eastAsia"/>
                <w:lang w:eastAsia="zh-CN"/>
              </w:rPr>
              <w:t>6384</w:t>
            </w:r>
            <w:r>
              <w:rPr>
                <w:rFonts w:hint="eastAsia"/>
              </w:rPr>
              <w:t>m</w:t>
            </w:r>
            <w:r>
              <w:rPr>
                <w:rFonts w:hint="eastAsia"/>
                <w:vertAlign w:val="superscript"/>
              </w:rPr>
              <w:t>3</w:t>
            </w:r>
            <w:r>
              <w:rPr>
                <w:rFonts w:hint="eastAsia"/>
              </w:rPr>
              <w:t>，全部回填。不设置弃土场。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pPr>
            <w:r>
              <w:rPr>
                <w:rFonts w:hint="eastAsia"/>
              </w:rPr>
              <w:t>（3）依托工程 本项目依托现有洪水港泵站，原有部分供水干管进入自来水厂。</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676" w:hRule="atLeast"/>
        </w:trPr>
        <w:tc>
          <w:tcPr>
            <w:tcW w:w="8647" w:type="dxa"/>
            <w:gridSpan w:val="8"/>
            <w:tcBorders>
              <w:top w:val="single" w:color="auto" w:sz="4" w:space="0"/>
            </w:tcBorders>
          </w:tcPr>
          <w:p>
            <w:pPr>
              <w:spacing w:line="360" w:lineRule="auto"/>
              <w:ind w:firstLine="482" w:firstLineChars="200"/>
              <w:rPr>
                <w:b/>
                <w:bCs/>
              </w:rPr>
            </w:pPr>
            <w:r>
              <w:rPr>
                <w:rFonts w:hint="eastAsia"/>
                <w:b/>
                <w:bCs/>
              </w:rPr>
              <w:t>与本项目有关的原有污染情况及主要环境问题：</w:t>
            </w:r>
          </w:p>
          <w:p>
            <w:pPr>
              <w:spacing w:line="360" w:lineRule="auto"/>
              <w:ind w:firstLine="480" w:firstLineChars="200"/>
              <w:rPr>
                <w:highlight w:val="none"/>
              </w:rPr>
            </w:pPr>
            <w:r>
              <w:rPr>
                <w:rFonts w:hint="eastAsia"/>
              </w:rPr>
              <w:t>本项目为新建项目。经现场踏勘，项目不存在原有污染问题。 现有取水口位于洪水港泵站，已建成</w:t>
            </w:r>
            <w:r>
              <w:rPr>
                <w:rFonts w:hint="eastAsia"/>
                <w:highlight w:val="none"/>
              </w:rPr>
              <w:t>。泵站设备</w:t>
            </w:r>
            <w:r>
              <w:rPr>
                <w:highlight w:val="none"/>
              </w:rPr>
              <w:t>运行将产生噪声影响。</w:t>
            </w:r>
          </w:p>
          <w:p>
            <w:pPr>
              <w:spacing w:line="360" w:lineRule="auto"/>
              <w:ind w:firstLine="480" w:firstLineChars="200"/>
              <w:rPr>
                <w:highlight w:val="none"/>
              </w:rPr>
            </w:pPr>
          </w:p>
          <w:p>
            <w:pPr>
              <w:spacing w:line="360" w:lineRule="auto"/>
              <w:ind w:firstLine="480" w:firstLineChars="200"/>
            </w:pPr>
          </w:p>
        </w:tc>
      </w:tr>
    </w:tbl>
    <w:p>
      <w:pPr>
        <w:pStyle w:val="31"/>
        <w:ind w:firstLine="0" w:firstLineChars="0"/>
        <w:rPr>
          <w:b/>
          <w:color w:val="000000" w:themeColor="text1"/>
          <w:sz w:val="32"/>
          <w14:textFill>
            <w14:solidFill>
              <w14:schemeClr w14:val="tx1"/>
            </w14:solidFill>
          </w14:textFill>
        </w:rPr>
        <w:sectPr>
          <w:footerReference r:id="rId3" w:type="default"/>
          <w:pgSz w:w="11906" w:h="16838"/>
          <w:pgMar w:top="1440" w:right="1800" w:bottom="1440" w:left="1800" w:header="851" w:footer="992" w:gutter="0"/>
          <w:pgNumType w:start="1"/>
          <w:cols w:space="425" w:num="1"/>
          <w:docGrid w:type="lines" w:linePitch="326" w:charSpace="0"/>
        </w:sectPr>
      </w:pPr>
    </w:p>
    <w:p>
      <w:pPr>
        <w:snapToGrid w:val="0"/>
        <w:spacing w:line="276" w:lineRule="auto"/>
        <w:outlineLvl w:val="0"/>
        <w:rPr>
          <w:b/>
          <w:color w:val="000000" w:themeColor="text1"/>
          <w:sz w:val="30"/>
          <w14:textFill>
            <w14:solidFill>
              <w14:schemeClr w14:val="tx1"/>
            </w14:solidFill>
          </w14:textFill>
        </w:rPr>
      </w:pPr>
      <w:bookmarkStart w:id="1" w:name="_Toc523322725"/>
      <w:r>
        <w:rPr>
          <w:color w:val="000000" w:themeColor="text1"/>
          <w:sz w:val="28"/>
          <w14:textFill>
            <w14:solidFill>
              <w14:schemeClr w14:val="tx1"/>
            </w14:solidFill>
          </w14:textFill>
        </w:rPr>
        <w:t>二、</w:t>
      </w:r>
      <w:r>
        <w:rPr>
          <w:b/>
          <w:color w:val="000000" w:themeColor="text1"/>
          <w:sz w:val="30"/>
          <w14:textFill>
            <w14:solidFill>
              <w14:schemeClr w14:val="tx1"/>
            </w14:solidFill>
          </w14:textFill>
        </w:rPr>
        <w:t>建设项目所在地自然环境简况</w:t>
      </w:r>
      <w:bookmarkEnd w:id="1"/>
    </w:p>
    <w:tbl>
      <w:tblPr>
        <w:tblStyle w:val="44"/>
        <w:tblW w:w="8789" w:type="dxa"/>
        <w:tblInd w:w="108"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8789"/>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90" w:hRule="atLeast"/>
        </w:trPr>
        <w:tc>
          <w:tcPr>
            <w:tcW w:w="8789" w:type="dxa"/>
          </w:tcPr>
          <w:p>
            <w:pPr>
              <w:pStyle w:val="31"/>
              <w:spacing w:line="276" w:lineRule="auto"/>
              <w:ind w:firstLine="0" w:firstLineChars="0"/>
              <w:rPr>
                <w:color w:val="000000" w:themeColor="text1"/>
                <w14:textFill>
                  <w14:solidFill>
                    <w14:schemeClr w14:val="tx1"/>
                  </w14:solidFill>
                </w14:textFill>
              </w:rPr>
            </w:pPr>
            <w:r>
              <w:rPr>
                <w:color w:val="000000" w:themeColor="text1"/>
                <w14:textFill>
                  <w14:solidFill>
                    <w14:schemeClr w14:val="tx1"/>
                  </w14:solidFill>
                </w14:textFill>
              </w:rPr>
              <w:t>自然环境简况（地形、地貌、地质、气候、气象、水文、植被、生物多样性等）：</w:t>
            </w:r>
          </w:p>
          <w:p>
            <w:pPr>
              <w:spacing w:line="360" w:lineRule="auto"/>
              <w:ind w:firstLine="482" w:firstLineChars="200"/>
              <w:rPr>
                <w:b/>
              </w:rPr>
            </w:pPr>
            <w:r>
              <w:rPr>
                <w:b/>
              </w:rPr>
              <w:t>1、地理位置</w:t>
            </w:r>
          </w:p>
          <w:p>
            <w:pPr>
              <w:spacing w:line="360" w:lineRule="auto"/>
              <w:ind w:firstLine="480" w:firstLineChars="200"/>
            </w:pPr>
            <w:r>
              <w:t>岳阳市君山区北靠长江，南濒洞庭，306省道、岳常高速公路贯穿东西，202省道纵越南北，且有洞庭湖和长江码头20余座。沿长江可通江达海，涉洞庭可入三湘腹地，经306省道东连赣、皖，西达湘西和鄂、川，洞庭湖大桥连接岳阳市中心城区和京广铁路、京珠高速、107国道，世纪大道、旅游路、景明路等形成城区交通骨架，各镇、村道路纵横贯通，“湘楚腹地，五省通衢”。</w:t>
            </w:r>
          </w:p>
          <w:p>
            <w:pPr>
              <w:spacing w:line="360" w:lineRule="auto"/>
              <w:ind w:firstLine="480" w:firstLineChars="200"/>
            </w:pPr>
            <w:r>
              <w:rPr>
                <w:rFonts w:hint="eastAsia"/>
              </w:rPr>
              <w:t>项目取水</w:t>
            </w:r>
            <w:r>
              <w:t>泵站</w:t>
            </w:r>
            <w:r>
              <w:rPr>
                <w:rFonts w:hint="eastAsia"/>
              </w:rPr>
              <w:t>位于君山区广兴洲镇，为广兴镇水厂、许市镇水厂取水口。</w:t>
            </w:r>
          </w:p>
          <w:p>
            <w:pPr>
              <w:spacing w:line="360" w:lineRule="auto"/>
              <w:ind w:firstLine="482" w:firstLineChars="200"/>
              <w:rPr>
                <w:b/>
              </w:rPr>
            </w:pPr>
            <w:r>
              <w:rPr>
                <w:b/>
              </w:rPr>
              <w:t>2、地形、地貌</w:t>
            </w:r>
          </w:p>
          <w:p>
            <w:pPr>
              <w:spacing w:line="360" w:lineRule="auto"/>
              <w:ind w:firstLine="480" w:firstLineChars="200"/>
            </w:pPr>
            <w:r>
              <w:t>岳阳市君山区地处岳阳市的西南部，地形为低丘陵，北边偏高，南边偏低。本区域丘岗在长期雨水侵蚀和物理化学风化下，形成了较厚的风化壳，由板页岩、砂页岩、灰岩、红色砂砾岩和花岗岩构成，项目地址岩层出露完整，露头较好，构造不复杂。该地承载力为30t/m</w:t>
            </w:r>
            <w:r>
              <w:rPr>
                <w:vertAlign w:val="superscript"/>
              </w:rPr>
              <w:t>2</w:t>
            </w:r>
            <w:r>
              <w:t>，该地址地质条件较好，根据《中国地震动参数区划图（GB18306-2015）》，查得地震动峰值加速度为0.05g。根据《中国地震动反应谱特征周期区划图》，地震动反应谱特征周期为0.35s，抗震设防烈度为Ⅶ度。</w:t>
            </w:r>
          </w:p>
          <w:p>
            <w:pPr>
              <w:spacing w:line="360" w:lineRule="auto"/>
              <w:ind w:firstLine="480" w:firstLineChars="200"/>
            </w:pPr>
            <w:r>
              <w:t>新建洪水港取水泵站位于长江大堤桩号K34+774处，站址东临长江，垸内为冲积平原，地形平坦开阔，地面高程约28.5～31.0m，池塘、沟渠众多，地形低矮，属于冲积平原地貌单元。</w:t>
            </w:r>
          </w:p>
          <w:p>
            <w:pPr>
              <w:spacing w:line="360" w:lineRule="auto"/>
              <w:ind w:firstLine="482" w:firstLineChars="200"/>
              <w:rPr>
                <w:b/>
              </w:rPr>
            </w:pPr>
            <w:r>
              <w:rPr>
                <w:b/>
              </w:rPr>
              <w:t>3、气候、气象</w:t>
            </w:r>
          </w:p>
          <w:p>
            <w:pPr>
              <w:spacing w:line="360" w:lineRule="auto"/>
              <w:ind w:firstLine="480" w:firstLineChars="200"/>
            </w:pPr>
            <w:r>
              <w:t>君山区属典型亚热带大陆性季风湿润气候区。在中国气候分区中，属长江中游气候区。该区光照充足，雨量适度，温暖湿润，四季分明。平均年降水量1214mm，年最大降水量2336.5mm，最大日降水量256.4mm，最大三日降水量415.8mm，平均年降水日136.4天。年平均气温17℃，极端最高气温39.3℃，最低气温－11.8℃，气温年变化大，日变化小。年无霜期279天，年日照时间1764.1h，日照率40%。常年主导风向为西北风，夏季主要风向为南风。区域外水域面积大，空气湿润，年平均相对湿度78%。</w:t>
            </w:r>
          </w:p>
          <w:p>
            <w:pPr>
              <w:spacing w:line="360" w:lineRule="auto"/>
              <w:ind w:firstLine="482" w:firstLineChars="200"/>
              <w:rPr>
                <w:b/>
              </w:rPr>
            </w:pPr>
            <w:r>
              <w:rPr>
                <w:b/>
              </w:rPr>
              <w:t>4、水文</w:t>
            </w:r>
          </w:p>
          <w:p>
            <w:pPr>
              <w:spacing w:line="360" w:lineRule="auto"/>
              <w:ind w:firstLine="480" w:firstLineChars="200"/>
            </w:pPr>
            <w:r>
              <w:t>项目所在区域湖泊、池塘星罗棋布，较大的地表水为长江、洞庭湖等。洞庭湖入长江的总出口江段，年平均过境量3126亿m</w:t>
            </w:r>
            <w:r>
              <w:rPr>
                <w:vertAlign w:val="superscript"/>
              </w:rPr>
              <w:t>3</w:t>
            </w:r>
            <w:r>
              <w:t>，最高水位35.31m，最低水位17.06m。长江水最大流量43460m</w:t>
            </w:r>
            <w:r>
              <w:rPr>
                <w:vertAlign w:val="superscript"/>
              </w:rPr>
              <w:t>3</w:t>
            </w:r>
            <w:r>
              <w:t>/s，最小流量860m</w:t>
            </w:r>
            <w:r>
              <w:rPr>
                <w:vertAlign w:val="superscript"/>
              </w:rPr>
              <w:t>3</w:t>
            </w:r>
            <w:r>
              <w:t>/s。历年平均流量3150m</w:t>
            </w:r>
            <w:r>
              <w:rPr>
                <w:vertAlign w:val="superscript"/>
              </w:rPr>
              <w:t>3</w:t>
            </w:r>
            <w:r>
              <w:t>/s，历年最小流量377 m</w:t>
            </w:r>
            <w:r>
              <w:rPr>
                <w:vertAlign w:val="superscript"/>
              </w:rPr>
              <w:t>3</w:t>
            </w:r>
            <w:r>
              <w:t>/s，历年最大断面平均含沙量1.7kg/m</w:t>
            </w:r>
            <w:r>
              <w:rPr>
                <w:vertAlign w:val="superscript"/>
              </w:rPr>
              <w:t>3</w:t>
            </w:r>
            <w:r>
              <w:t>，历年最小断面平均含沙量0.017kg/m</w:t>
            </w:r>
            <w:r>
              <w:rPr>
                <w:vertAlign w:val="superscript"/>
              </w:rPr>
              <w:t>3</w:t>
            </w:r>
            <w:r>
              <w:t>。</w:t>
            </w:r>
          </w:p>
          <w:p>
            <w:pPr>
              <w:spacing w:line="360" w:lineRule="auto"/>
              <w:ind w:firstLine="480" w:firstLineChars="200"/>
            </w:pPr>
            <w:r>
              <w:t>洞庭湖是一个大湖泊型宽阔河道，它承纳长江中上游和湖南的湘、资、沅、醴4条江河水量。湖泊的周围是广阔的沼泽和平原。湖泊和湿地起着巨大的自然贮水库的作用，在控制长江流域和洞庭湖周围夏季洪水期的水位起着关键作用。</w:t>
            </w:r>
          </w:p>
          <w:p>
            <w:pPr>
              <w:spacing w:line="360" w:lineRule="auto"/>
              <w:ind w:firstLine="482" w:firstLineChars="200"/>
              <w:rPr>
                <w:b/>
              </w:rPr>
            </w:pPr>
            <w:bookmarkStart w:id="2" w:name="2_6"/>
            <w:bookmarkEnd w:id="2"/>
            <w:bookmarkStart w:id="3" w:name="2_5"/>
            <w:bookmarkEnd w:id="3"/>
            <w:bookmarkStart w:id="4" w:name="2_7"/>
            <w:bookmarkEnd w:id="4"/>
            <w:r>
              <w:rPr>
                <w:rFonts w:hint="eastAsia"/>
                <w:b/>
              </w:rPr>
              <w:t>5、</w:t>
            </w:r>
            <w:r>
              <w:rPr>
                <w:b/>
              </w:rPr>
              <w:t>项目区域生态保护区概况</w:t>
            </w:r>
          </w:p>
          <w:p>
            <w:pPr>
              <w:spacing w:line="360" w:lineRule="auto"/>
              <w:ind w:firstLine="482" w:firstLineChars="200"/>
              <w:rPr>
                <w:b/>
              </w:rPr>
            </w:pPr>
            <w:r>
              <w:rPr>
                <w:rFonts w:hint="eastAsia"/>
                <w:b/>
              </w:rPr>
              <w:t>5</w:t>
            </w:r>
            <w:r>
              <w:rPr>
                <w:b/>
              </w:rPr>
              <w:t>.1 华容集成长江故道江豚省级自然保护区</w:t>
            </w:r>
          </w:p>
          <w:p>
            <w:pPr>
              <w:spacing w:line="360" w:lineRule="auto"/>
              <w:ind w:firstLine="480" w:firstLineChars="200"/>
            </w:pPr>
            <w:r>
              <w:t>2015年，湖南省人民政府批准成立湖南华容集成长江故道江豚省级自然保护区，主要保护珍稀濒危物种长江江豚。保护区面积2547公顷，地理坐标为112°40´40.8"E～113°00´57.6"E，29°39´7.2"N～9°46´30"N之间。</w:t>
            </w:r>
          </w:p>
          <w:p>
            <w:pPr>
              <w:spacing w:line="360" w:lineRule="auto"/>
              <w:ind w:firstLine="480" w:firstLineChars="200"/>
            </w:pPr>
            <w:r>
              <w:t>按照不同的功能分区，保护区分为核心区、缓冲区和实验区，其中核心区总面积为874公顷，核心区作为江豚重点保护区，是江豚及其他珍稀水生野生动物的主要栖息场所，将最大限度地保持自然状态和生态系统的完整性和减少人为干扰。核心区实行“两禁一限”，即禁止捕鱼、禁止采砂、限速航行，予以重点保护。</w:t>
            </w:r>
          </w:p>
          <w:p>
            <w:pPr>
              <w:spacing w:line="360" w:lineRule="auto"/>
              <w:ind w:firstLine="480" w:firstLineChars="200"/>
            </w:pPr>
            <w:r>
              <w:t>缓冲区：保护区域内除核心区、水运河道、传统芦苇生产区以及防浪林带以外的区域划为缓冲区，面积948公顷。实验区：保护区区界以内缓冲区以外的区域，面积725公顷。缓冲区和实验区实行季节性禁渔、限制性采砂和限速航行，开展常年性打击违法捕鱼活动，坚决取缔电鱼、毒鱼及布阵子、拦江网、迷魂阵、滚钩、矮围网围等有害渔具、渔法。加强对保护区资源环境监测，及时发现和处理有损东洞庭湖环境资源的污染源，净化江豚生存环境。</w:t>
            </w:r>
          </w:p>
          <w:p>
            <w:pPr>
              <w:spacing w:line="360" w:lineRule="auto"/>
              <w:ind w:firstLine="480" w:firstLineChars="200"/>
              <w:rPr>
                <w:highlight w:val="none"/>
              </w:rPr>
            </w:pPr>
            <w:r>
              <w:rPr>
                <w:highlight w:val="none"/>
              </w:rPr>
              <w:t>本项目取水泵站位于湖南华容集成</w:t>
            </w:r>
            <w:r>
              <w:rPr>
                <w:rFonts w:hint="eastAsia"/>
                <w:highlight w:val="none"/>
              </w:rPr>
              <w:t>江段</w:t>
            </w:r>
            <w:r>
              <w:rPr>
                <w:highlight w:val="none"/>
              </w:rPr>
              <w:t>江豚省级自然保护区</w:t>
            </w:r>
            <w:r>
              <w:rPr>
                <w:rFonts w:hint="eastAsia"/>
                <w:highlight w:val="none"/>
              </w:rPr>
              <w:t>缓冲区</w:t>
            </w:r>
            <w:r>
              <w:rPr>
                <w:highlight w:val="none"/>
              </w:rPr>
              <w:t>外，</w:t>
            </w:r>
            <w:r>
              <w:rPr>
                <w:rFonts w:hint="eastAsia"/>
                <w:highlight w:val="none"/>
              </w:rPr>
              <w:t>缓冲区下</w:t>
            </w:r>
            <w:r>
              <w:rPr>
                <w:highlight w:val="none"/>
              </w:rPr>
              <w:t>边界下游</w:t>
            </w:r>
            <w:r>
              <w:rPr>
                <w:rFonts w:hint="eastAsia"/>
                <w:highlight w:val="none"/>
              </w:rPr>
              <w:t>1400</w:t>
            </w:r>
            <w:r>
              <w:rPr>
                <w:highlight w:val="none"/>
              </w:rPr>
              <w:t>m，不在保护区范围内。</w:t>
            </w:r>
          </w:p>
          <w:p>
            <w:pPr>
              <w:spacing w:line="360" w:lineRule="auto"/>
              <w:ind w:firstLine="482" w:firstLineChars="200"/>
              <w:rPr>
                <w:b/>
              </w:rPr>
            </w:pPr>
            <w:r>
              <w:rPr>
                <w:rFonts w:hint="eastAsia"/>
                <w:b/>
              </w:rPr>
              <w:t>5.</w:t>
            </w:r>
            <w:r>
              <w:rPr>
                <w:b/>
              </w:rPr>
              <w:t>2 湖南东洞庭湖国家级自然保护区</w:t>
            </w:r>
          </w:p>
          <w:p>
            <w:pPr>
              <w:spacing w:line="360" w:lineRule="auto"/>
              <w:ind w:firstLine="480" w:firstLineChars="200"/>
            </w:pPr>
            <w:r>
              <w:t>1、基本情况</w:t>
            </w:r>
          </w:p>
          <w:p>
            <w:pPr>
              <w:spacing w:line="360" w:lineRule="auto"/>
              <w:ind w:firstLine="480" w:firstLineChars="200"/>
            </w:pPr>
            <w:r>
              <w:t>湖南东洞庭湖国家级自然保护区位于长江中下游荆江江段南侧，地处湖南省东北部岳阳市境内，地理坐标介于东经112°43′-113°14′，北纬29°00′-29°38′之间。总面积157628公顷（调整后），主要保护东洞庭湖特有湿地生态系统和生物多样性。保护区成立于1982年，1992年加入“国际重要湿地公约”，被列为我国首批加入“国际重要湿地公约”的六个国际重要湿地之一，1994年经国务院批准升格为国家级自然保护区。</w:t>
            </w:r>
          </w:p>
          <w:p>
            <w:pPr>
              <w:spacing w:line="360" w:lineRule="auto"/>
              <w:ind w:firstLine="480" w:firstLineChars="200"/>
            </w:pPr>
            <w:r>
              <w:t>东洞庭湖独特的生态环境孕育了丰富自然资源，根据湖南东洞庭湖国家级自然保护区前期综合科学考察报告（1993年）、湖南东洞庭湖国家级自然保护区范围和功能区调整综合科学考察报告（国家林业局中南林业调查规划设计院，2013.12）与多年来专家学者的实地调查研究，湖南东洞庭湖自然保护区共有野生脊椎动物5纲36目101科410种。其中，鱼纲7目19科90种；两栖纲2目5科11种；爬行纲3目8科25种；鸟纲17目55科251种；哺乳纲7目14科33种。</w:t>
            </w:r>
          </w:p>
          <w:p>
            <w:pPr>
              <w:spacing w:line="360" w:lineRule="auto"/>
              <w:ind w:firstLine="480" w:firstLineChars="200"/>
            </w:pPr>
            <w:r>
              <w:t>东洞庭湖既是我国湿地水禽的重要越冬地，也是重要繁殖地、停歇地。栖息的雁鸭类、鸻鹬类等水鸟达数十万羽。在东北亚鹤类迁徙网络、东亚雁鸭类迁徙网络和东亚——澳大利亚涉禽迁徙网络等区域物种保护网络中具有十分重要的地位。全球濒危物种小白额雁占全球越冬种群的70%以上，栖息着中国唯一的自然野化麋鹿种群。被誉为“世界巨大基因宝库”、“拯救世界频危物种的希望地”和“人与自然和谐共处的典范”。</w:t>
            </w:r>
          </w:p>
          <w:p>
            <w:pPr>
              <w:spacing w:line="360" w:lineRule="auto"/>
              <w:ind w:firstLine="480" w:firstLineChars="200"/>
            </w:pPr>
            <w:r>
              <w:t>2、 保护区类型</w:t>
            </w:r>
          </w:p>
          <w:p>
            <w:pPr>
              <w:spacing w:line="360" w:lineRule="auto"/>
              <w:ind w:firstLine="480" w:firstLineChars="200"/>
            </w:pPr>
            <w:r>
              <w:t>湖南东洞庭湖国家级自然保护区境内湿地生态环境保存完好，珍稀濒危水禽种类、数量丰富，为迁徙水禽特别重要的越冬地和栖息地，并具有良好的自然属性。根据《自然保护区类型与级别区份原则》（GB/T14529-93），该保护区类别为自然生态系统类、内陆湿地和水域生态系统类型的国家级自然保护区。</w:t>
            </w:r>
          </w:p>
          <w:p>
            <w:pPr>
              <w:spacing w:line="360" w:lineRule="auto"/>
              <w:ind w:firstLine="480" w:firstLineChars="200"/>
            </w:pPr>
            <w:r>
              <w:t>3、 功能区划</w:t>
            </w:r>
          </w:p>
          <w:p>
            <w:pPr>
              <w:spacing w:line="360" w:lineRule="auto"/>
              <w:ind w:firstLine="480" w:firstLineChars="200"/>
            </w:pPr>
            <w:r>
              <w:t>（1）功能区划概况</w:t>
            </w:r>
          </w:p>
          <w:p>
            <w:pPr>
              <w:spacing w:line="360" w:lineRule="auto"/>
              <w:ind w:firstLine="480" w:firstLineChars="200"/>
            </w:pPr>
            <w:r>
              <w:t>调整后，东洞庭湖国家级自然保护区功能区划分情况为：</w:t>
            </w:r>
          </w:p>
          <w:p>
            <w:pPr>
              <w:spacing w:line="360" w:lineRule="auto"/>
              <w:ind w:firstLine="480" w:firstLineChars="200"/>
            </w:pPr>
            <w:r>
              <w:t xml:space="preserve"> ① 核心区。湿地生态系统完整，生物资源丰富，白鹤、黑鹤、东方白鹤、小天鹅、鸿雁等珍稀濒危鸟类集中栖息的地段，面积33286.2hm</w:t>
            </w:r>
            <w:r>
              <w:rPr>
                <w:vertAlign w:val="superscript"/>
              </w:rPr>
              <w:t>2</w:t>
            </w:r>
            <w:r>
              <w:t>。</w:t>
            </w:r>
          </w:p>
          <w:p>
            <w:pPr>
              <w:spacing w:line="360" w:lineRule="auto"/>
              <w:ind w:firstLine="480" w:firstLineChars="200"/>
            </w:pPr>
            <w:r>
              <w:t xml:space="preserve"> ② 缓冲区。核心区外围所有东洞庭湖区域，面积32369.8hm</w:t>
            </w:r>
            <w:r>
              <w:rPr>
                <w:vertAlign w:val="superscript"/>
              </w:rPr>
              <w:t>2</w:t>
            </w:r>
            <w:r>
              <w:t>。</w:t>
            </w:r>
          </w:p>
          <w:p>
            <w:pPr>
              <w:spacing w:line="360" w:lineRule="auto"/>
              <w:ind w:firstLine="480" w:firstLineChars="200"/>
            </w:pPr>
            <w:r>
              <w:t xml:space="preserve"> ③ 实验区。保护区区界以内缓冲区以外的广大区域，包括团湖、南湖等在内的湖泊、库塘、农业等用地，面积91972hm</w:t>
            </w:r>
            <w:r>
              <w:rPr>
                <w:vertAlign w:val="superscript"/>
              </w:rPr>
              <w:t>2</w:t>
            </w:r>
            <w:r>
              <w:t>。</w:t>
            </w:r>
          </w:p>
          <w:p>
            <w:pPr>
              <w:spacing w:line="360" w:lineRule="auto"/>
              <w:ind w:firstLine="480" w:firstLineChars="200"/>
            </w:pPr>
            <w:r>
              <w:t>本项目位于湖南东洞庭湖国家级自然保护区实验区内，见附图8。</w:t>
            </w:r>
          </w:p>
          <w:p>
            <w:pPr>
              <w:spacing w:line="360" w:lineRule="auto"/>
              <w:ind w:firstLine="480" w:firstLineChars="200"/>
            </w:pPr>
            <w:r>
              <w:t>（2）规划调整概况</w:t>
            </w:r>
          </w:p>
          <w:p>
            <w:pPr>
              <w:spacing w:line="360" w:lineRule="auto"/>
              <w:ind w:firstLine="480" w:firstLineChars="200"/>
            </w:pPr>
            <w:r>
              <w:t>根据《国务院办公厅关于调整湖南东洞庭湖等4处国家级自然保护区的通知》（国办函[2018]19号），国务院已同意调整湖南东洞庭湖国家级自然保护区的范围。此次范围调整只涉及将部分实验区部分区域调出保护区；功能区调整拟将部分实验区调整为缓冲区，并将部分缓冲区调整为核心区。范围和功能区调整方案如下：</w:t>
            </w:r>
          </w:p>
          <w:p>
            <w:pPr>
              <w:spacing w:line="360" w:lineRule="auto"/>
              <w:ind w:firstLine="480" w:firstLineChars="200"/>
            </w:pPr>
            <w:r>
              <w:t>调整范围：</w:t>
            </w:r>
          </w:p>
          <w:p>
            <w:pPr>
              <w:spacing w:line="360" w:lineRule="auto"/>
              <w:ind w:firstLine="480" w:firstLineChars="200"/>
            </w:pPr>
            <w:r>
              <w:t>将5个实验区地块调出自然保护区范围。其中：2号调整地块：位于自然保护区实验区范围，为岳阳市中心城区（涉及岳阳楼区、南湖区、云溪区、临港新区、岳阳市经济开发区）以及岳阳县麻塘镇、新开镇等部分集镇区域，总面积23836.0公顷。从道人矶往南至东风湖北岸七里山以长江和洞庭瑚大堤为界，东风湖至高家嘴区域洞庭湖大堤或水岸线为界（南湖除外），高家嘴往南至北湖村则沿S201省道往西缓冲600米为界，北湖村至畔湖村以S201省道为界，畔湖村至春风村蓄水湖之间麻塘集镇区域以沿S201省道往西缓冲700米为界，该界东部区域均为拟调整范围。</w:t>
            </w:r>
          </w:p>
          <w:p>
            <w:pPr>
              <w:spacing w:line="360" w:lineRule="auto"/>
              <w:ind w:firstLine="480" w:firstLineChars="200"/>
            </w:pPr>
            <w:r>
              <w:t>该区域为岳阳市中心城区（涉及岳阳楼区、南湖区、云溪区，临港新区、岳阳市经济开发区）以及岳阳县麻塘镇、新开镇等部分集镇区域，是岳阳市的主要工业产业聚集地也是岳阳市城区居民聚集地。据调查，该区域总面积23836.0公顷，2012年束总户数192724户，总人口达462935人，人口密度达到2078人/km2。该区域聚集了以长岭炼化、巴陵石化，华能电厂、岳阳纸业等大中型国企为代表的一大批石化、食品、造纸、电力、机械、纺织工业企业，而且包含了岳阳市新老城区以及岳阳市经济临港新区等大面积工业园区，是岳阳市的行政、文化、商业和经济发展中心。</w:t>
            </w:r>
          </w:p>
          <w:p>
            <w:pPr>
              <w:spacing w:line="360" w:lineRule="auto"/>
              <w:ind w:firstLine="480" w:firstLineChars="200"/>
            </w:pPr>
            <w:r>
              <w:t>由于历史原因，这些区域早在80年代被划入了自然保护区，当时已经作为岳阳市中心城区的范围被划为自然保护区的实验区进行保护管理。由于人口密集，工农业聚集，管理难度极大，基本不具各自然保护区实验区的保护意义。通过组织专家进行实地调查发现，该区域近洞庭湖大堤区域大部分为城市集镇，城区周边区域则多为低山丘陵、农田村庄，且距洞庭湖距离较远（最远距离超过12公里），与洞庭湖湿地生态系统存在较强的地理隔离，也未发现有越冬水禽分布，因此该区域基本不具备保护价值。</w:t>
            </w:r>
          </w:p>
          <w:p>
            <w:pPr>
              <w:spacing w:line="360" w:lineRule="auto"/>
              <w:ind w:firstLine="480" w:firstLineChars="200"/>
            </w:pPr>
            <w:r>
              <w:t>湖南东洞庭湖国家级自然保护区调整后范围为地理坐标在N 29°0'0''-29°37'45.7''，E112°43'59.5"-113°13'13.4"之间，自然保护区北起长江湘鄂两省主航道分界线，南至汨罗磊石山，东至京广铁路，西与南县交界。东西宽约50公里，南北长70公里，总面积157628公顷。</w:t>
            </w:r>
          </w:p>
          <w:p>
            <w:pPr>
              <w:spacing w:line="360" w:lineRule="auto"/>
              <w:ind w:firstLine="480" w:firstLineChars="200"/>
            </w:pPr>
            <w:r>
              <w:t>东洞庭湖自然保护区方案调整后，本项目仍在湖南东洞庭湖国家级自然保护区实验区内。</w:t>
            </w:r>
          </w:p>
          <w:p>
            <w:pPr>
              <w:spacing w:line="360" w:lineRule="auto"/>
              <w:ind w:firstLine="480" w:firstLineChars="200"/>
            </w:pPr>
            <w:r>
              <w:t>4、 主要保护对象</w:t>
            </w:r>
          </w:p>
          <w:p>
            <w:pPr>
              <w:spacing w:line="360" w:lineRule="auto"/>
              <w:ind w:firstLine="480" w:firstLineChars="200"/>
            </w:pPr>
            <w:r>
              <w:t>自然保护区的主要保护对象为：</w:t>
            </w:r>
          </w:p>
          <w:p>
            <w:pPr>
              <w:spacing w:line="360" w:lineRule="auto"/>
              <w:ind w:firstLine="480" w:firstLineChars="200"/>
            </w:pPr>
            <w:r>
              <w:t>①主要保护金荞麦（Fagopyrum dibotrys）、野大豆（Glycine soja）、中华结缕草（Zoysia sinica ）等国家重点保护野生植物；</w:t>
            </w:r>
          </w:p>
          <w:p>
            <w:pPr>
              <w:spacing w:line="360" w:lineRule="auto"/>
              <w:ind w:firstLine="480" w:firstLineChars="200"/>
            </w:pPr>
            <w:r>
              <w:t>②鱼类资源：中华鲟(Acipenser )、白鲟（Psephurus gladius）、胭脂（Myxocyprinus  asiaticus）等珍稀鱼类；</w:t>
            </w:r>
          </w:p>
          <w:p>
            <w:pPr>
              <w:spacing w:line="360" w:lineRule="auto"/>
              <w:ind w:firstLine="480" w:firstLineChars="200"/>
            </w:pPr>
            <w:r>
              <w:t>③两栖动物：虎纹蛙（Rana rugulosa）等国家保护动物；</w:t>
            </w:r>
          </w:p>
          <w:p>
            <w:pPr>
              <w:spacing w:line="360" w:lineRule="auto"/>
              <w:ind w:firstLine="480" w:firstLineChars="200"/>
            </w:pPr>
            <w:r>
              <w:t>④鸟类：东方白鹤（Ciconiac）、黑鹤（Ciconiac nigra）、中华秋沙鸭（Mergus squamatus）、白尾海雕（Haliaeetus albicilla）、白鹤（Grusg leucogeranus）、白头鹤（Grusgmonacha）、大鸨（Otis tarda dybowskjjs）等国家保护动物；</w:t>
            </w:r>
          </w:p>
          <w:p>
            <w:pPr>
              <w:spacing w:line="360" w:lineRule="auto"/>
              <w:ind w:firstLine="480" w:firstLineChars="200"/>
            </w:pPr>
            <w:r>
              <w:t>⑤哺乳动物：江豚（Lipotes vexijjifer）、麋鹿（Elaphurus davidianus）等国家保护动物。</w:t>
            </w:r>
          </w:p>
          <w:p>
            <w:pPr>
              <w:spacing w:line="360" w:lineRule="auto"/>
              <w:ind w:firstLine="480" w:firstLineChars="200"/>
            </w:pPr>
            <w:r>
              <w:t>⑥湿地生态系统和生物多样性。</w:t>
            </w:r>
          </w:p>
          <w:p>
            <w:pPr>
              <w:spacing w:line="360" w:lineRule="auto"/>
              <w:ind w:firstLine="480" w:firstLineChars="200"/>
            </w:pPr>
            <w:r>
              <w:t>⑦自然生态环境和自然资源。</w:t>
            </w:r>
          </w:p>
          <w:p>
            <w:pPr>
              <w:spacing w:line="360" w:lineRule="auto"/>
              <w:ind w:firstLine="480" w:firstLineChars="200"/>
            </w:pPr>
            <w:r>
              <w:t>⑧自然和人文景观。</w:t>
            </w:r>
          </w:p>
          <w:p>
            <w:pPr>
              <w:spacing w:line="360" w:lineRule="auto"/>
              <w:ind w:firstLine="480" w:firstLineChars="200"/>
            </w:pPr>
            <w:r>
              <w:t>⑨越冬湿地鸟类及其栖息地。</w:t>
            </w:r>
          </w:p>
          <w:p>
            <w:pPr>
              <w:spacing w:line="360" w:lineRule="auto"/>
              <w:ind w:firstLine="480" w:firstLineChars="200"/>
              <w:rPr>
                <w:highlight w:val="none"/>
              </w:rPr>
            </w:pPr>
            <w:r>
              <w:rPr>
                <w:highlight w:val="none"/>
              </w:rPr>
              <w:t>本项目</w:t>
            </w:r>
            <w:r>
              <w:rPr>
                <w:rFonts w:hint="eastAsia"/>
                <w:highlight w:val="none"/>
              </w:rPr>
              <w:t>原取水口、依托</w:t>
            </w:r>
            <w:r>
              <w:rPr>
                <w:highlight w:val="none"/>
              </w:rPr>
              <w:t>取水工程</w:t>
            </w:r>
            <w:r>
              <w:rPr>
                <w:rFonts w:hint="eastAsia"/>
                <w:highlight w:val="none"/>
              </w:rPr>
              <w:t>、原输水管线、新铺设输水管线均</w:t>
            </w:r>
            <w:r>
              <w:rPr>
                <w:highlight w:val="none"/>
              </w:rPr>
              <w:t>位于湖南东洞庭湖国家级自然保护区的实验区</w:t>
            </w:r>
            <w:r>
              <w:rPr>
                <w:rFonts w:hint="eastAsia"/>
                <w:highlight w:val="none"/>
              </w:rPr>
              <w:t>。原取水口潭子坑取水口距保护区缓冲区上边界约12.526km，距保护区核心区上边界13.275km，现取水口往上游约3km迁移，本项目依托的取水口洪水港取水口，距保护区缓冲区上边界约</w:t>
            </w:r>
            <w:r>
              <w:rPr>
                <w:rFonts w:hint="eastAsia"/>
                <w:highlight w:val="none"/>
                <w:lang w:val="en-US" w:eastAsia="zh-CN"/>
              </w:rPr>
              <w:t>12.56</w:t>
            </w:r>
            <w:r>
              <w:rPr>
                <w:rFonts w:hint="eastAsia"/>
                <w:highlight w:val="none"/>
              </w:rPr>
              <w:t>km，距保护区核心区上边界约</w:t>
            </w:r>
            <w:r>
              <w:rPr>
                <w:rFonts w:hint="eastAsia"/>
                <w:highlight w:val="none"/>
                <w:lang w:val="en-US" w:eastAsia="zh-CN"/>
              </w:rPr>
              <w:t>13.5</w:t>
            </w:r>
            <w:r>
              <w:rPr>
                <w:rFonts w:hint="eastAsia"/>
                <w:highlight w:val="none"/>
              </w:rPr>
              <w:t>km</w:t>
            </w:r>
            <w:r>
              <w:rPr>
                <w:highlight w:val="none"/>
              </w:rPr>
              <w:t>。</w:t>
            </w:r>
          </w:p>
          <w:p>
            <w:pPr>
              <w:spacing w:line="360" w:lineRule="auto"/>
              <w:ind w:firstLine="482" w:firstLineChars="200"/>
              <w:rPr>
                <w:b/>
              </w:rPr>
            </w:pPr>
            <w:r>
              <w:rPr>
                <w:rFonts w:hint="eastAsia"/>
                <w:b/>
              </w:rPr>
              <w:t>5</w:t>
            </w:r>
            <w:r>
              <w:rPr>
                <w:b/>
              </w:rPr>
              <w:t>.3湖南东洞庭湖湿地概况</w:t>
            </w:r>
          </w:p>
          <w:p>
            <w:pPr>
              <w:spacing w:line="360" w:lineRule="auto"/>
              <w:ind w:firstLine="480" w:firstLineChars="200"/>
            </w:pPr>
            <w:r>
              <w:t>东洞庭湖湖泊湿地总面积190000hm</w:t>
            </w:r>
            <w:r>
              <w:rPr>
                <w:vertAlign w:val="superscript"/>
              </w:rPr>
              <w:t>2</w:t>
            </w:r>
            <w:r>
              <w:t>，岳阳市东洞庭湖湿地与东洞庭湖湿地属于同一个湿地，主管部门、面积、范围等均相同。主要保护对象是越冬湿地鸟类及其栖息地。</w:t>
            </w:r>
          </w:p>
          <w:p>
            <w:pPr>
              <w:spacing w:line="360" w:lineRule="auto"/>
              <w:ind w:firstLine="480" w:firstLineChars="200"/>
            </w:pPr>
            <w:r>
              <w:t>东洞庭湖湿地在东北亚鹤类迁徙网络、东亚雁鸭类迁徙网络等国际区域性物种保护网络中具有十分重要的地位。每年10月至次年3月，有217种鸟类共1000万只候鸟在这里越冬。白鹤、白鹳、灰鹤、小天鹅、白鹭等国家Ⅰ级、Ⅱ级保护动物在东洞庭湖随处可见，很受国际关注，而且很多已经宣布为濒危的鸟类如白头鹤、大鸨、鸿雁、小额雁、青头潜鸭等在东洞庭湖也不难见到。东洞庭湖湿地边界范围与东洞庭湖国家自然保护区边界范围相同。</w:t>
            </w:r>
          </w:p>
          <w:p>
            <w:pPr>
              <w:spacing w:line="360" w:lineRule="auto"/>
              <w:ind w:firstLine="480" w:firstLineChars="200"/>
            </w:pPr>
            <w:r>
              <w:t>东洞庭湖湿地在东北亚鹤类迁徙网络、东亚雁鸭类迁徙网络等国际区域性物种保护网络中具有十分重要的地位。每年10月至次年3月，有217种鸟类共1000万只候鸟在这里越冬。白鹤、白鹳、灰鹤、小天鹅、白鹭等国家Ⅰ级、Ⅱ级保护动物在东洞庭湖随处可见，很受国际关注，而且很多已经宣布为濒危的鸟类如白头鹤、大鸨、鸿雁、小额雁、青头潜鸭等在东洞庭湖也不难见到，上述越冬鸟类的栖息地分布整个东洞庭湖湿地范围内。</w:t>
            </w:r>
          </w:p>
          <w:p>
            <w:pPr>
              <w:spacing w:line="360" w:lineRule="auto"/>
              <w:ind w:firstLine="480" w:firstLineChars="200"/>
              <w:rPr>
                <w:highlight w:val="none"/>
              </w:rPr>
            </w:pPr>
            <w:r>
              <w:rPr>
                <w:highlight w:val="none"/>
              </w:rPr>
              <w:t>本项目</w:t>
            </w:r>
            <w:r>
              <w:rPr>
                <w:rFonts w:hint="eastAsia"/>
                <w:highlight w:val="none"/>
              </w:rPr>
              <w:t>原取水口、依托</w:t>
            </w:r>
            <w:r>
              <w:rPr>
                <w:highlight w:val="none"/>
              </w:rPr>
              <w:t>取水工程</w:t>
            </w:r>
            <w:r>
              <w:rPr>
                <w:rFonts w:hint="eastAsia"/>
                <w:highlight w:val="none"/>
              </w:rPr>
              <w:t>、原输水管线、新铺设输水管线</w:t>
            </w:r>
            <w:r>
              <w:rPr>
                <w:highlight w:val="none"/>
              </w:rPr>
              <w:t>均位于东洞庭湖湖泊湿地范围内。</w:t>
            </w:r>
          </w:p>
          <w:p>
            <w:pPr>
              <w:spacing w:line="360" w:lineRule="auto"/>
              <w:ind w:firstLine="482" w:firstLineChars="200"/>
              <w:rPr>
                <w:b/>
              </w:rPr>
            </w:pPr>
            <w:r>
              <w:rPr>
                <w:rFonts w:hint="eastAsia"/>
                <w:b/>
              </w:rPr>
              <w:t>5</w:t>
            </w:r>
            <w:r>
              <w:rPr>
                <w:b/>
              </w:rPr>
              <w:t>.4 长江监利段四大家鱼国家级水产种质资源保护区</w:t>
            </w:r>
          </w:p>
          <w:p>
            <w:pPr>
              <w:spacing w:line="360" w:lineRule="auto"/>
              <w:ind w:firstLine="480" w:firstLineChars="200"/>
            </w:pPr>
            <w:r>
              <w:t>长江监利段四大家鱼国家级水产种质资源保护区于 2010 年经中国农业部批准建立，批准文号：农办渔【2010】104 号，保护区总面积 15996 公顷，其中核心区面积6294 公顷，实验区 9702 公顷。特别保护期为 4 月 1 日～6 月30日。保护区位于湖北省监利县长江江段，范围在东经 112°42′47"～113°18′11" ，北纬29°27′46"～29°48′31"之间，由老江河长江故道长 20.0 km和长江干流 78.48 km江段水域组成，全长 98.48 km。保护区江段上起监利县大垸柳口闸，下至监利县白螺镇韩家埠，流经杨家湾、沙咀、左家滩、盐船、上沙村、老江河长江故道、孙梁洲、白螺矶、韩家埠。其中长江干流保护区由 3 段水域构成，保护区上段由监利县大垸农场管理区柳口至容城镇新洲沙咀轮渡码头，中段由三洲镇左家滩经老江河故道至柘木乡孙梁洲，下段由白螺镇白螺矶至韩家埠。核心区有 3 段水域，长 41.8 千米，分别是自监利县红城乡杨家湾至容城镇新洲沙咀轮渡口江段，长度15.80km，面积3634 公 顷，范围在东经  112°49′51"～112°55′26" ， 北 纬29°45′52"～29°43′7"之间；三洲镇盐船轮渡口至上沙村江段，长度 6.00 km，面 积 960 km ， 范 围 在 东 经 112°56′25"～112°55′38" ， 北 纬29°29′3"～29°32′31"之间；老江河长江故道（三洲镇熊洲闸至柘木乡孙梁洲闸），长度 20.0 km，面积 1700 公顷，范围在东经 112°59′45"～113°4′13"，北纬 29°30′46"—29°30′51"之间。实验区有 4 段水域，长 56.68 km，分别是大垸管理区柳口至红城乡杨家湾江段，长度 12.93 km，面积 1294 公顷，范围在东经112°42′47"～112°49′51"，北纬 29°44′14"～29°45′52"之间；三洲镇左家滩至盐船轮渡口江段，长度 12.64 km，面积 1896 公顷，范围在东经112°55′59"～112°55′38"，北纬 29°32′31"～29°38′44"之间；三洲镇上沙村至柘木乡孙梁洲江段，长度 17.18 km，面积 3780 公顷，范围在东经112°56′25"～113°3′47"，北纬 29°29′3"～29°30′16"之间；白螺镇白螺矶至韩家埠江段，长度 13.93 km，面积 2732 公顷，范围在东经113°12′37"～113°18′11"，北纬 29°32′8"～29°37′51"之间。长江监利段四大家鱼国家级水产种质资源保护区主要保护对象为青鱼、草鱼、鲢、鳙“四大家鱼”。据调查，长江中下游“四大家鱼”产卵场主要集中在宜昌至城矶江段，而岳阳段未发现其产卵场。其它保护对象包括大口鲇、长吻鮠、鳜、黄颡鱼、短颌鲚、江黄颡、翘嘴鲌等。另外保护对象也包括保护区内所有的水生动植物。</w:t>
            </w:r>
          </w:p>
          <w:p>
            <w:pPr>
              <w:spacing w:line="360" w:lineRule="auto"/>
              <w:ind w:firstLine="480" w:firstLineChars="200"/>
            </w:pPr>
            <w:r>
              <w:t>项目</w:t>
            </w:r>
            <w:r>
              <w:rPr>
                <w:rFonts w:hint="eastAsia"/>
              </w:rPr>
              <w:t>依托</w:t>
            </w:r>
            <w:r>
              <w:t>取水泵站</w:t>
            </w:r>
            <w:r>
              <w:rPr>
                <w:rFonts w:hint="eastAsia"/>
              </w:rPr>
              <w:t>，洪水港取水泵站</w:t>
            </w:r>
            <w:r>
              <w:t>位于长江监利段四大家鱼国家级水产种质资源保护区的实验区</w:t>
            </w:r>
            <w:r>
              <w:rPr>
                <w:rFonts w:hint="eastAsia"/>
              </w:rPr>
              <w:t>，距上游核心区下边界14.471km，距下游核心区上边界8.324km</w:t>
            </w:r>
            <w:r>
              <w:t>。</w:t>
            </w:r>
          </w:p>
          <w:p>
            <w:pPr>
              <w:spacing w:line="360" w:lineRule="auto"/>
              <w:ind w:firstLine="482" w:firstLineChars="200"/>
              <w:rPr>
                <w:b/>
              </w:rPr>
            </w:pPr>
            <w:r>
              <w:rPr>
                <w:rFonts w:hint="eastAsia"/>
                <w:b/>
              </w:rPr>
              <w:t>5</w:t>
            </w:r>
            <w:r>
              <w:rPr>
                <w:b/>
              </w:rPr>
              <w:t>.5建设项目与保护区的关系</w:t>
            </w:r>
          </w:p>
          <w:p>
            <w:pPr>
              <w:spacing w:line="360" w:lineRule="auto"/>
              <w:ind w:firstLine="480" w:firstLineChars="200"/>
            </w:pPr>
            <w:r>
              <w:t>根据现场查看及资料查阅可知，本工程建设区域有自然保护区有</w:t>
            </w:r>
            <w:r>
              <w:rPr>
                <w:rFonts w:hint="eastAsia"/>
              </w:rPr>
              <w:t>1</w:t>
            </w:r>
            <w:r>
              <w:t>个，种质资源保护区1个，1个国际重要湖泊湿地。保护区基本情况及与工程相对位置关系见表 3-1。</w:t>
            </w:r>
          </w:p>
          <w:p>
            <w:pPr>
              <w:spacing w:line="360" w:lineRule="auto"/>
              <w:ind w:firstLine="480" w:firstLineChars="200"/>
            </w:pPr>
            <w:r>
              <w:t>本项目取水泵站位于湖南华容集成</w:t>
            </w:r>
            <w:r>
              <w:rPr>
                <w:rFonts w:hint="eastAsia"/>
              </w:rPr>
              <w:t>江段</w:t>
            </w:r>
            <w:r>
              <w:t>江豚省级自然保护区</w:t>
            </w:r>
            <w:r>
              <w:rPr>
                <w:rFonts w:hint="eastAsia"/>
              </w:rPr>
              <w:t>缓冲区</w:t>
            </w:r>
            <w:r>
              <w:t>外，</w:t>
            </w:r>
            <w:r>
              <w:rPr>
                <w:rFonts w:hint="eastAsia"/>
              </w:rPr>
              <w:t>位于缓冲区</w:t>
            </w:r>
            <w:r>
              <w:t>边界下游</w:t>
            </w:r>
            <w:r>
              <w:rPr>
                <w:rFonts w:hint="eastAsia"/>
              </w:rPr>
              <w:t>1400</w:t>
            </w:r>
            <w:r>
              <w:t>m，不在保护区范围内。本项目</w:t>
            </w:r>
            <w:r>
              <w:rPr>
                <w:rFonts w:hint="eastAsia"/>
              </w:rPr>
              <w:t>依托</w:t>
            </w:r>
            <w:r>
              <w:t>取水工程</w:t>
            </w:r>
            <w:r>
              <w:rPr>
                <w:rFonts w:hint="eastAsia"/>
              </w:rPr>
              <w:t>、原输水管线、新铺设输水管线</w:t>
            </w:r>
            <w:r>
              <w:t>均位于湖南东洞庭湖国家级自然保护区保护区的实验区。</w:t>
            </w:r>
          </w:p>
          <w:p>
            <w:pPr>
              <w:spacing w:line="360" w:lineRule="auto"/>
              <w:jc w:val="center"/>
              <w:rPr>
                <w:b/>
                <w:sz w:val="21"/>
                <w:szCs w:val="21"/>
              </w:rPr>
            </w:pPr>
            <w:r>
              <w:rPr>
                <w:rFonts w:hint="eastAsia"/>
                <w:b/>
                <w:sz w:val="21"/>
                <w:szCs w:val="21"/>
              </w:rPr>
              <w:t xml:space="preserve">表 </w:t>
            </w:r>
            <w:r>
              <w:rPr>
                <w:rFonts w:hint="eastAsia"/>
                <w:b/>
                <w:sz w:val="21"/>
                <w:szCs w:val="21"/>
                <w:lang w:val="en-US" w:eastAsia="zh-CN"/>
              </w:rPr>
              <w:t>2</w:t>
            </w:r>
            <w:r>
              <w:rPr>
                <w:rFonts w:hint="eastAsia"/>
                <w:b/>
                <w:sz w:val="21"/>
                <w:szCs w:val="21"/>
              </w:rPr>
              <w:t>-</w:t>
            </w:r>
            <w:r>
              <w:rPr>
                <w:b/>
                <w:sz w:val="21"/>
                <w:szCs w:val="21"/>
              </w:rPr>
              <w:t>1</w:t>
            </w:r>
            <w:r>
              <w:rPr>
                <w:rFonts w:hint="eastAsia"/>
                <w:b/>
                <w:sz w:val="21"/>
                <w:szCs w:val="21"/>
              </w:rPr>
              <w:t xml:space="preserve">  工程区域生态敏感区及与工程相对位置关系表</w:t>
            </w:r>
          </w:p>
          <w:tbl>
            <w:tblPr>
              <w:tblStyle w:val="44"/>
              <w:tblW w:w="0" w:type="auto"/>
              <w:jc w:val="center"/>
              <w:tblLayout w:type="fixed"/>
              <w:tblCellMar>
                <w:top w:w="0" w:type="dxa"/>
                <w:left w:w="0" w:type="dxa"/>
                <w:bottom w:w="0" w:type="dxa"/>
                <w:right w:w="0" w:type="dxa"/>
              </w:tblCellMar>
            </w:tblPr>
            <w:tblGrid>
              <w:gridCol w:w="511"/>
              <w:gridCol w:w="1430"/>
              <w:gridCol w:w="1368"/>
              <w:gridCol w:w="2423"/>
              <w:gridCol w:w="1501"/>
              <w:gridCol w:w="1089"/>
            </w:tblGrid>
            <w:tr>
              <w:tblPrEx>
                <w:tblCellMar>
                  <w:top w:w="0" w:type="dxa"/>
                  <w:left w:w="0" w:type="dxa"/>
                  <w:bottom w:w="0" w:type="dxa"/>
                  <w:right w:w="0" w:type="dxa"/>
                </w:tblCellMar>
              </w:tblPrEx>
              <w:trPr>
                <w:trHeight w:val="340" w:hRule="atLeast"/>
                <w:jc w:val="center"/>
              </w:trPr>
              <w:tc>
                <w:tcPr>
                  <w:tcW w:w="511" w:type="dxa"/>
                  <w:tcBorders>
                    <w:top w:val="single" w:color="auto" w:sz="4" w:space="0"/>
                    <w:left w:val="single" w:color="auto" w:sz="4" w:space="0"/>
                    <w:bottom w:val="single" w:color="auto" w:sz="6" w:space="0"/>
                    <w:right w:val="single" w:color="auto" w:sz="6" w:space="0"/>
                  </w:tcBorders>
                  <w:vAlign w:val="center"/>
                </w:tcPr>
                <w:p>
                  <w:pPr>
                    <w:adjustRightInd w:val="0"/>
                    <w:snapToGrid w:val="0"/>
                    <w:jc w:val="center"/>
                    <w:rPr>
                      <w:bCs/>
                      <w:sz w:val="21"/>
                      <w:szCs w:val="21"/>
                    </w:rPr>
                  </w:pPr>
                  <w:r>
                    <w:rPr>
                      <w:rFonts w:hAnsi="宋体"/>
                      <w:bCs/>
                      <w:sz w:val="21"/>
                      <w:szCs w:val="21"/>
                    </w:rPr>
                    <w:t>类别</w:t>
                  </w:r>
                </w:p>
              </w:tc>
              <w:tc>
                <w:tcPr>
                  <w:tcW w:w="1430" w:type="dxa"/>
                  <w:tcBorders>
                    <w:top w:val="single" w:color="auto" w:sz="4" w:space="0"/>
                    <w:left w:val="single" w:color="auto" w:sz="6" w:space="0"/>
                    <w:bottom w:val="single" w:color="auto" w:sz="6" w:space="0"/>
                    <w:right w:val="single" w:color="auto" w:sz="6" w:space="0"/>
                  </w:tcBorders>
                  <w:vAlign w:val="center"/>
                </w:tcPr>
                <w:p>
                  <w:pPr>
                    <w:adjustRightInd w:val="0"/>
                    <w:snapToGrid w:val="0"/>
                    <w:jc w:val="center"/>
                    <w:rPr>
                      <w:bCs/>
                      <w:sz w:val="21"/>
                      <w:szCs w:val="21"/>
                    </w:rPr>
                  </w:pPr>
                  <w:r>
                    <w:rPr>
                      <w:rFonts w:hAnsi="宋体"/>
                      <w:bCs/>
                      <w:sz w:val="21"/>
                      <w:szCs w:val="21"/>
                    </w:rPr>
                    <w:t>保护目标</w:t>
                  </w:r>
                </w:p>
              </w:tc>
              <w:tc>
                <w:tcPr>
                  <w:tcW w:w="1368" w:type="dxa"/>
                  <w:tcBorders>
                    <w:top w:val="single" w:color="auto" w:sz="4" w:space="0"/>
                    <w:left w:val="single" w:color="auto" w:sz="6" w:space="0"/>
                    <w:bottom w:val="single" w:color="auto" w:sz="6" w:space="0"/>
                    <w:right w:val="single" w:color="auto" w:sz="6" w:space="0"/>
                  </w:tcBorders>
                  <w:vAlign w:val="center"/>
                </w:tcPr>
                <w:p>
                  <w:pPr>
                    <w:adjustRightInd w:val="0"/>
                    <w:snapToGrid w:val="0"/>
                    <w:jc w:val="center"/>
                    <w:rPr>
                      <w:bCs/>
                      <w:sz w:val="21"/>
                      <w:szCs w:val="21"/>
                    </w:rPr>
                  </w:pPr>
                  <w:r>
                    <w:rPr>
                      <w:rFonts w:hAnsi="宋体"/>
                      <w:bCs/>
                      <w:sz w:val="21"/>
                      <w:szCs w:val="21"/>
                    </w:rPr>
                    <w:t>保护目标功能</w:t>
                  </w:r>
                </w:p>
              </w:tc>
              <w:tc>
                <w:tcPr>
                  <w:tcW w:w="2423" w:type="dxa"/>
                  <w:tcBorders>
                    <w:top w:val="single" w:color="auto" w:sz="4" w:space="0"/>
                    <w:left w:val="single" w:color="auto" w:sz="6" w:space="0"/>
                    <w:bottom w:val="single" w:color="auto" w:sz="6" w:space="0"/>
                    <w:right w:val="single" w:color="auto" w:sz="6" w:space="0"/>
                  </w:tcBorders>
                  <w:vAlign w:val="center"/>
                </w:tcPr>
                <w:p>
                  <w:pPr>
                    <w:adjustRightInd w:val="0"/>
                    <w:snapToGrid w:val="0"/>
                    <w:jc w:val="center"/>
                    <w:rPr>
                      <w:bCs/>
                      <w:sz w:val="21"/>
                      <w:szCs w:val="21"/>
                    </w:rPr>
                  </w:pPr>
                  <w:r>
                    <w:rPr>
                      <w:rFonts w:hAnsi="宋体"/>
                      <w:bCs/>
                      <w:sz w:val="21"/>
                      <w:szCs w:val="21"/>
                    </w:rPr>
                    <w:t>相对位置及距离</w:t>
                  </w:r>
                </w:p>
              </w:tc>
              <w:tc>
                <w:tcPr>
                  <w:tcW w:w="1501" w:type="dxa"/>
                  <w:tcBorders>
                    <w:top w:val="single" w:color="auto" w:sz="4" w:space="0"/>
                    <w:left w:val="single" w:color="auto" w:sz="6" w:space="0"/>
                    <w:bottom w:val="single" w:color="auto" w:sz="6" w:space="0"/>
                    <w:right w:val="single" w:color="auto" w:sz="6" w:space="0"/>
                  </w:tcBorders>
                  <w:vAlign w:val="center"/>
                </w:tcPr>
                <w:p>
                  <w:pPr>
                    <w:adjustRightInd w:val="0"/>
                    <w:snapToGrid w:val="0"/>
                    <w:jc w:val="center"/>
                    <w:rPr>
                      <w:bCs/>
                      <w:sz w:val="21"/>
                      <w:szCs w:val="21"/>
                    </w:rPr>
                  </w:pPr>
                  <w:r>
                    <w:rPr>
                      <w:rFonts w:hint="eastAsia" w:hAnsi="宋体"/>
                      <w:bCs/>
                      <w:sz w:val="21"/>
                      <w:szCs w:val="21"/>
                    </w:rPr>
                    <w:t>主要保护对象</w:t>
                  </w:r>
                </w:p>
              </w:tc>
              <w:tc>
                <w:tcPr>
                  <w:tcW w:w="1089" w:type="dxa"/>
                  <w:tcBorders>
                    <w:top w:val="single" w:color="auto" w:sz="4" w:space="0"/>
                    <w:left w:val="single" w:color="auto" w:sz="6" w:space="0"/>
                    <w:bottom w:val="single" w:color="auto" w:sz="6" w:space="0"/>
                    <w:right w:val="single" w:color="auto" w:sz="4" w:space="0"/>
                  </w:tcBorders>
                  <w:vAlign w:val="center"/>
                </w:tcPr>
                <w:p>
                  <w:pPr>
                    <w:adjustRightInd w:val="0"/>
                    <w:snapToGrid w:val="0"/>
                    <w:jc w:val="center"/>
                    <w:rPr>
                      <w:bCs/>
                      <w:sz w:val="21"/>
                      <w:szCs w:val="21"/>
                    </w:rPr>
                  </w:pPr>
                  <w:r>
                    <w:rPr>
                      <w:rFonts w:hAnsi="宋体"/>
                      <w:bCs/>
                      <w:sz w:val="21"/>
                      <w:szCs w:val="21"/>
                    </w:rPr>
                    <w:t>保护要求</w:t>
                  </w:r>
                </w:p>
              </w:tc>
            </w:tr>
            <w:tr>
              <w:tblPrEx>
                <w:tblCellMar>
                  <w:top w:w="0" w:type="dxa"/>
                  <w:left w:w="0" w:type="dxa"/>
                  <w:bottom w:w="0" w:type="dxa"/>
                  <w:right w:w="0" w:type="dxa"/>
                </w:tblCellMar>
              </w:tblPrEx>
              <w:trPr>
                <w:trHeight w:val="573" w:hRule="atLeast"/>
                <w:jc w:val="center"/>
              </w:trPr>
              <w:tc>
                <w:tcPr>
                  <w:tcW w:w="511" w:type="dxa"/>
                  <w:vMerge w:val="restart"/>
                  <w:tcBorders>
                    <w:top w:val="single" w:color="auto" w:sz="6" w:space="0"/>
                    <w:left w:val="single" w:color="auto" w:sz="4" w:space="0"/>
                    <w:right w:val="single" w:color="auto" w:sz="6" w:space="0"/>
                  </w:tcBorders>
                  <w:vAlign w:val="center"/>
                </w:tcPr>
                <w:p>
                  <w:pPr>
                    <w:adjustRightInd w:val="0"/>
                    <w:snapToGrid w:val="0"/>
                    <w:jc w:val="center"/>
                    <w:rPr>
                      <w:bCs/>
                      <w:sz w:val="21"/>
                      <w:szCs w:val="21"/>
                    </w:rPr>
                  </w:pPr>
                  <w:r>
                    <w:rPr>
                      <w:rFonts w:hAnsi="宋体"/>
                      <w:bCs/>
                      <w:sz w:val="21"/>
                      <w:szCs w:val="21"/>
                    </w:rPr>
                    <w:t>生态环境</w:t>
                  </w:r>
                </w:p>
              </w:tc>
              <w:tc>
                <w:tcPr>
                  <w:tcW w:w="1430" w:type="dxa"/>
                  <w:tcBorders>
                    <w:top w:val="single" w:color="auto" w:sz="6" w:space="0"/>
                    <w:left w:val="single" w:color="auto" w:sz="6" w:space="0"/>
                    <w:right w:val="single" w:color="auto" w:sz="6" w:space="0"/>
                  </w:tcBorders>
                  <w:vAlign w:val="center"/>
                </w:tcPr>
                <w:p>
                  <w:pPr>
                    <w:adjustRightInd w:val="0"/>
                    <w:snapToGrid w:val="0"/>
                    <w:jc w:val="center"/>
                    <w:rPr>
                      <w:bCs/>
                      <w:sz w:val="21"/>
                      <w:szCs w:val="21"/>
                    </w:rPr>
                  </w:pPr>
                  <w:r>
                    <w:rPr>
                      <w:rFonts w:hAnsi="宋体"/>
                      <w:bCs/>
                      <w:sz w:val="21"/>
                      <w:szCs w:val="21"/>
                    </w:rPr>
                    <w:t>华容集成长江故道江豚省级自然保护区</w:t>
                  </w:r>
                </w:p>
              </w:tc>
              <w:tc>
                <w:tcPr>
                  <w:tcW w:w="1368" w:type="dxa"/>
                  <w:tcBorders>
                    <w:top w:val="single" w:color="auto" w:sz="6" w:space="0"/>
                    <w:left w:val="single" w:color="auto" w:sz="6" w:space="0"/>
                    <w:right w:val="single" w:color="auto" w:sz="6" w:space="0"/>
                  </w:tcBorders>
                  <w:vAlign w:val="center"/>
                </w:tcPr>
                <w:p>
                  <w:pPr>
                    <w:adjustRightInd w:val="0"/>
                    <w:snapToGrid w:val="0"/>
                    <w:jc w:val="center"/>
                    <w:rPr>
                      <w:bCs/>
                      <w:sz w:val="21"/>
                      <w:szCs w:val="21"/>
                    </w:rPr>
                  </w:pPr>
                  <w:r>
                    <w:rPr>
                      <w:rFonts w:hint="eastAsia" w:hAnsi="宋体"/>
                      <w:bCs/>
                      <w:sz w:val="21"/>
                      <w:szCs w:val="21"/>
                    </w:rPr>
                    <w:t>省级</w:t>
                  </w:r>
                  <w:r>
                    <w:rPr>
                      <w:rFonts w:hAnsi="宋体"/>
                      <w:bCs/>
                      <w:sz w:val="21"/>
                      <w:szCs w:val="21"/>
                    </w:rPr>
                    <w:t>自然保护区</w:t>
                  </w:r>
                </w:p>
              </w:tc>
              <w:tc>
                <w:tcPr>
                  <w:tcW w:w="2423" w:type="dxa"/>
                  <w:tcBorders>
                    <w:top w:val="single" w:color="auto" w:sz="6" w:space="0"/>
                    <w:left w:val="single" w:color="auto" w:sz="6" w:space="0"/>
                    <w:right w:val="single" w:color="auto" w:sz="6" w:space="0"/>
                  </w:tcBorders>
                  <w:vAlign w:val="center"/>
                </w:tcPr>
                <w:p>
                  <w:pPr>
                    <w:adjustRightInd w:val="0"/>
                    <w:snapToGrid w:val="0"/>
                    <w:rPr>
                      <w:bCs/>
                      <w:sz w:val="21"/>
                      <w:szCs w:val="21"/>
                    </w:rPr>
                  </w:pPr>
                  <w:r>
                    <w:rPr>
                      <w:rFonts w:hint="eastAsia"/>
                      <w:bCs/>
                      <w:sz w:val="21"/>
                      <w:szCs w:val="21"/>
                    </w:rPr>
                    <w:t>项目取水泵站位于保护区外围下游1400m</w:t>
                  </w:r>
                </w:p>
              </w:tc>
              <w:tc>
                <w:tcPr>
                  <w:tcW w:w="1501" w:type="dxa"/>
                  <w:tcBorders>
                    <w:top w:val="single" w:color="auto" w:sz="6" w:space="0"/>
                    <w:left w:val="single" w:color="auto" w:sz="6" w:space="0"/>
                    <w:right w:val="single" w:color="auto" w:sz="6" w:space="0"/>
                  </w:tcBorders>
                  <w:vAlign w:val="center"/>
                </w:tcPr>
                <w:p>
                  <w:pPr>
                    <w:adjustRightInd w:val="0"/>
                    <w:snapToGrid w:val="0"/>
                    <w:jc w:val="center"/>
                    <w:rPr>
                      <w:bCs/>
                      <w:sz w:val="21"/>
                      <w:szCs w:val="21"/>
                    </w:rPr>
                  </w:pPr>
                  <w:r>
                    <w:rPr>
                      <w:rFonts w:hint="eastAsia"/>
                      <w:bCs/>
                      <w:sz w:val="21"/>
                      <w:szCs w:val="21"/>
                    </w:rPr>
                    <w:t>长江江豚</w:t>
                  </w:r>
                </w:p>
              </w:tc>
              <w:tc>
                <w:tcPr>
                  <w:tcW w:w="1089" w:type="dxa"/>
                  <w:vMerge w:val="restart"/>
                  <w:tcBorders>
                    <w:top w:val="single" w:color="auto" w:sz="6" w:space="0"/>
                    <w:left w:val="single" w:color="auto" w:sz="6" w:space="0"/>
                    <w:right w:val="single" w:color="auto" w:sz="4" w:space="0"/>
                  </w:tcBorders>
                  <w:vAlign w:val="center"/>
                </w:tcPr>
                <w:p>
                  <w:pPr>
                    <w:adjustRightInd w:val="0"/>
                    <w:snapToGrid w:val="0"/>
                    <w:jc w:val="center"/>
                    <w:rPr>
                      <w:bCs/>
                      <w:sz w:val="21"/>
                      <w:szCs w:val="21"/>
                    </w:rPr>
                  </w:pPr>
                  <w:r>
                    <w:rPr>
                      <w:rFonts w:hAnsi="宋体"/>
                      <w:bCs/>
                      <w:sz w:val="21"/>
                      <w:szCs w:val="21"/>
                    </w:rPr>
                    <w:t>根据《中华人民共和国自然保护区条例》要求进行保护。</w:t>
                  </w:r>
                </w:p>
              </w:tc>
            </w:tr>
            <w:tr>
              <w:tblPrEx>
                <w:tblCellMar>
                  <w:top w:w="0" w:type="dxa"/>
                  <w:left w:w="0" w:type="dxa"/>
                  <w:bottom w:w="0" w:type="dxa"/>
                  <w:right w:w="0" w:type="dxa"/>
                </w:tblCellMar>
              </w:tblPrEx>
              <w:trPr>
                <w:trHeight w:val="340" w:hRule="atLeast"/>
                <w:jc w:val="center"/>
              </w:trPr>
              <w:tc>
                <w:tcPr>
                  <w:tcW w:w="511" w:type="dxa"/>
                  <w:vMerge w:val="continue"/>
                  <w:tcBorders>
                    <w:left w:val="single" w:color="auto" w:sz="4" w:space="0"/>
                    <w:right w:val="single" w:color="auto" w:sz="6" w:space="0"/>
                  </w:tcBorders>
                  <w:vAlign w:val="center"/>
                </w:tcPr>
                <w:p>
                  <w:pPr>
                    <w:rPr>
                      <w:bCs/>
                      <w:sz w:val="21"/>
                      <w:szCs w:val="21"/>
                    </w:rPr>
                  </w:pPr>
                </w:p>
              </w:tc>
              <w:tc>
                <w:tcPr>
                  <w:tcW w:w="1430"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rFonts w:hAnsi="宋体"/>
                      <w:bCs/>
                      <w:sz w:val="21"/>
                      <w:szCs w:val="21"/>
                    </w:rPr>
                  </w:pPr>
                  <w:r>
                    <w:rPr>
                      <w:rFonts w:hint="eastAsia" w:hAnsi="宋体"/>
                      <w:bCs/>
                      <w:sz w:val="21"/>
                      <w:szCs w:val="21"/>
                    </w:rPr>
                    <w:t>湖南东洞庭湖国家级自然保护区</w:t>
                  </w:r>
                </w:p>
              </w:tc>
              <w:tc>
                <w:tcPr>
                  <w:tcW w:w="1368"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rFonts w:hAnsi="宋体"/>
                      <w:bCs/>
                      <w:sz w:val="21"/>
                      <w:szCs w:val="21"/>
                    </w:rPr>
                  </w:pPr>
                  <w:r>
                    <w:rPr>
                      <w:rFonts w:hint="eastAsia" w:hAnsi="宋体"/>
                      <w:bCs/>
                      <w:sz w:val="21"/>
                      <w:szCs w:val="21"/>
                    </w:rPr>
                    <w:t>国家级</w:t>
                  </w:r>
                  <w:r>
                    <w:rPr>
                      <w:rFonts w:hAnsi="宋体"/>
                      <w:bCs/>
                      <w:sz w:val="21"/>
                      <w:szCs w:val="21"/>
                    </w:rPr>
                    <w:t>自然保护区</w:t>
                  </w:r>
                </w:p>
              </w:tc>
              <w:tc>
                <w:tcPr>
                  <w:tcW w:w="2423" w:type="dxa"/>
                  <w:tcBorders>
                    <w:top w:val="single" w:color="auto" w:sz="6" w:space="0"/>
                    <w:left w:val="single" w:color="auto" w:sz="6" w:space="0"/>
                    <w:bottom w:val="single" w:color="auto" w:sz="6" w:space="0"/>
                    <w:right w:val="single" w:color="auto" w:sz="6" w:space="0"/>
                  </w:tcBorders>
                  <w:vAlign w:val="center"/>
                </w:tcPr>
                <w:p>
                  <w:pPr>
                    <w:adjustRightInd w:val="0"/>
                    <w:snapToGrid w:val="0"/>
                    <w:rPr>
                      <w:rFonts w:hAnsi="宋体"/>
                      <w:bCs/>
                      <w:sz w:val="21"/>
                      <w:szCs w:val="21"/>
                    </w:rPr>
                  </w:pPr>
                  <w:r>
                    <w:rPr>
                      <w:rFonts w:hint="eastAsia"/>
                      <w:bCs/>
                      <w:sz w:val="21"/>
                      <w:szCs w:val="21"/>
                    </w:rPr>
                    <w:t>项目取水工程位于保护区的实验区</w:t>
                  </w:r>
                </w:p>
              </w:tc>
              <w:tc>
                <w:tcPr>
                  <w:tcW w:w="1501" w:type="dxa"/>
                  <w:tcBorders>
                    <w:top w:val="single" w:color="auto" w:sz="6" w:space="0"/>
                    <w:left w:val="single" w:color="auto" w:sz="6" w:space="0"/>
                    <w:bottom w:val="single" w:color="auto" w:sz="4" w:space="0"/>
                    <w:right w:val="single" w:color="auto" w:sz="6" w:space="0"/>
                  </w:tcBorders>
                  <w:vAlign w:val="center"/>
                </w:tcPr>
                <w:p>
                  <w:pPr>
                    <w:adjustRightInd w:val="0"/>
                    <w:snapToGrid w:val="0"/>
                    <w:jc w:val="center"/>
                    <w:rPr>
                      <w:rFonts w:hAnsi="宋体"/>
                      <w:bCs/>
                      <w:sz w:val="21"/>
                      <w:szCs w:val="21"/>
                    </w:rPr>
                  </w:pPr>
                  <w:r>
                    <w:fldChar w:fldCharType="begin"/>
                  </w:r>
                  <w:r>
                    <w:instrText xml:space="preserve"> HYPERLINK "https://baike.baidu.com/item/%E7%99%BD%E9%B9%A4/49959" </w:instrText>
                  </w:r>
                  <w:r>
                    <w:fldChar w:fldCharType="separate"/>
                  </w:r>
                  <w:r>
                    <w:rPr>
                      <w:bCs/>
                      <w:sz w:val="21"/>
                      <w:szCs w:val="21"/>
                    </w:rPr>
                    <w:t>白鹤</w:t>
                  </w:r>
                  <w:r>
                    <w:rPr>
                      <w:bCs/>
                      <w:sz w:val="21"/>
                      <w:szCs w:val="21"/>
                    </w:rPr>
                    <w:fldChar w:fldCharType="end"/>
                  </w:r>
                  <w:r>
                    <w:rPr>
                      <w:bCs/>
                      <w:sz w:val="21"/>
                      <w:szCs w:val="21"/>
                    </w:rPr>
                    <w:t>、</w:t>
                  </w:r>
                  <w:r>
                    <w:fldChar w:fldCharType="begin"/>
                  </w:r>
                  <w:r>
                    <w:instrText xml:space="preserve"> HYPERLINK "https://baike.baidu.com/item/%E7%99%BD%E5%A4%B4%E9%B9%A4" </w:instrText>
                  </w:r>
                  <w:r>
                    <w:fldChar w:fldCharType="separate"/>
                  </w:r>
                  <w:r>
                    <w:rPr>
                      <w:bCs/>
                      <w:sz w:val="21"/>
                      <w:szCs w:val="21"/>
                    </w:rPr>
                    <w:t>白头鹤</w:t>
                  </w:r>
                  <w:r>
                    <w:rPr>
                      <w:bCs/>
                      <w:sz w:val="21"/>
                      <w:szCs w:val="21"/>
                    </w:rPr>
                    <w:fldChar w:fldCharType="end"/>
                  </w:r>
                  <w:r>
                    <w:rPr>
                      <w:bCs/>
                      <w:sz w:val="21"/>
                      <w:szCs w:val="21"/>
                    </w:rPr>
                    <w:t>、</w:t>
                  </w:r>
                  <w:r>
                    <w:fldChar w:fldCharType="begin"/>
                  </w:r>
                  <w:r>
                    <w:instrText xml:space="preserve"> HYPERLINK "https://baike.baidu.com/item/%E7%99%BD%E9%B9%B3" </w:instrText>
                  </w:r>
                  <w:r>
                    <w:fldChar w:fldCharType="separate"/>
                  </w:r>
                  <w:r>
                    <w:rPr>
                      <w:bCs/>
                      <w:sz w:val="21"/>
                      <w:szCs w:val="21"/>
                    </w:rPr>
                    <w:t>白鹳</w:t>
                  </w:r>
                  <w:r>
                    <w:rPr>
                      <w:bCs/>
                      <w:sz w:val="21"/>
                      <w:szCs w:val="21"/>
                    </w:rPr>
                    <w:fldChar w:fldCharType="end"/>
                  </w:r>
                  <w:r>
                    <w:rPr>
                      <w:rFonts w:hint="eastAsia"/>
                      <w:bCs/>
                      <w:sz w:val="21"/>
                      <w:szCs w:val="21"/>
                    </w:rPr>
                    <w:t>等栖息鸟类、江豚、</w:t>
                  </w:r>
                  <w:r>
                    <w:rPr>
                      <w:bCs/>
                      <w:sz w:val="21"/>
                      <w:szCs w:val="21"/>
                    </w:rPr>
                    <w:t>鳗鲡、胭脂鱼</w:t>
                  </w:r>
                  <w:r>
                    <w:rPr>
                      <w:rFonts w:hint="eastAsia"/>
                      <w:bCs/>
                      <w:sz w:val="21"/>
                      <w:szCs w:val="21"/>
                    </w:rPr>
                    <w:t>、麋鹿、水生植物</w:t>
                  </w:r>
                </w:p>
              </w:tc>
              <w:tc>
                <w:tcPr>
                  <w:tcW w:w="1089" w:type="dxa"/>
                  <w:vMerge w:val="continue"/>
                  <w:tcBorders>
                    <w:left w:val="single" w:color="auto" w:sz="6" w:space="0"/>
                    <w:bottom w:val="single" w:color="auto" w:sz="4" w:space="0"/>
                    <w:right w:val="single" w:color="auto" w:sz="4" w:space="0"/>
                  </w:tcBorders>
                  <w:vAlign w:val="center"/>
                </w:tcPr>
                <w:p>
                  <w:pPr>
                    <w:rPr>
                      <w:bCs/>
                      <w:sz w:val="21"/>
                      <w:szCs w:val="21"/>
                    </w:rPr>
                  </w:pPr>
                </w:p>
              </w:tc>
            </w:tr>
            <w:tr>
              <w:tblPrEx>
                <w:tblCellMar>
                  <w:top w:w="0" w:type="dxa"/>
                  <w:left w:w="0" w:type="dxa"/>
                  <w:bottom w:w="0" w:type="dxa"/>
                  <w:right w:w="0" w:type="dxa"/>
                </w:tblCellMar>
              </w:tblPrEx>
              <w:trPr>
                <w:trHeight w:val="756" w:hRule="atLeast"/>
                <w:jc w:val="center"/>
              </w:trPr>
              <w:tc>
                <w:tcPr>
                  <w:tcW w:w="511" w:type="dxa"/>
                  <w:vMerge w:val="continue"/>
                  <w:tcBorders>
                    <w:left w:val="single" w:color="auto" w:sz="4" w:space="0"/>
                    <w:right w:val="single" w:color="auto" w:sz="6" w:space="0"/>
                  </w:tcBorders>
                  <w:vAlign w:val="center"/>
                </w:tcPr>
                <w:p>
                  <w:pPr>
                    <w:rPr>
                      <w:bCs/>
                      <w:sz w:val="21"/>
                      <w:szCs w:val="21"/>
                    </w:rPr>
                  </w:pPr>
                </w:p>
              </w:tc>
              <w:tc>
                <w:tcPr>
                  <w:tcW w:w="1430"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bCs/>
                      <w:sz w:val="21"/>
                      <w:szCs w:val="21"/>
                    </w:rPr>
                  </w:pPr>
                  <w:r>
                    <w:rPr>
                      <w:rFonts w:hAnsi="宋体"/>
                      <w:bCs/>
                      <w:sz w:val="21"/>
                      <w:szCs w:val="21"/>
                    </w:rPr>
                    <w:t>长江监利段四大家鱼国家级水产种质资源保护区</w:t>
                  </w:r>
                </w:p>
              </w:tc>
              <w:tc>
                <w:tcPr>
                  <w:tcW w:w="1368"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bCs/>
                      <w:sz w:val="21"/>
                      <w:szCs w:val="21"/>
                    </w:rPr>
                  </w:pPr>
                  <w:r>
                    <w:rPr>
                      <w:rFonts w:hint="eastAsia" w:hAnsi="宋体"/>
                      <w:bCs/>
                      <w:sz w:val="21"/>
                      <w:szCs w:val="21"/>
                    </w:rPr>
                    <w:t>国家级</w:t>
                  </w:r>
                  <w:r>
                    <w:rPr>
                      <w:rFonts w:hAnsi="宋体"/>
                      <w:bCs/>
                      <w:sz w:val="21"/>
                      <w:szCs w:val="21"/>
                    </w:rPr>
                    <w:t>水产种质资源保护区</w:t>
                  </w:r>
                </w:p>
              </w:tc>
              <w:tc>
                <w:tcPr>
                  <w:tcW w:w="2423" w:type="dxa"/>
                  <w:tcBorders>
                    <w:top w:val="single" w:color="auto" w:sz="6" w:space="0"/>
                    <w:left w:val="single" w:color="auto" w:sz="6" w:space="0"/>
                    <w:bottom w:val="single" w:color="auto" w:sz="6" w:space="0"/>
                    <w:right w:val="single" w:color="auto" w:sz="6" w:space="0"/>
                  </w:tcBorders>
                  <w:vAlign w:val="center"/>
                </w:tcPr>
                <w:p>
                  <w:pPr>
                    <w:adjustRightInd w:val="0"/>
                    <w:snapToGrid w:val="0"/>
                    <w:rPr>
                      <w:bCs/>
                      <w:sz w:val="21"/>
                      <w:szCs w:val="21"/>
                    </w:rPr>
                  </w:pPr>
                  <w:r>
                    <w:rPr>
                      <w:rFonts w:hint="eastAsia"/>
                      <w:bCs/>
                      <w:sz w:val="21"/>
                      <w:szCs w:val="21"/>
                    </w:rPr>
                    <w:t>项目取水泵站位于保护区的实验区</w:t>
                  </w:r>
                </w:p>
              </w:tc>
              <w:tc>
                <w:tcPr>
                  <w:tcW w:w="1501"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bCs/>
                      <w:sz w:val="21"/>
                      <w:szCs w:val="21"/>
                    </w:rPr>
                  </w:pPr>
                  <w:r>
                    <w:rPr>
                      <w:rFonts w:hAnsi="宋体"/>
                      <w:bCs/>
                      <w:sz w:val="21"/>
                      <w:szCs w:val="21"/>
                    </w:rPr>
                    <w:t>青鱼、草鱼、鲢、鳙“四大家鱼”</w:t>
                  </w:r>
                </w:p>
              </w:tc>
              <w:tc>
                <w:tcPr>
                  <w:tcW w:w="1089" w:type="dxa"/>
                  <w:vMerge w:val="restart"/>
                  <w:tcBorders>
                    <w:top w:val="single" w:color="auto" w:sz="6" w:space="0"/>
                    <w:left w:val="single" w:color="auto" w:sz="6" w:space="0"/>
                    <w:right w:val="single" w:color="auto" w:sz="4" w:space="0"/>
                  </w:tcBorders>
                  <w:vAlign w:val="center"/>
                </w:tcPr>
                <w:p>
                  <w:pPr>
                    <w:adjustRightInd w:val="0"/>
                    <w:snapToGrid w:val="0"/>
                    <w:jc w:val="center"/>
                    <w:rPr>
                      <w:bCs/>
                      <w:sz w:val="21"/>
                      <w:szCs w:val="21"/>
                    </w:rPr>
                  </w:pPr>
                  <w:r>
                    <w:rPr>
                      <w:rFonts w:hAnsi="宋体"/>
                      <w:bCs/>
                      <w:sz w:val="21"/>
                      <w:szCs w:val="21"/>
                    </w:rPr>
                    <w:t>根据《</w:t>
                  </w:r>
                  <w:r>
                    <w:fldChar w:fldCharType="begin"/>
                  </w:r>
                  <w:r>
                    <w:instrText xml:space="preserve"> HYPERLINK "http://www.oeofo.com/" </w:instrText>
                  </w:r>
                  <w:r>
                    <w:fldChar w:fldCharType="separate"/>
                  </w:r>
                  <w:r>
                    <w:rPr>
                      <w:rStyle w:val="51"/>
                      <w:rFonts w:hAnsi="宋体"/>
                      <w:bCs/>
                      <w:color w:val="auto"/>
                      <w:sz w:val="21"/>
                      <w:szCs w:val="21"/>
                      <w:u w:val="none"/>
                    </w:rPr>
                    <w:t>水产</w:t>
                  </w:r>
                  <w:r>
                    <w:rPr>
                      <w:rStyle w:val="51"/>
                      <w:rFonts w:hAnsi="宋体"/>
                      <w:bCs/>
                      <w:color w:val="auto"/>
                      <w:sz w:val="21"/>
                      <w:szCs w:val="21"/>
                      <w:u w:val="none"/>
                    </w:rPr>
                    <w:fldChar w:fldCharType="end"/>
                  </w:r>
                  <w:r>
                    <w:rPr>
                      <w:rFonts w:hAnsi="宋体"/>
                      <w:sz w:val="21"/>
                      <w:szCs w:val="21"/>
                    </w:rPr>
                    <w:t>种质资源保护区管理暂行办法》要求进行保护。</w:t>
                  </w:r>
                </w:p>
              </w:tc>
            </w:tr>
            <w:tr>
              <w:tblPrEx>
                <w:tblCellMar>
                  <w:top w:w="0" w:type="dxa"/>
                  <w:left w:w="0" w:type="dxa"/>
                  <w:bottom w:w="0" w:type="dxa"/>
                  <w:right w:w="0" w:type="dxa"/>
                </w:tblCellMar>
              </w:tblPrEx>
              <w:trPr>
                <w:trHeight w:val="662" w:hRule="atLeast"/>
                <w:jc w:val="center"/>
              </w:trPr>
              <w:tc>
                <w:tcPr>
                  <w:tcW w:w="511" w:type="dxa"/>
                  <w:vMerge w:val="continue"/>
                  <w:tcBorders>
                    <w:left w:val="single" w:color="auto" w:sz="4" w:space="0"/>
                    <w:right w:val="single" w:color="auto" w:sz="6" w:space="0"/>
                  </w:tcBorders>
                  <w:vAlign w:val="center"/>
                </w:tcPr>
                <w:p>
                  <w:pPr>
                    <w:rPr>
                      <w:bCs/>
                      <w:sz w:val="21"/>
                      <w:szCs w:val="21"/>
                    </w:rPr>
                  </w:pPr>
                </w:p>
              </w:tc>
              <w:tc>
                <w:tcPr>
                  <w:tcW w:w="1430" w:type="dxa"/>
                  <w:tcBorders>
                    <w:top w:val="single" w:color="auto" w:sz="6" w:space="0"/>
                    <w:left w:val="single" w:color="auto" w:sz="6" w:space="0"/>
                    <w:bottom w:val="single" w:color="auto" w:sz="4" w:space="0"/>
                    <w:right w:val="single" w:color="auto" w:sz="6" w:space="0"/>
                  </w:tcBorders>
                  <w:vAlign w:val="center"/>
                </w:tcPr>
                <w:p>
                  <w:pPr>
                    <w:adjustRightInd w:val="0"/>
                    <w:snapToGrid w:val="0"/>
                    <w:jc w:val="center"/>
                    <w:rPr>
                      <w:bCs/>
                      <w:sz w:val="21"/>
                      <w:szCs w:val="21"/>
                    </w:rPr>
                  </w:pPr>
                  <w:r>
                    <w:rPr>
                      <w:rFonts w:hint="eastAsia" w:hAnsi="宋体"/>
                      <w:bCs/>
                      <w:sz w:val="21"/>
                      <w:szCs w:val="21"/>
                    </w:rPr>
                    <w:t>岳阳市生态保护红线</w:t>
                  </w:r>
                </w:p>
              </w:tc>
              <w:tc>
                <w:tcPr>
                  <w:tcW w:w="1368" w:type="dxa"/>
                  <w:tcBorders>
                    <w:top w:val="single" w:color="auto" w:sz="6" w:space="0"/>
                    <w:left w:val="single" w:color="auto" w:sz="6" w:space="0"/>
                    <w:bottom w:val="single" w:color="auto" w:sz="4" w:space="0"/>
                    <w:right w:val="single" w:color="auto" w:sz="6" w:space="0"/>
                  </w:tcBorders>
                  <w:vAlign w:val="center"/>
                </w:tcPr>
                <w:p>
                  <w:pPr>
                    <w:adjustRightInd w:val="0"/>
                    <w:snapToGrid w:val="0"/>
                    <w:jc w:val="center"/>
                    <w:rPr>
                      <w:bCs/>
                      <w:sz w:val="21"/>
                      <w:szCs w:val="21"/>
                    </w:rPr>
                  </w:pPr>
                  <w:r>
                    <w:rPr>
                      <w:rFonts w:hint="eastAsia" w:hAnsi="宋体"/>
                      <w:bCs/>
                      <w:sz w:val="21"/>
                      <w:szCs w:val="21"/>
                    </w:rPr>
                    <w:t>生态红线</w:t>
                  </w:r>
                </w:p>
              </w:tc>
              <w:tc>
                <w:tcPr>
                  <w:tcW w:w="2423" w:type="dxa"/>
                  <w:tcBorders>
                    <w:top w:val="single" w:color="auto" w:sz="6" w:space="0"/>
                    <w:left w:val="single" w:color="auto" w:sz="6" w:space="0"/>
                    <w:bottom w:val="single" w:color="auto" w:sz="4" w:space="0"/>
                    <w:right w:val="single" w:color="auto" w:sz="6" w:space="0"/>
                  </w:tcBorders>
                  <w:vAlign w:val="center"/>
                </w:tcPr>
                <w:p>
                  <w:pPr>
                    <w:adjustRightInd w:val="0"/>
                    <w:snapToGrid w:val="0"/>
                    <w:rPr>
                      <w:bCs/>
                      <w:sz w:val="21"/>
                      <w:szCs w:val="21"/>
                    </w:rPr>
                  </w:pPr>
                  <w:r>
                    <w:rPr>
                      <w:rFonts w:hint="eastAsia" w:hAnsi="宋体"/>
                      <w:bCs/>
                      <w:sz w:val="21"/>
                      <w:szCs w:val="21"/>
                      <w:lang w:eastAsia="zh-CN"/>
                    </w:rPr>
                    <w:t>不在</w:t>
                  </w:r>
                  <w:r>
                    <w:rPr>
                      <w:rFonts w:hint="eastAsia" w:hAnsi="宋体"/>
                      <w:bCs/>
                      <w:sz w:val="21"/>
                      <w:szCs w:val="21"/>
                    </w:rPr>
                    <w:t>生态红线范围内</w:t>
                  </w:r>
                </w:p>
              </w:tc>
              <w:tc>
                <w:tcPr>
                  <w:tcW w:w="1501" w:type="dxa"/>
                  <w:tcBorders>
                    <w:top w:val="single" w:color="auto" w:sz="6" w:space="0"/>
                    <w:left w:val="single" w:color="auto" w:sz="6" w:space="0"/>
                    <w:bottom w:val="single" w:color="auto" w:sz="4" w:space="0"/>
                    <w:right w:val="single" w:color="auto" w:sz="6" w:space="0"/>
                  </w:tcBorders>
                  <w:vAlign w:val="center"/>
                </w:tcPr>
                <w:p>
                  <w:pPr>
                    <w:adjustRightInd w:val="0"/>
                    <w:snapToGrid w:val="0"/>
                    <w:jc w:val="center"/>
                    <w:rPr>
                      <w:bCs/>
                      <w:sz w:val="21"/>
                      <w:szCs w:val="21"/>
                    </w:rPr>
                  </w:pPr>
                  <w:r>
                    <w:rPr>
                      <w:rFonts w:hint="eastAsia" w:hAnsi="宋体"/>
                      <w:bCs/>
                      <w:sz w:val="21"/>
                      <w:szCs w:val="21"/>
                    </w:rPr>
                    <w:t>区域生物多样性</w:t>
                  </w:r>
                </w:p>
              </w:tc>
              <w:tc>
                <w:tcPr>
                  <w:tcW w:w="1089" w:type="dxa"/>
                  <w:vMerge w:val="continue"/>
                  <w:tcBorders>
                    <w:left w:val="single" w:color="auto" w:sz="6" w:space="0"/>
                    <w:bottom w:val="single" w:color="auto" w:sz="4" w:space="0"/>
                    <w:right w:val="single" w:color="auto" w:sz="4" w:space="0"/>
                  </w:tcBorders>
                  <w:vAlign w:val="center"/>
                </w:tcPr>
                <w:p>
                  <w:pPr>
                    <w:rPr>
                      <w:bCs/>
                      <w:sz w:val="21"/>
                      <w:szCs w:val="21"/>
                    </w:rPr>
                  </w:pPr>
                </w:p>
              </w:tc>
            </w:tr>
            <w:tr>
              <w:tblPrEx>
                <w:tblCellMar>
                  <w:top w:w="0" w:type="dxa"/>
                  <w:left w:w="0" w:type="dxa"/>
                  <w:bottom w:w="0" w:type="dxa"/>
                  <w:right w:w="0" w:type="dxa"/>
                </w:tblCellMar>
              </w:tblPrEx>
              <w:trPr>
                <w:trHeight w:val="416" w:hRule="atLeast"/>
                <w:jc w:val="center"/>
              </w:trPr>
              <w:tc>
                <w:tcPr>
                  <w:tcW w:w="511" w:type="dxa"/>
                  <w:vMerge w:val="continue"/>
                  <w:tcBorders>
                    <w:left w:val="single" w:color="auto" w:sz="4" w:space="0"/>
                    <w:right w:val="single" w:color="auto" w:sz="6" w:space="0"/>
                  </w:tcBorders>
                  <w:vAlign w:val="center"/>
                </w:tcPr>
                <w:p>
                  <w:pPr>
                    <w:rPr>
                      <w:bCs/>
                      <w:sz w:val="21"/>
                      <w:szCs w:val="21"/>
                    </w:rPr>
                  </w:pPr>
                </w:p>
              </w:tc>
              <w:tc>
                <w:tcPr>
                  <w:tcW w:w="1430" w:type="dxa"/>
                  <w:vMerge w:val="restart"/>
                  <w:tcBorders>
                    <w:top w:val="single" w:color="auto" w:sz="4" w:space="0"/>
                    <w:left w:val="single" w:color="auto" w:sz="6" w:space="0"/>
                    <w:right w:val="single" w:color="auto" w:sz="6" w:space="0"/>
                  </w:tcBorders>
                  <w:vAlign w:val="center"/>
                </w:tcPr>
                <w:p>
                  <w:pPr>
                    <w:adjustRightInd w:val="0"/>
                    <w:snapToGrid w:val="0"/>
                    <w:jc w:val="center"/>
                    <w:rPr>
                      <w:rFonts w:hAnsi="宋体"/>
                      <w:bCs/>
                      <w:sz w:val="21"/>
                      <w:szCs w:val="21"/>
                    </w:rPr>
                  </w:pPr>
                  <w:r>
                    <w:rPr>
                      <w:rFonts w:hint="eastAsia" w:hAnsi="宋体"/>
                      <w:bCs/>
                      <w:sz w:val="21"/>
                      <w:szCs w:val="21"/>
                    </w:rPr>
                    <w:t>东洞庭湖湖泊国际重要湿地</w:t>
                  </w:r>
                </w:p>
              </w:tc>
              <w:tc>
                <w:tcPr>
                  <w:tcW w:w="1368" w:type="dxa"/>
                  <w:vMerge w:val="restart"/>
                  <w:tcBorders>
                    <w:top w:val="single" w:color="auto" w:sz="4" w:space="0"/>
                    <w:left w:val="single" w:color="auto" w:sz="6" w:space="0"/>
                    <w:right w:val="single" w:color="auto" w:sz="6" w:space="0"/>
                  </w:tcBorders>
                  <w:vAlign w:val="center"/>
                </w:tcPr>
                <w:p>
                  <w:pPr>
                    <w:adjustRightInd w:val="0"/>
                    <w:snapToGrid w:val="0"/>
                    <w:jc w:val="center"/>
                    <w:rPr>
                      <w:rFonts w:hAnsi="宋体"/>
                      <w:bCs/>
                      <w:sz w:val="21"/>
                      <w:szCs w:val="21"/>
                    </w:rPr>
                  </w:pPr>
                  <w:r>
                    <w:rPr>
                      <w:rFonts w:hint="eastAsia" w:hAnsi="宋体"/>
                      <w:bCs/>
                      <w:sz w:val="21"/>
                      <w:szCs w:val="21"/>
                    </w:rPr>
                    <w:t>重要湿地</w:t>
                  </w:r>
                </w:p>
              </w:tc>
              <w:tc>
                <w:tcPr>
                  <w:tcW w:w="2423" w:type="dxa"/>
                  <w:vMerge w:val="restart"/>
                  <w:tcBorders>
                    <w:top w:val="single" w:color="auto" w:sz="4" w:space="0"/>
                    <w:left w:val="single" w:color="auto" w:sz="6" w:space="0"/>
                    <w:right w:val="single" w:color="auto" w:sz="6" w:space="0"/>
                  </w:tcBorders>
                  <w:vAlign w:val="center"/>
                </w:tcPr>
                <w:p>
                  <w:pPr>
                    <w:adjustRightInd w:val="0"/>
                    <w:snapToGrid w:val="0"/>
                    <w:rPr>
                      <w:rFonts w:hAnsi="宋体"/>
                      <w:bCs/>
                      <w:sz w:val="21"/>
                      <w:szCs w:val="21"/>
                    </w:rPr>
                  </w:pPr>
                  <w:r>
                    <w:rPr>
                      <w:rFonts w:hint="eastAsia"/>
                      <w:bCs/>
                      <w:sz w:val="21"/>
                      <w:szCs w:val="21"/>
                    </w:rPr>
                    <w:t>项目取水工程位于保护区的实验区</w:t>
                  </w:r>
                  <w:r>
                    <w:rPr>
                      <w:rFonts w:hAnsi="宋体"/>
                      <w:bCs/>
                      <w:sz w:val="21"/>
                      <w:szCs w:val="21"/>
                    </w:rPr>
                    <w:t>位于</w:t>
                  </w:r>
                  <w:r>
                    <w:rPr>
                      <w:rFonts w:hint="eastAsia" w:hAnsi="宋体"/>
                      <w:bCs/>
                      <w:sz w:val="21"/>
                      <w:szCs w:val="21"/>
                    </w:rPr>
                    <w:t>东洞庭湖湖泊国际重要湿地</w:t>
                  </w:r>
                </w:p>
              </w:tc>
              <w:tc>
                <w:tcPr>
                  <w:tcW w:w="1501" w:type="dxa"/>
                  <w:vMerge w:val="restart"/>
                  <w:tcBorders>
                    <w:top w:val="single" w:color="auto" w:sz="4" w:space="0"/>
                    <w:left w:val="single" w:color="auto" w:sz="6" w:space="0"/>
                    <w:right w:val="single" w:color="auto" w:sz="6" w:space="0"/>
                  </w:tcBorders>
                  <w:vAlign w:val="center"/>
                </w:tcPr>
                <w:p>
                  <w:pPr>
                    <w:adjustRightInd w:val="0"/>
                    <w:snapToGrid w:val="0"/>
                    <w:jc w:val="center"/>
                    <w:rPr>
                      <w:rFonts w:hAnsi="宋体"/>
                      <w:bCs/>
                      <w:sz w:val="21"/>
                      <w:szCs w:val="21"/>
                    </w:rPr>
                  </w:pPr>
                  <w:r>
                    <w:rPr>
                      <w:rFonts w:hAnsi="宋体"/>
                      <w:bCs/>
                      <w:sz w:val="21"/>
                      <w:szCs w:val="21"/>
                    </w:rPr>
                    <w:t>白鹤、白鹳、灰鹤、小天鹅、白鹭</w:t>
                  </w:r>
                  <w:r>
                    <w:rPr>
                      <w:rFonts w:hint="eastAsia" w:hAnsi="宋体"/>
                      <w:bCs/>
                      <w:sz w:val="21"/>
                      <w:szCs w:val="21"/>
                    </w:rPr>
                    <w:t xml:space="preserve">等越冬鸟类及湿地植被                                                                                                                                                   </w:t>
                  </w:r>
                </w:p>
              </w:tc>
              <w:tc>
                <w:tcPr>
                  <w:tcW w:w="1089" w:type="dxa"/>
                  <w:vMerge w:val="restart"/>
                  <w:tcBorders>
                    <w:top w:val="single" w:color="auto" w:sz="4" w:space="0"/>
                    <w:left w:val="single" w:color="auto" w:sz="6" w:space="0"/>
                    <w:right w:val="single" w:color="auto" w:sz="4" w:space="0"/>
                  </w:tcBorders>
                  <w:vAlign w:val="center"/>
                </w:tcPr>
                <w:p>
                  <w:pPr>
                    <w:rPr>
                      <w:bCs/>
                      <w:sz w:val="21"/>
                      <w:szCs w:val="21"/>
                    </w:rPr>
                  </w:pPr>
                  <w:r>
                    <w:rPr>
                      <w:rFonts w:hAnsi="宋体"/>
                      <w:bCs/>
                      <w:sz w:val="21"/>
                      <w:szCs w:val="21"/>
                    </w:rPr>
                    <w:t>根据</w:t>
                  </w:r>
                  <w:r>
                    <w:rPr>
                      <w:sz w:val="21"/>
                      <w:szCs w:val="21"/>
                    </w:rPr>
                    <w:t>《</w:t>
                  </w:r>
                  <w:r>
                    <w:fldChar w:fldCharType="begin"/>
                  </w:r>
                  <w:r>
                    <w:instrText xml:space="preserve"> HYPERLINK "http://www.waizi.org.cn/doc/27753.html" \t "_blank" \o "《湿地保护管理规定》国家林业局令第48号（2017年修订版全文）" </w:instrText>
                  </w:r>
                  <w:r>
                    <w:fldChar w:fldCharType="separate"/>
                  </w:r>
                  <w:r>
                    <w:rPr>
                      <w:sz w:val="21"/>
                      <w:szCs w:val="21"/>
                    </w:rPr>
                    <w:t>湿地保护管理规定</w:t>
                  </w:r>
                  <w:r>
                    <w:rPr>
                      <w:sz w:val="21"/>
                      <w:szCs w:val="21"/>
                    </w:rPr>
                    <w:fldChar w:fldCharType="end"/>
                  </w:r>
                  <w:r>
                    <w:rPr>
                      <w:sz w:val="21"/>
                      <w:szCs w:val="21"/>
                    </w:rPr>
                    <w:t>》</w:t>
                  </w:r>
                  <w:r>
                    <w:rPr>
                      <w:rFonts w:hAnsi="宋体"/>
                      <w:sz w:val="21"/>
                      <w:szCs w:val="21"/>
                    </w:rPr>
                    <w:t>要求进行保护。</w:t>
                  </w:r>
                </w:p>
              </w:tc>
            </w:tr>
            <w:tr>
              <w:tblPrEx>
                <w:tblCellMar>
                  <w:top w:w="0" w:type="dxa"/>
                  <w:left w:w="0" w:type="dxa"/>
                  <w:bottom w:w="0" w:type="dxa"/>
                  <w:right w:w="0" w:type="dxa"/>
                </w:tblCellMar>
              </w:tblPrEx>
              <w:trPr>
                <w:trHeight w:val="1416" w:hRule="atLeast"/>
                <w:jc w:val="center"/>
              </w:trPr>
              <w:tc>
                <w:tcPr>
                  <w:tcW w:w="511" w:type="dxa"/>
                  <w:tcBorders>
                    <w:left w:val="single" w:color="auto" w:sz="4" w:space="0"/>
                    <w:bottom w:val="single" w:color="auto" w:sz="6" w:space="0"/>
                    <w:right w:val="single" w:color="auto" w:sz="6" w:space="0"/>
                  </w:tcBorders>
                  <w:vAlign w:val="center"/>
                </w:tcPr>
                <w:p>
                  <w:pPr>
                    <w:rPr>
                      <w:bCs/>
                      <w:sz w:val="21"/>
                      <w:szCs w:val="21"/>
                    </w:rPr>
                  </w:pPr>
                </w:p>
              </w:tc>
              <w:tc>
                <w:tcPr>
                  <w:tcW w:w="1430" w:type="dxa"/>
                  <w:vMerge w:val="continue"/>
                  <w:tcBorders>
                    <w:left w:val="single" w:color="auto" w:sz="6" w:space="0"/>
                    <w:bottom w:val="single" w:color="auto" w:sz="6" w:space="0"/>
                    <w:right w:val="single" w:color="auto" w:sz="6" w:space="0"/>
                  </w:tcBorders>
                  <w:vAlign w:val="center"/>
                </w:tcPr>
                <w:p>
                  <w:pPr>
                    <w:adjustRightInd w:val="0"/>
                    <w:snapToGrid w:val="0"/>
                    <w:jc w:val="center"/>
                    <w:rPr>
                      <w:rFonts w:hAnsi="宋体"/>
                      <w:bCs/>
                      <w:sz w:val="21"/>
                      <w:szCs w:val="21"/>
                    </w:rPr>
                  </w:pPr>
                </w:p>
              </w:tc>
              <w:tc>
                <w:tcPr>
                  <w:tcW w:w="1368" w:type="dxa"/>
                  <w:vMerge w:val="continue"/>
                  <w:tcBorders>
                    <w:left w:val="single" w:color="auto" w:sz="6" w:space="0"/>
                    <w:bottom w:val="single" w:color="auto" w:sz="6" w:space="0"/>
                    <w:right w:val="single" w:color="auto" w:sz="6" w:space="0"/>
                  </w:tcBorders>
                  <w:vAlign w:val="center"/>
                </w:tcPr>
                <w:p>
                  <w:pPr>
                    <w:adjustRightInd w:val="0"/>
                    <w:snapToGrid w:val="0"/>
                    <w:jc w:val="center"/>
                    <w:rPr>
                      <w:rFonts w:hAnsi="宋体"/>
                      <w:bCs/>
                      <w:sz w:val="21"/>
                      <w:szCs w:val="21"/>
                    </w:rPr>
                  </w:pPr>
                </w:p>
              </w:tc>
              <w:tc>
                <w:tcPr>
                  <w:tcW w:w="2423" w:type="dxa"/>
                  <w:vMerge w:val="continue"/>
                  <w:tcBorders>
                    <w:left w:val="single" w:color="auto" w:sz="6" w:space="0"/>
                    <w:bottom w:val="single" w:color="auto" w:sz="6" w:space="0"/>
                    <w:right w:val="single" w:color="auto" w:sz="6" w:space="0"/>
                  </w:tcBorders>
                  <w:vAlign w:val="center"/>
                </w:tcPr>
                <w:p>
                  <w:pPr>
                    <w:adjustRightInd w:val="0"/>
                    <w:snapToGrid w:val="0"/>
                    <w:rPr>
                      <w:rFonts w:hAnsi="宋体"/>
                      <w:bCs/>
                      <w:sz w:val="21"/>
                      <w:szCs w:val="21"/>
                    </w:rPr>
                  </w:pPr>
                </w:p>
              </w:tc>
              <w:tc>
                <w:tcPr>
                  <w:tcW w:w="1501" w:type="dxa"/>
                  <w:vMerge w:val="continue"/>
                  <w:tcBorders>
                    <w:left w:val="single" w:color="auto" w:sz="6" w:space="0"/>
                    <w:bottom w:val="single" w:color="auto" w:sz="6" w:space="0"/>
                    <w:right w:val="single" w:color="auto" w:sz="6" w:space="0"/>
                  </w:tcBorders>
                  <w:vAlign w:val="center"/>
                </w:tcPr>
                <w:p>
                  <w:pPr>
                    <w:adjustRightInd w:val="0"/>
                    <w:snapToGrid w:val="0"/>
                    <w:jc w:val="center"/>
                    <w:rPr>
                      <w:rFonts w:hAnsi="宋体"/>
                      <w:bCs/>
                      <w:sz w:val="21"/>
                      <w:szCs w:val="21"/>
                    </w:rPr>
                  </w:pPr>
                </w:p>
              </w:tc>
              <w:tc>
                <w:tcPr>
                  <w:tcW w:w="1089" w:type="dxa"/>
                  <w:vMerge w:val="continue"/>
                  <w:tcBorders>
                    <w:left w:val="single" w:color="auto" w:sz="6" w:space="0"/>
                    <w:bottom w:val="single" w:color="auto" w:sz="6" w:space="0"/>
                    <w:right w:val="single" w:color="auto" w:sz="4" w:space="0"/>
                  </w:tcBorders>
                  <w:vAlign w:val="center"/>
                </w:tcPr>
                <w:p>
                  <w:pPr>
                    <w:rPr>
                      <w:bCs/>
                      <w:sz w:val="21"/>
                      <w:szCs w:val="21"/>
                    </w:rPr>
                  </w:pPr>
                </w:p>
              </w:tc>
            </w:tr>
          </w:tbl>
          <w:p>
            <w:pPr>
              <w:spacing w:line="70" w:lineRule="exact"/>
              <w:rPr>
                <w:rFonts w:ascii="微软雅黑" w:hAnsi="微软雅黑" w:eastAsia="微软雅黑"/>
                <w:sz w:val="7"/>
                <w:szCs w:val="7"/>
              </w:rPr>
            </w:pPr>
            <w:r>
              <w:rPr>
                <w:rFonts w:hint="eastAsia" w:ascii="微软雅黑" w:hAnsi="微软雅黑" w:eastAsia="微软雅黑"/>
                <w:sz w:val="7"/>
                <w:szCs w:val="7"/>
              </w:rPr>
              <w:t xml:space="preserve"> </w:t>
            </w:r>
          </w:p>
          <w:p>
            <w:pPr>
              <w:pStyle w:val="6"/>
            </w:pPr>
          </w:p>
          <w:p/>
          <w:p>
            <w:pPr>
              <w:pStyle w:val="6"/>
            </w:pPr>
          </w:p>
          <w:p>
            <w:pPr>
              <w:pStyle w:val="31"/>
              <w:ind w:firstLine="0" w:firstLineChars="0"/>
              <w:rPr>
                <w:color w:val="000000" w:themeColor="text1"/>
                <w14:textFill>
                  <w14:solidFill>
                    <w14:schemeClr w14:val="tx1"/>
                  </w14:solidFill>
                </w14:textFill>
              </w:rPr>
            </w:pPr>
          </w:p>
        </w:tc>
      </w:tr>
    </w:tbl>
    <w:p>
      <w:pPr>
        <w:spacing w:line="276" w:lineRule="auto"/>
        <w:outlineLvl w:val="0"/>
        <w:rPr>
          <w:b/>
          <w:color w:val="000000" w:themeColor="text1"/>
          <w:sz w:val="30"/>
          <w14:textFill>
            <w14:solidFill>
              <w14:schemeClr w14:val="tx1"/>
            </w14:solidFill>
          </w14:textFill>
        </w:rPr>
      </w:pPr>
      <w:r>
        <w:rPr>
          <w:b/>
          <w:color w:val="000000" w:themeColor="text1"/>
          <w:sz w:val="30"/>
          <w14:textFill>
            <w14:solidFill>
              <w14:schemeClr w14:val="tx1"/>
            </w14:solidFill>
          </w14:textFill>
        </w:rPr>
        <w:br w:type="page"/>
      </w:r>
      <w:bookmarkStart w:id="5" w:name="_Toc523322726"/>
      <w:r>
        <w:rPr>
          <w:b/>
          <w:color w:val="000000" w:themeColor="text1"/>
          <w:sz w:val="30"/>
          <w14:textFill>
            <w14:solidFill>
              <w14:schemeClr w14:val="tx1"/>
            </w14:solidFill>
          </w14:textFill>
        </w:rPr>
        <w:t>三、环境质量状况</w:t>
      </w:r>
      <w:bookmarkEnd w:id="5"/>
    </w:p>
    <w:tbl>
      <w:tblPr>
        <w:tblStyle w:val="44"/>
        <w:tblW w:w="9073" w:type="dxa"/>
        <w:tblInd w:w="-176"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9073"/>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9073" w:type="dxa"/>
          </w:tcPr>
          <w:p>
            <w:pPr>
              <w:adjustRightInd w:val="0"/>
              <w:snapToGrid w:val="0"/>
              <w:spacing w:line="276" w:lineRule="auto"/>
              <w:rPr>
                <w:b/>
                <w:color w:val="000000" w:themeColor="text1"/>
                <w:sz w:val="30"/>
                <w:szCs w:val="30"/>
                <w14:textFill>
                  <w14:solidFill>
                    <w14:schemeClr w14:val="tx1"/>
                  </w14:solidFill>
                </w14:textFill>
              </w:rPr>
            </w:pPr>
            <w:r>
              <w:rPr>
                <w:b/>
                <w:color w:val="000000" w:themeColor="text1"/>
                <w:sz w:val="30"/>
                <w:szCs w:val="30"/>
                <w14:textFill>
                  <w14:solidFill>
                    <w14:schemeClr w14:val="tx1"/>
                  </w14:solidFill>
                </w14:textFill>
              </w:rPr>
              <w:t>建设项目所在地区域环境质量现状及主要环境问题（环境空气、地面水、地下水、声环境、生态环境等）</w:t>
            </w:r>
          </w:p>
          <w:p>
            <w:pPr>
              <w:pStyle w:val="240"/>
              <w:numPr>
                <w:ilvl w:val="0"/>
                <w:numId w:val="2"/>
              </w:numPr>
              <w:adjustRightInd w:val="0"/>
              <w:spacing w:line="480" w:lineRule="exact"/>
              <w:ind w:firstLine="482" w:firstLineChars="200"/>
              <w:rPr>
                <w:sz w:val="24"/>
                <w:szCs w:val="20"/>
              </w:rPr>
            </w:pPr>
            <w:r>
              <w:rPr>
                <w:sz w:val="24"/>
                <w:szCs w:val="20"/>
              </w:rPr>
              <w:t>环境空气质量现状</w:t>
            </w:r>
          </w:p>
          <w:p>
            <w:pPr>
              <w:spacing w:line="360" w:lineRule="auto"/>
              <w:ind w:firstLine="482" w:firstLineChars="200"/>
              <w:rPr>
                <w:b/>
              </w:rPr>
            </w:pPr>
            <w:r>
              <w:rPr>
                <w:b/>
              </w:rPr>
              <w:t>1.1、大气环境现状调查与评价</w:t>
            </w:r>
          </w:p>
          <w:p>
            <w:pPr>
              <w:spacing w:line="360" w:lineRule="auto"/>
              <w:ind w:firstLine="480" w:firstLineChars="200"/>
            </w:pPr>
            <w:r>
              <w:t>1.1.1</w:t>
            </w:r>
            <w:r>
              <w:rPr>
                <w:rFonts w:hint="eastAsia"/>
              </w:rPr>
              <w:t>区域达标性分析</w:t>
            </w:r>
          </w:p>
          <w:p>
            <w:pPr>
              <w:spacing w:line="360" w:lineRule="auto"/>
              <w:ind w:firstLine="480" w:firstLineChars="200"/>
              <w:rPr>
                <w:bCs/>
                <w:kern w:val="0"/>
              </w:rPr>
            </w:pPr>
            <w:r>
              <w:t>根据《环境影响评价技术导则-大气环境》（HJ2.2-2018）中“6环境空气质量现状调查与评价”内容，首先需要调查项目所在区域环境质量达标情况，作为项目所在区域是否为达标区的判定依据。并且根据导则“5.5依据评价所需环境空气质量现状、气象资料等故据的可获得性、故量质量、代表性等因素，选择近3年中数据相对完整的1个日历年作为评价基准年”的内容，本项目筛选的评价基准年为2018年。</w:t>
            </w:r>
          </w:p>
          <w:p>
            <w:pPr>
              <w:spacing w:line="360" w:lineRule="auto"/>
              <w:ind w:firstLine="480" w:firstLineChars="200"/>
              <w:jc w:val="left"/>
              <w:rPr>
                <w:bCs/>
                <w:kern w:val="0"/>
              </w:rPr>
            </w:pPr>
            <w:r>
              <w:rPr>
                <w:bCs/>
                <w:kern w:val="0"/>
              </w:rPr>
              <w:t>根据2018年度君山区常规监测点统计数据，区域环境空气质量达标情况见表3-1。</w:t>
            </w:r>
          </w:p>
          <w:p>
            <w:pPr>
              <w:widowControl/>
              <w:jc w:val="center"/>
              <w:rPr>
                <w:b/>
                <w:bCs/>
              </w:rPr>
            </w:pPr>
            <w:r>
              <w:rPr>
                <w:b/>
                <w:bCs/>
              </w:rPr>
              <w:t>表3-1 2018年君山区环境空气质量状况（浓度：μg/m</w:t>
            </w:r>
            <w:r>
              <w:rPr>
                <w:b/>
                <w:bCs/>
                <w:vertAlign w:val="superscript"/>
              </w:rPr>
              <w:t>3</w:t>
            </w:r>
            <w:r>
              <w:rPr>
                <w:b/>
                <w:bCs/>
              </w:rPr>
              <w:t>）</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69"/>
              <w:gridCol w:w="2548"/>
              <w:gridCol w:w="1549"/>
              <w:gridCol w:w="1394"/>
              <w:gridCol w:w="1410"/>
              <w:gridCol w:w="110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069" w:type="dxa"/>
                  <w:tcBorders>
                    <w:tl2br w:val="nil"/>
                    <w:tr2bl w:val="nil"/>
                  </w:tcBorders>
                  <w:vAlign w:val="center"/>
                </w:tcPr>
                <w:p>
                  <w:pPr>
                    <w:pStyle w:val="250"/>
                    <w:spacing w:line="240" w:lineRule="auto"/>
                    <w:ind w:firstLine="0" w:firstLineChars="0"/>
                    <w:jc w:val="center"/>
                    <w:rPr>
                      <w:rFonts w:ascii="Times New Roman" w:hAnsi="Times New Roman" w:cs="Times New Roman"/>
                      <w:b/>
                      <w:bCs/>
                      <w:sz w:val="21"/>
                      <w:szCs w:val="21"/>
                    </w:rPr>
                  </w:pPr>
                  <w:r>
                    <w:rPr>
                      <w:rFonts w:ascii="Times New Roman" w:hAnsi="Times New Roman" w:cs="Times New Roman"/>
                      <w:b/>
                      <w:bCs/>
                      <w:sz w:val="21"/>
                      <w:szCs w:val="21"/>
                    </w:rPr>
                    <w:t>污染物</w:t>
                  </w:r>
                </w:p>
              </w:tc>
              <w:tc>
                <w:tcPr>
                  <w:tcW w:w="2548" w:type="dxa"/>
                  <w:tcBorders>
                    <w:tl2br w:val="nil"/>
                    <w:tr2bl w:val="nil"/>
                  </w:tcBorders>
                  <w:vAlign w:val="center"/>
                </w:tcPr>
                <w:p>
                  <w:pPr>
                    <w:pStyle w:val="250"/>
                    <w:spacing w:line="240" w:lineRule="auto"/>
                    <w:ind w:firstLine="0" w:firstLineChars="0"/>
                    <w:jc w:val="center"/>
                    <w:rPr>
                      <w:rFonts w:ascii="Times New Roman" w:hAnsi="Times New Roman" w:cs="Times New Roman"/>
                      <w:b/>
                      <w:bCs/>
                      <w:sz w:val="21"/>
                      <w:szCs w:val="21"/>
                    </w:rPr>
                  </w:pPr>
                  <w:r>
                    <w:rPr>
                      <w:rFonts w:ascii="Times New Roman" w:hAnsi="Times New Roman" w:cs="Times New Roman"/>
                      <w:b/>
                      <w:bCs/>
                      <w:sz w:val="21"/>
                      <w:szCs w:val="21"/>
                    </w:rPr>
                    <w:t>年评价指标</w:t>
                  </w:r>
                </w:p>
              </w:tc>
              <w:tc>
                <w:tcPr>
                  <w:tcW w:w="1549" w:type="dxa"/>
                  <w:tcBorders>
                    <w:tl2br w:val="nil"/>
                    <w:tr2bl w:val="nil"/>
                  </w:tcBorders>
                  <w:vAlign w:val="center"/>
                </w:tcPr>
                <w:p>
                  <w:pPr>
                    <w:pStyle w:val="250"/>
                    <w:spacing w:line="240" w:lineRule="auto"/>
                    <w:ind w:firstLine="0" w:firstLineChars="0"/>
                    <w:jc w:val="center"/>
                    <w:rPr>
                      <w:rFonts w:ascii="Times New Roman" w:hAnsi="Times New Roman" w:cs="Times New Roman"/>
                      <w:b/>
                      <w:bCs/>
                      <w:sz w:val="21"/>
                      <w:szCs w:val="21"/>
                    </w:rPr>
                  </w:pPr>
                  <w:r>
                    <w:rPr>
                      <w:rFonts w:ascii="Times New Roman" w:hAnsi="Times New Roman" w:cs="Times New Roman"/>
                      <w:b/>
                      <w:bCs/>
                      <w:sz w:val="21"/>
                      <w:szCs w:val="21"/>
                    </w:rPr>
                    <w:t>现状浓度（ug/m</w:t>
                  </w:r>
                  <w:r>
                    <w:rPr>
                      <w:rFonts w:ascii="Times New Roman" w:hAnsi="Times New Roman" w:cs="Times New Roman"/>
                      <w:b/>
                      <w:bCs/>
                      <w:sz w:val="21"/>
                      <w:szCs w:val="21"/>
                      <w:vertAlign w:val="superscript"/>
                    </w:rPr>
                    <w:t>3</w:t>
                  </w:r>
                  <w:r>
                    <w:rPr>
                      <w:rFonts w:ascii="Times New Roman" w:hAnsi="Times New Roman" w:cs="Times New Roman"/>
                      <w:b/>
                      <w:bCs/>
                      <w:sz w:val="21"/>
                      <w:szCs w:val="21"/>
                    </w:rPr>
                    <w:t>）</w:t>
                  </w:r>
                </w:p>
              </w:tc>
              <w:tc>
                <w:tcPr>
                  <w:tcW w:w="1394" w:type="dxa"/>
                  <w:tcBorders>
                    <w:tl2br w:val="nil"/>
                    <w:tr2bl w:val="nil"/>
                  </w:tcBorders>
                  <w:vAlign w:val="center"/>
                </w:tcPr>
                <w:p>
                  <w:pPr>
                    <w:pStyle w:val="250"/>
                    <w:spacing w:line="240" w:lineRule="auto"/>
                    <w:ind w:firstLine="0" w:firstLineChars="0"/>
                    <w:jc w:val="center"/>
                    <w:rPr>
                      <w:rFonts w:ascii="Times New Roman" w:hAnsi="Times New Roman" w:cs="Times New Roman"/>
                      <w:b/>
                      <w:bCs/>
                      <w:sz w:val="21"/>
                      <w:szCs w:val="21"/>
                    </w:rPr>
                  </w:pPr>
                  <w:r>
                    <w:rPr>
                      <w:rFonts w:ascii="Times New Roman" w:hAnsi="Times New Roman" w:cs="Times New Roman"/>
                      <w:b/>
                      <w:bCs/>
                      <w:sz w:val="21"/>
                      <w:szCs w:val="21"/>
                    </w:rPr>
                    <w:t>标准值</w:t>
                  </w:r>
                </w:p>
                <w:p>
                  <w:pPr>
                    <w:pStyle w:val="250"/>
                    <w:spacing w:line="240" w:lineRule="auto"/>
                    <w:ind w:firstLine="0" w:firstLineChars="0"/>
                    <w:jc w:val="center"/>
                    <w:rPr>
                      <w:rFonts w:ascii="Times New Roman" w:hAnsi="Times New Roman" w:cs="Times New Roman"/>
                      <w:b/>
                      <w:bCs/>
                      <w:sz w:val="21"/>
                      <w:szCs w:val="21"/>
                    </w:rPr>
                  </w:pPr>
                  <w:r>
                    <w:rPr>
                      <w:rFonts w:ascii="Times New Roman" w:hAnsi="Times New Roman" w:cs="Times New Roman"/>
                      <w:b/>
                      <w:bCs/>
                      <w:sz w:val="21"/>
                      <w:szCs w:val="21"/>
                    </w:rPr>
                    <w:t>（ug/m</w:t>
                  </w:r>
                  <w:r>
                    <w:rPr>
                      <w:rFonts w:ascii="Times New Roman" w:hAnsi="Times New Roman" w:cs="Times New Roman"/>
                      <w:b/>
                      <w:bCs/>
                      <w:sz w:val="21"/>
                      <w:szCs w:val="21"/>
                      <w:vertAlign w:val="superscript"/>
                    </w:rPr>
                    <w:t>3</w:t>
                  </w:r>
                  <w:r>
                    <w:rPr>
                      <w:rFonts w:ascii="Times New Roman" w:hAnsi="Times New Roman" w:cs="Times New Roman"/>
                      <w:b/>
                      <w:bCs/>
                      <w:sz w:val="21"/>
                      <w:szCs w:val="21"/>
                    </w:rPr>
                    <w:t>）</w:t>
                  </w:r>
                </w:p>
              </w:tc>
              <w:tc>
                <w:tcPr>
                  <w:tcW w:w="1410" w:type="dxa"/>
                  <w:tcBorders>
                    <w:tl2br w:val="nil"/>
                    <w:tr2bl w:val="nil"/>
                  </w:tcBorders>
                  <w:vAlign w:val="center"/>
                </w:tcPr>
                <w:p>
                  <w:pPr>
                    <w:pStyle w:val="250"/>
                    <w:spacing w:line="240" w:lineRule="auto"/>
                    <w:ind w:firstLine="0" w:firstLineChars="0"/>
                    <w:jc w:val="center"/>
                    <w:rPr>
                      <w:rFonts w:ascii="Times New Roman" w:hAnsi="Times New Roman" w:cs="Times New Roman"/>
                      <w:b/>
                      <w:bCs/>
                      <w:sz w:val="21"/>
                      <w:szCs w:val="21"/>
                    </w:rPr>
                  </w:pPr>
                  <w:r>
                    <w:rPr>
                      <w:rFonts w:ascii="Times New Roman" w:hAnsi="Times New Roman" w:cs="Times New Roman"/>
                      <w:b/>
                      <w:bCs/>
                      <w:sz w:val="21"/>
                      <w:szCs w:val="21"/>
                    </w:rPr>
                    <w:t>占标率</w:t>
                  </w:r>
                </w:p>
                <w:p>
                  <w:pPr>
                    <w:pStyle w:val="250"/>
                    <w:spacing w:line="240" w:lineRule="auto"/>
                    <w:ind w:firstLine="0" w:firstLineChars="0"/>
                    <w:jc w:val="center"/>
                    <w:rPr>
                      <w:rFonts w:ascii="Times New Roman" w:hAnsi="Times New Roman" w:cs="Times New Roman"/>
                      <w:b/>
                      <w:bCs/>
                      <w:sz w:val="21"/>
                      <w:szCs w:val="21"/>
                    </w:rPr>
                  </w:pPr>
                  <w:r>
                    <w:rPr>
                      <w:rFonts w:ascii="Times New Roman" w:hAnsi="Times New Roman" w:cs="Times New Roman"/>
                      <w:b/>
                      <w:bCs/>
                      <w:sz w:val="21"/>
                      <w:szCs w:val="21"/>
                    </w:rPr>
                    <w:t>（%）</w:t>
                  </w:r>
                </w:p>
              </w:tc>
              <w:tc>
                <w:tcPr>
                  <w:tcW w:w="1105" w:type="dxa"/>
                  <w:tcBorders>
                    <w:tl2br w:val="nil"/>
                    <w:tr2bl w:val="nil"/>
                  </w:tcBorders>
                  <w:vAlign w:val="center"/>
                </w:tcPr>
                <w:p>
                  <w:pPr>
                    <w:pStyle w:val="250"/>
                    <w:spacing w:line="240" w:lineRule="auto"/>
                    <w:ind w:firstLine="0" w:firstLineChars="0"/>
                    <w:jc w:val="center"/>
                    <w:rPr>
                      <w:rFonts w:ascii="Times New Roman" w:hAnsi="Times New Roman" w:cs="Times New Roman"/>
                      <w:b/>
                      <w:bCs/>
                      <w:sz w:val="21"/>
                      <w:szCs w:val="21"/>
                    </w:rPr>
                  </w:pPr>
                  <w:r>
                    <w:rPr>
                      <w:rFonts w:ascii="Times New Roman" w:hAnsi="Times New Roman" w:cs="Times New Roman"/>
                      <w:b/>
                      <w:bCs/>
                      <w:sz w:val="21"/>
                      <w:szCs w:val="21"/>
                    </w:rPr>
                    <w:t>达标情况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069" w:type="dxa"/>
                  <w:tcBorders>
                    <w:tl2br w:val="nil"/>
                    <w:tr2bl w:val="nil"/>
                  </w:tcBorders>
                  <w:vAlign w:val="center"/>
                </w:tcPr>
                <w:p>
                  <w:pPr>
                    <w:jc w:val="center"/>
                    <w:rPr>
                      <w:sz w:val="21"/>
                      <w:szCs w:val="21"/>
                    </w:rPr>
                  </w:pPr>
                  <w:r>
                    <w:rPr>
                      <w:sz w:val="21"/>
                      <w:szCs w:val="21"/>
                    </w:rPr>
                    <w:t>PM</w:t>
                  </w:r>
                  <w:r>
                    <w:rPr>
                      <w:sz w:val="21"/>
                      <w:szCs w:val="21"/>
                      <w:vertAlign w:val="subscript"/>
                    </w:rPr>
                    <w:t>2.5</w:t>
                  </w:r>
                </w:p>
              </w:tc>
              <w:tc>
                <w:tcPr>
                  <w:tcW w:w="2548" w:type="dxa"/>
                  <w:vMerge w:val="restart"/>
                  <w:tcBorders>
                    <w:tl2br w:val="nil"/>
                    <w:tr2bl w:val="nil"/>
                  </w:tcBorders>
                  <w:vAlign w:val="center"/>
                </w:tcPr>
                <w:p>
                  <w:pPr>
                    <w:pStyle w:val="250"/>
                    <w:spacing w:line="240" w:lineRule="auto"/>
                    <w:ind w:firstLine="0" w:firstLineChars="0"/>
                    <w:jc w:val="center"/>
                    <w:rPr>
                      <w:rFonts w:ascii="Times New Roman" w:hAnsi="Times New Roman" w:cs="Times New Roman"/>
                      <w:sz w:val="21"/>
                      <w:szCs w:val="21"/>
                    </w:rPr>
                  </w:pPr>
                  <w:r>
                    <w:rPr>
                      <w:rFonts w:ascii="Times New Roman" w:hAnsi="Times New Roman" w:cs="Times New Roman"/>
                      <w:sz w:val="21"/>
                      <w:szCs w:val="21"/>
                    </w:rPr>
                    <w:t>年平均质量浓度</w:t>
                  </w:r>
                </w:p>
              </w:tc>
              <w:tc>
                <w:tcPr>
                  <w:tcW w:w="1549" w:type="dxa"/>
                  <w:tcBorders>
                    <w:tl2br w:val="nil"/>
                    <w:tr2bl w:val="nil"/>
                  </w:tcBorders>
                  <w:vAlign w:val="center"/>
                </w:tcPr>
                <w:p>
                  <w:pPr>
                    <w:jc w:val="center"/>
                    <w:rPr>
                      <w:sz w:val="21"/>
                      <w:szCs w:val="21"/>
                    </w:rPr>
                  </w:pPr>
                  <w:r>
                    <w:rPr>
                      <w:sz w:val="21"/>
                      <w:szCs w:val="21"/>
                    </w:rPr>
                    <w:t>14.5</w:t>
                  </w:r>
                </w:p>
              </w:tc>
              <w:tc>
                <w:tcPr>
                  <w:tcW w:w="1394" w:type="dxa"/>
                  <w:tcBorders>
                    <w:tl2br w:val="nil"/>
                    <w:tr2bl w:val="nil"/>
                  </w:tcBorders>
                  <w:vAlign w:val="center"/>
                </w:tcPr>
                <w:p>
                  <w:pPr>
                    <w:jc w:val="center"/>
                    <w:rPr>
                      <w:sz w:val="21"/>
                      <w:szCs w:val="21"/>
                    </w:rPr>
                  </w:pPr>
                  <w:r>
                    <w:rPr>
                      <w:sz w:val="21"/>
                      <w:szCs w:val="21"/>
                    </w:rPr>
                    <w:t>35</w:t>
                  </w:r>
                </w:p>
              </w:tc>
              <w:tc>
                <w:tcPr>
                  <w:tcW w:w="1410" w:type="dxa"/>
                  <w:tcBorders>
                    <w:tl2br w:val="nil"/>
                    <w:tr2bl w:val="nil"/>
                  </w:tcBorders>
                  <w:vAlign w:val="center"/>
                </w:tcPr>
                <w:p>
                  <w:pPr>
                    <w:adjustRightInd w:val="0"/>
                    <w:snapToGrid w:val="0"/>
                    <w:jc w:val="center"/>
                    <w:rPr>
                      <w:sz w:val="21"/>
                      <w:szCs w:val="21"/>
                    </w:rPr>
                  </w:pPr>
                  <w:r>
                    <w:rPr>
                      <w:sz w:val="21"/>
                      <w:szCs w:val="21"/>
                    </w:rPr>
                    <w:t>41.4</w:t>
                  </w:r>
                </w:p>
              </w:tc>
              <w:tc>
                <w:tcPr>
                  <w:tcW w:w="1105" w:type="dxa"/>
                  <w:tcBorders>
                    <w:tl2br w:val="nil"/>
                    <w:tr2bl w:val="nil"/>
                  </w:tcBorders>
                  <w:vAlign w:val="center"/>
                </w:tcPr>
                <w:p>
                  <w:pPr>
                    <w:pStyle w:val="250"/>
                    <w:spacing w:line="240" w:lineRule="auto"/>
                    <w:ind w:firstLine="0" w:firstLineChars="0"/>
                    <w:jc w:val="center"/>
                    <w:rPr>
                      <w:rFonts w:ascii="Times New Roman" w:hAnsi="Times New Roman" w:cs="Times New Roman"/>
                      <w:sz w:val="21"/>
                      <w:szCs w:val="21"/>
                    </w:rPr>
                  </w:pPr>
                  <w:r>
                    <w:rPr>
                      <w:rFonts w:ascii="Times New Roman" w:hAnsi="Times New Roman" w:cs="Times New Roman"/>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069" w:type="dxa"/>
                  <w:tcBorders>
                    <w:tl2br w:val="nil"/>
                    <w:tr2bl w:val="nil"/>
                  </w:tcBorders>
                  <w:vAlign w:val="center"/>
                </w:tcPr>
                <w:p>
                  <w:pPr>
                    <w:jc w:val="center"/>
                    <w:rPr>
                      <w:sz w:val="21"/>
                      <w:szCs w:val="21"/>
                    </w:rPr>
                  </w:pPr>
                  <w:r>
                    <w:rPr>
                      <w:sz w:val="21"/>
                      <w:szCs w:val="21"/>
                    </w:rPr>
                    <w:t>PM</w:t>
                  </w:r>
                  <w:r>
                    <w:rPr>
                      <w:sz w:val="21"/>
                      <w:szCs w:val="21"/>
                      <w:vertAlign w:val="subscript"/>
                    </w:rPr>
                    <w:t>10</w:t>
                  </w:r>
                </w:p>
              </w:tc>
              <w:tc>
                <w:tcPr>
                  <w:tcW w:w="2548" w:type="dxa"/>
                  <w:vMerge w:val="continue"/>
                  <w:tcBorders>
                    <w:tl2br w:val="nil"/>
                    <w:tr2bl w:val="nil"/>
                  </w:tcBorders>
                  <w:vAlign w:val="center"/>
                </w:tcPr>
                <w:p>
                  <w:pPr>
                    <w:widowControl/>
                    <w:jc w:val="center"/>
                    <w:rPr>
                      <w:sz w:val="21"/>
                      <w:szCs w:val="21"/>
                    </w:rPr>
                  </w:pPr>
                </w:p>
              </w:tc>
              <w:tc>
                <w:tcPr>
                  <w:tcW w:w="1549" w:type="dxa"/>
                  <w:tcBorders>
                    <w:tl2br w:val="nil"/>
                    <w:tr2bl w:val="nil"/>
                  </w:tcBorders>
                  <w:vAlign w:val="center"/>
                </w:tcPr>
                <w:p>
                  <w:pPr>
                    <w:jc w:val="center"/>
                    <w:rPr>
                      <w:sz w:val="21"/>
                      <w:szCs w:val="21"/>
                    </w:rPr>
                  </w:pPr>
                  <w:r>
                    <w:rPr>
                      <w:sz w:val="21"/>
                      <w:szCs w:val="21"/>
                    </w:rPr>
                    <w:t>71</w:t>
                  </w:r>
                </w:p>
              </w:tc>
              <w:tc>
                <w:tcPr>
                  <w:tcW w:w="1394" w:type="dxa"/>
                  <w:tcBorders>
                    <w:tl2br w:val="nil"/>
                    <w:tr2bl w:val="nil"/>
                  </w:tcBorders>
                  <w:vAlign w:val="center"/>
                </w:tcPr>
                <w:p>
                  <w:pPr>
                    <w:jc w:val="center"/>
                    <w:rPr>
                      <w:sz w:val="21"/>
                      <w:szCs w:val="21"/>
                    </w:rPr>
                  </w:pPr>
                  <w:r>
                    <w:rPr>
                      <w:sz w:val="21"/>
                      <w:szCs w:val="21"/>
                    </w:rPr>
                    <w:t>70</w:t>
                  </w:r>
                </w:p>
              </w:tc>
              <w:tc>
                <w:tcPr>
                  <w:tcW w:w="1410" w:type="dxa"/>
                  <w:tcBorders>
                    <w:tl2br w:val="nil"/>
                    <w:tr2bl w:val="nil"/>
                  </w:tcBorders>
                  <w:vAlign w:val="center"/>
                </w:tcPr>
                <w:p>
                  <w:pPr>
                    <w:adjustRightInd w:val="0"/>
                    <w:snapToGrid w:val="0"/>
                    <w:jc w:val="center"/>
                    <w:rPr>
                      <w:sz w:val="21"/>
                      <w:szCs w:val="21"/>
                    </w:rPr>
                  </w:pPr>
                  <w:r>
                    <w:rPr>
                      <w:sz w:val="21"/>
                      <w:szCs w:val="21"/>
                    </w:rPr>
                    <w:t>101.43</w:t>
                  </w:r>
                </w:p>
              </w:tc>
              <w:tc>
                <w:tcPr>
                  <w:tcW w:w="1105" w:type="dxa"/>
                  <w:tcBorders>
                    <w:tl2br w:val="nil"/>
                    <w:tr2bl w:val="nil"/>
                  </w:tcBorders>
                  <w:vAlign w:val="center"/>
                </w:tcPr>
                <w:p>
                  <w:pPr>
                    <w:jc w:val="center"/>
                    <w:rPr>
                      <w:sz w:val="21"/>
                      <w:szCs w:val="21"/>
                    </w:rPr>
                  </w:pPr>
                  <w:r>
                    <w:rPr>
                      <w:sz w:val="21"/>
                      <w:szCs w:val="21"/>
                    </w:rPr>
                    <w:t>不达标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069" w:type="dxa"/>
                  <w:tcBorders>
                    <w:tl2br w:val="nil"/>
                    <w:tr2bl w:val="nil"/>
                  </w:tcBorders>
                  <w:vAlign w:val="center"/>
                </w:tcPr>
                <w:p>
                  <w:pPr>
                    <w:jc w:val="center"/>
                    <w:rPr>
                      <w:sz w:val="21"/>
                      <w:szCs w:val="21"/>
                    </w:rPr>
                  </w:pPr>
                  <w:r>
                    <w:rPr>
                      <w:sz w:val="21"/>
                      <w:szCs w:val="21"/>
                    </w:rPr>
                    <w:t>SO</w:t>
                  </w:r>
                  <w:r>
                    <w:rPr>
                      <w:sz w:val="21"/>
                      <w:szCs w:val="21"/>
                      <w:vertAlign w:val="subscript"/>
                    </w:rPr>
                    <w:t>2</w:t>
                  </w:r>
                </w:p>
              </w:tc>
              <w:tc>
                <w:tcPr>
                  <w:tcW w:w="2548" w:type="dxa"/>
                  <w:vMerge w:val="continue"/>
                  <w:tcBorders>
                    <w:tl2br w:val="nil"/>
                    <w:tr2bl w:val="nil"/>
                  </w:tcBorders>
                  <w:vAlign w:val="center"/>
                </w:tcPr>
                <w:p>
                  <w:pPr>
                    <w:widowControl/>
                    <w:jc w:val="center"/>
                    <w:rPr>
                      <w:sz w:val="21"/>
                      <w:szCs w:val="21"/>
                    </w:rPr>
                  </w:pPr>
                </w:p>
              </w:tc>
              <w:tc>
                <w:tcPr>
                  <w:tcW w:w="1549" w:type="dxa"/>
                  <w:tcBorders>
                    <w:tl2br w:val="nil"/>
                    <w:tr2bl w:val="nil"/>
                  </w:tcBorders>
                  <w:vAlign w:val="center"/>
                </w:tcPr>
                <w:p>
                  <w:pPr>
                    <w:jc w:val="center"/>
                    <w:rPr>
                      <w:sz w:val="21"/>
                      <w:szCs w:val="21"/>
                    </w:rPr>
                  </w:pPr>
                  <w:r>
                    <w:rPr>
                      <w:sz w:val="21"/>
                      <w:szCs w:val="21"/>
                    </w:rPr>
                    <w:t>9.3</w:t>
                  </w:r>
                </w:p>
              </w:tc>
              <w:tc>
                <w:tcPr>
                  <w:tcW w:w="1394" w:type="dxa"/>
                  <w:tcBorders>
                    <w:tl2br w:val="nil"/>
                    <w:tr2bl w:val="nil"/>
                  </w:tcBorders>
                  <w:vAlign w:val="center"/>
                </w:tcPr>
                <w:p>
                  <w:pPr>
                    <w:jc w:val="center"/>
                    <w:rPr>
                      <w:sz w:val="21"/>
                      <w:szCs w:val="21"/>
                    </w:rPr>
                  </w:pPr>
                  <w:r>
                    <w:rPr>
                      <w:sz w:val="21"/>
                      <w:szCs w:val="21"/>
                    </w:rPr>
                    <w:t>60</w:t>
                  </w:r>
                </w:p>
              </w:tc>
              <w:tc>
                <w:tcPr>
                  <w:tcW w:w="1410" w:type="dxa"/>
                  <w:tcBorders>
                    <w:tl2br w:val="nil"/>
                    <w:tr2bl w:val="nil"/>
                  </w:tcBorders>
                  <w:vAlign w:val="center"/>
                </w:tcPr>
                <w:p>
                  <w:pPr>
                    <w:adjustRightInd w:val="0"/>
                    <w:snapToGrid w:val="0"/>
                    <w:jc w:val="center"/>
                    <w:rPr>
                      <w:sz w:val="21"/>
                      <w:szCs w:val="21"/>
                    </w:rPr>
                  </w:pPr>
                  <w:r>
                    <w:rPr>
                      <w:sz w:val="21"/>
                      <w:szCs w:val="21"/>
                    </w:rPr>
                    <w:t>15.5</w:t>
                  </w:r>
                </w:p>
              </w:tc>
              <w:tc>
                <w:tcPr>
                  <w:tcW w:w="1105" w:type="dxa"/>
                  <w:tcBorders>
                    <w:tl2br w:val="nil"/>
                    <w:tr2bl w:val="nil"/>
                  </w:tcBorders>
                  <w:vAlign w:val="center"/>
                </w:tcPr>
                <w:p>
                  <w:pPr>
                    <w:jc w:val="center"/>
                    <w:rPr>
                      <w:sz w:val="21"/>
                      <w:szCs w:val="21"/>
                    </w:rPr>
                  </w:pPr>
                  <w:r>
                    <w:rPr>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069" w:type="dxa"/>
                  <w:tcBorders>
                    <w:tl2br w:val="nil"/>
                    <w:tr2bl w:val="nil"/>
                  </w:tcBorders>
                  <w:vAlign w:val="center"/>
                </w:tcPr>
                <w:p>
                  <w:pPr>
                    <w:jc w:val="center"/>
                    <w:rPr>
                      <w:sz w:val="21"/>
                      <w:szCs w:val="21"/>
                    </w:rPr>
                  </w:pPr>
                  <w:r>
                    <w:rPr>
                      <w:sz w:val="21"/>
                      <w:szCs w:val="21"/>
                    </w:rPr>
                    <w:t>NO</w:t>
                  </w:r>
                  <w:r>
                    <w:rPr>
                      <w:sz w:val="21"/>
                      <w:szCs w:val="21"/>
                      <w:vertAlign w:val="subscript"/>
                    </w:rPr>
                    <w:t>2</w:t>
                  </w:r>
                </w:p>
              </w:tc>
              <w:tc>
                <w:tcPr>
                  <w:tcW w:w="2548" w:type="dxa"/>
                  <w:vMerge w:val="continue"/>
                  <w:tcBorders>
                    <w:tl2br w:val="nil"/>
                    <w:tr2bl w:val="nil"/>
                  </w:tcBorders>
                  <w:vAlign w:val="center"/>
                </w:tcPr>
                <w:p>
                  <w:pPr>
                    <w:widowControl/>
                    <w:jc w:val="center"/>
                    <w:rPr>
                      <w:sz w:val="21"/>
                      <w:szCs w:val="21"/>
                    </w:rPr>
                  </w:pPr>
                </w:p>
              </w:tc>
              <w:tc>
                <w:tcPr>
                  <w:tcW w:w="1549" w:type="dxa"/>
                  <w:tcBorders>
                    <w:tl2br w:val="nil"/>
                    <w:tr2bl w:val="nil"/>
                  </w:tcBorders>
                  <w:vAlign w:val="center"/>
                </w:tcPr>
                <w:p>
                  <w:pPr>
                    <w:jc w:val="center"/>
                    <w:rPr>
                      <w:sz w:val="21"/>
                      <w:szCs w:val="21"/>
                    </w:rPr>
                  </w:pPr>
                  <w:r>
                    <w:rPr>
                      <w:sz w:val="21"/>
                      <w:szCs w:val="21"/>
                    </w:rPr>
                    <w:t>17.8</w:t>
                  </w:r>
                </w:p>
              </w:tc>
              <w:tc>
                <w:tcPr>
                  <w:tcW w:w="1394" w:type="dxa"/>
                  <w:tcBorders>
                    <w:tl2br w:val="nil"/>
                    <w:tr2bl w:val="nil"/>
                  </w:tcBorders>
                  <w:vAlign w:val="center"/>
                </w:tcPr>
                <w:p>
                  <w:pPr>
                    <w:jc w:val="center"/>
                    <w:rPr>
                      <w:sz w:val="21"/>
                      <w:szCs w:val="21"/>
                    </w:rPr>
                  </w:pPr>
                  <w:r>
                    <w:rPr>
                      <w:sz w:val="21"/>
                      <w:szCs w:val="21"/>
                    </w:rPr>
                    <w:t>40</w:t>
                  </w:r>
                </w:p>
              </w:tc>
              <w:tc>
                <w:tcPr>
                  <w:tcW w:w="1410" w:type="dxa"/>
                  <w:tcBorders>
                    <w:tl2br w:val="nil"/>
                    <w:tr2bl w:val="nil"/>
                  </w:tcBorders>
                  <w:vAlign w:val="center"/>
                </w:tcPr>
                <w:p>
                  <w:pPr>
                    <w:adjustRightInd w:val="0"/>
                    <w:snapToGrid w:val="0"/>
                    <w:jc w:val="center"/>
                    <w:rPr>
                      <w:sz w:val="21"/>
                      <w:szCs w:val="21"/>
                    </w:rPr>
                  </w:pPr>
                  <w:r>
                    <w:rPr>
                      <w:sz w:val="21"/>
                      <w:szCs w:val="21"/>
                    </w:rPr>
                    <w:t>44.5</w:t>
                  </w:r>
                </w:p>
              </w:tc>
              <w:tc>
                <w:tcPr>
                  <w:tcW w:w="1105" w:type="dxa"/>
                  <w:tcBorders>
                    <w:tl2br w:val="nil"/>
                    <w:tr2bl w:val="nil"/>
                  </w:tcBorders>
                  <w:vAlign w:val="center"/>
                </w:tcPr>
                <w:p>
                  <w:pPr>
                    <w:jc w:val="center"/>
                    <w:rPr>
                      <w:sz w:val="21"/>
                      <w:szCs w:val="21"/>
                    </w:rPr>
                  </w:pPr>
                  <w:r>
                    <w:rPr>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069" w:type="dxa"/>
                  <w:tcBorders>
                    <w:tl2br w:val="nil"/>
                    <w:tr2bl w:val="nil"/>
                  </w:tcBorders>
                  <w:vAlign w:val="center"/>
                </w:tcPr>
                <w:p>
                  <w:pPr>
                    <w:jc w:val="center"/>
                    <w:rPr>
                      <w:sz w:val="21"/>
                      <w:szCs w:val="21"/>
                    </w:rPr>
                  </w:pPr>
                  <w:r>
                    <w:rPr>
                      <w:sz w:val="21"/>
                      <w:szCs w:val="21"/>
                    </w:rPr>
                    <w:t>CO</w:t>
                  </w:r>
                </w:p>
              </w:tc>
              <w:tc>
                <w:tcPr>
                  <w:tcW w:w="2548" w:type="dxa"/>
                  <w:tcBorders>
                    <w:tl2br w:val="nil"/>
                    <w:tr2bl w:val="nil"/>
                  </w:tcBorders>
                  <w:vAlign w:val="center"/>
                </w:tcPr>
                <w:p>
                  <w:pPr>
                    <w:pStyle w:val="250"/>
                    <w:spacing w:line="240" w:lineRule="auto"/>
                    <w:ind w:firstLine="0" w:firstLineChars="0"/>
                    <w:jc w:val="center"/>
                    <w:rPr>
                      <w:rFonts w:ascii="Times New Roman" w:hAnsi="Times New Roman" w:cs="Times New Roman"/>
                      <w:sz w:val="21"/>
                      <w:szCs w:val="21"/>
                    </w:rPr>
                  </w:pPr>
                  <w:r>
                    <w:rPr>
                      <w:rFonts w:ascii="Times New Roman" w:hAnsi="Times New Roman" w:cs="Times New Roman"/>
                      <w:sz w:val="21"/>
                      <w:szCs w:val="21"/>
                    </w:rPr>
                    <w:t>日平均（第95 百分位数）质量浓度</w:t>
                  </w:r>
                </w:p>
              </w:tc>
              <w:tc>
                <w:tcPr>
                  <w:tcW w:w="1549" w:type="dxa"/>
                  <w:tcBorders>
                    <w:tl2br w:val="nil"/>
                    <w:tr2bl w:val="nil"/>
                  </w:tcBorders>
                  <w:vAlign w:val="center"/>
                </w:tcPr>
                <w:p>
                  <w:pPr>
                    <w:jc w:val="center"/>
                    <w:rPr>
                      <w:sz w:val="21"/>
                      <w:szCs w:val="21"/>
                    </w:rPr>
                  </w:pPr>
                  <w:r>
                    <w:rPr>
                      <w:sz w:val="21"/>
                      <w:szCs w:val="21"/>
                    </w:rPr>
                    <w:t>1318</w:t>
                  </w:r>
                </w:p>
              </w:tc>
              <w:tc>
                <w:tcPr>
                  <w:tcW w:w="1394" w:type="dxa"/>
                  <w:tcBorders>
                    <w:tl2br w:val="nil"/>
                    <w:tr2bl w:val="nil"/>
                  </w:tcBorders>
                  <w:vAlign w:val="center"/>
                </w:tcPr>
                <w:p>
                  <w:pPr>
                    <w:jc w:val="center"/>
                    <w:rPr>
                      <w:sz w:val="21"/>
                      <w:szCs w:val="21"/>
                    </w:rPr>
                  </w:pPr>
                  <w:r>
                    <w:rPr>
                      <w:sz w:val="21"/>
                      <w:szCs w:val="21"/>
                    </w:rPr>
                    <w:t>4000</w:t>
                  </w:r>
                </w:p>
              </w:tc>
              <w:tc>
                <w:tcPr>
                  <w:tcW w:w="1410" w:type="dxa"/>
                  <w:tcBorders>
                    <w:tl2br w:val="nil"/>
                    <w:tr2bl w:val="nil"/>
                  </w:tcBorders>
                  <w:vAlign w:val="center"/>
                </w:tcPr>
                <w:p>
                  <w:pPr>
                    <w:widowControl/>
                    <w:jc w:val="center"/>
                    <w:textAlignment w:val="center"/>
                    <w:rPr>
                      <w:sz w:val="21"/>
                      <w:szCs w:val="21"/>
                    </w:rPr>
                  </w:pPr>
                  <w:r>
                    <w:rPr>
                      <w:sz w:val="21"/>
                      <w:szCs w:val="21"/>
                    </w:rPr>
                    <w:t>32.95</w:t>
                  </w:r>
                </w:p>
              </w:tc>
              <w:tc>
                <w:tcPr>
                  <w:tcW w:w="1105" w:type="dxa"/>
                  <w:tcBorders>
                    <w:tl2br w:val="nil"/>
                    <w:tr2bl w:val="nil"/>
                  </w:tcBorders>
                  <w:vAlign w:val="center"/>
                </w:tcPr>
                <w:p>
                  <w:pPr>
                    <w:jc w:val="center"/>
                    <w:rPr>
                      <w:sz w:val="21"/>
                      <w:szCs w:val="21"/>
                    </w:rPr>
                  </w:pPr>
                  <w:r>
                    <w:rPr>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069" w:type="dxa"/>
                  <w:tcBorders>
                    <w:tl2br w:val="nil"/>
                    <w:tr2bl w:val="nil"/>
                  </w:tcBorders>
                  <w:vAlign w:val="center"/>
                </w:tcPr>
                <w:p>
                  <w:pPr>
                    <w:jc w:val="center"/>
                    <w:rPr>
                      <w:sz w:val="21"/>
                      <w:szCs w:val="21"/>
                    </w:rPr>
                  </w:pPr>
                  <w:r>
                    <w:rPr>
                      <w:sz w:val="21"/>
                      <w:szCs w:val="21"/>
                    </w:rPr>
                    <w:t>O</w:t>
                  </w:r>
                  <w:r>
                    <w:rPr>
                      <w:sz w:val="21"/>
                      <w:szCs w:val="21"/>
                      <w:vertAlign w:val="subscript"/>
                    </w:rPr>
                    <w:t>3</w:t>
                  </w:r>
                </w:p>
              </w:tc>
              <w:tc>
                <w:tcPr>
                  <w:tcW w:w="2548" w:type="dxa"/>
                  <w:tcBorders>
                    <w:tl2br w:val="nil"/>
                    <w:tr2bl w:val="nil"/>
                  </w:tcBorders>
                  <w:vAlign w:val="center"/>
                </w:tcPr>
                <w:p>
                  <w:pPr>
                    <w:pStyle w:val="250"/>
                    <w:spacing w:line="240" w:lineRule="auto"/>
                    <w:ind w:firstLine="0" w:firstLineChars="0"/>
                    <w:jc w:val="center"/>
                    <w:rPr>
                      <w:rFonts w:ascii="Times New Roman" w:hAnsi="Times New Roman" w:cs="Times New Roman"/>
                      <w:sz w:val="21"/>
                      <w:szCs w:val="21"/>
                    </w:rPr>
                  </w:pPr>
                  <w:r>
                    <w:rPr>
                      <w:rFonts w:ascii="Times New Roman" w:hAnsi="Times New Roman" w:cs="Times New Roman"/>
                      <w:sz w:val="21"/>
                      <w:szCs w:val="21"/>
                    </w:rPr>
                    <w:t>8小时（第90 百分位数）质量浓度</w:t>
                  </w:r>
                </w:p>
              </w:tc>
              <w:tc>
                <w:tcPr>
                  <w:tcW w:w="1549" w:type="dxa"/>
                  <w:tcBorders>
                    <w:tl2br w:val="nil"/>
                    <w:tr2bl w:val="nil"/>
                  </w:tcBorders>
                  <w:vAlign w:val="center"/>
                </w:tcPr>
                <w:p>
                  <w:pPr>
                    <w:jc w:val="center"/>
                    <w:rPr>
                      <w:sz w:val="21"/>
                      <w:szCs w:val="21"/>
                    </w:rPr>
                  </w:pPr>
                  <w:r>
                    <w:rPr>
                      <w:sz w:val="21"/>
                      <w:szCs w:val="21"/>
                    </w:rPr>
                    <w:t>158</w:t>
                  </w:r>
                </w:p>
              </w:tc>
              <w:tc>
                <w:tcPr>
                  <w:tcW w:w="1394" w:type="dxa"/>
                  <w:tcBorders>
                    <w:tl2br w:val="nil"/>
                    <w:tr2bl w:val="nil"/>
                  </w:tcBorders>
                  <w:vAlign w:val="center"/>
                </w:tcPr>
                <w:p>
                  <w:pPr>
                    <w:jc w:val="center"/>
                    <w:rPr>
                      <w:sz w:val="21"/>
                      <w:szCs w:val="21"/>
                    </w:rPr>
                  </w:pPr>
                  <w:r>
                    <w:rPr>
                      <w:sz w:val="21"/>
                      <w:szCs w:val="21"/>
                    </w:rPr>
                    <w:t>160</w:t>
                  </w:r>
                </w:p>
              </w:tc>
              <w:tc>
                <w:tcPr>
                  <w:tcW w:w="1410" w:type="dxa"/>
                  <w:tcBorders>
                    <w:tl2br w:val="nil"/>
                    <w:tr2bl w:val="nil"/>
                  </w:tcBorders>
                  <w:vAlign w:val="center"/>
                </w:tcPr>
                <w:p>
                  <w:pPr>
                    <w:widowControl/>
                    <w:jc w:val="center"/>
                    <w:textAlignment w:val="center"/>
                    <w:rPr>
                      <w:sz w:val="21"/>
                      <w:szCs w:val="21"/>
                    </w:rPr>
                  </w:pPr>
                  <w:r>
                    <w:rPr>
                      <w:sz w:val="21"/>
                      <w:szCs w:val="21"/>
                    </w:rPr>
                    <w:t>98.75</w:t>
                  </w:r>
                </w:p>
              </w:tc>
              <w:tc>
                <w:tcPr>
                  <w:tcW w:w="1105" w:type="dxa"/>
                  <w:tcBorders>
                    <w:tl2br w:val="nil"/>
                    <w:tr2bl w:val="nil"/>
                  </w:tcBorders>
                  <w:vAlign w:val="center"/>
                </w:tcPr>
                <w:p>
                  <w:pPr>
                    <w:jc w:val="center"/>
                    <w:rPr>
                      <w:sz w:val="21"/>
                      <w:szCs w:val="21"/>
                    </w:rPr>
                  </w:pPr>
                  <w:r>
                    <w:rPr>
                      <w:sz w:val="21"/>
                      <w:szCs w:val="21"/>
                    </w:rPr>
                    <w:t>达标</w:t>
                  </w:r>
                </w:p>
              </w:tc>
            </w:tr>
          </w:tbl>
          <w:p>
            <w:pPr>
              <w:adjustRightInd w:val="0"/>
              <w:snapToGrid w:val="0"/>
              <w:spacing w:line="480" w:lineRule="exact"/>
              <w:ind w:firstLine="480" w:firstLineChars="200"/>
            </w:pPr>
            <w:r>
              <w:t>根据表3-1可知，2018年度君山区环境空气质量除PM</w:t>
            </w:r>
            <w:r>
              <w:rPr>
                <w:vertAlign w:val="subscript"/>
              </w:rPr>
              <w:t>10</w:t>
            </w:r>
            <w:r>
              <w:t>不能达到《环境空气质量标准》（GB3095-2012）二级标准，其它各项因子均达标。综上，君山区属于不达标区。</w:t>
            </w:r>
          </w:p>
          <w:p>
            <w:pPr>
              <w:adjustRightInd w:val="0"/>
              <w:snapToGrid w:val="0"/>
              <w:spacing w:line="480" w:lineRule="exact"/>
              <w:ind w:firstLine="480" w:firstLineChars="200"/>
            </w:pPr>
            <w:r>
              <w:t>根据湖南省人民政府 2018 年6月18日发布的《湖南省污染防治攻坚战三年行动计划（2018—2020）年》的通知（湘政发〔2018〕17号）要求：到2020年，岳阳、益阳PM10年均浓度平均值下降到71μg/m3以下。同时根据岳阳市大气污染防治行动计划要求，当地政府加大环境治理力度，采取更为严格的大气防治手段，在岳阳市及岳阳县2020年PM10限期达标规划值后，2020年的PM10年平均质量浓度能符合环境质量标准，满足环境空气功能区二类区的要求，大气环境质量将得到改善。</w:t>
            </w:r>
          </w:p>
          <w:p>
            <w:pPr>
              <w:adjustRightInd w:val="0"/>
              <w:snapToGrid w:val="0"/>
              <w:spacing w:line="480" w:lineRule="exact"/>
              <w:ind w:firstLine="480" w:firstLineChars="200"/>
            </w:pPr>
            <w:r>
              <w:rPr>
                <w:rFonts w:hint="eastAsia"/>
              </w:rPr>
              <w:t>1</w:t>
            </w:r>
            <w:r>
              <w:t>.1.2</w:t>
            </w:r>
            <w:r>
              <w:rPr>
                <w:rFonts w:hint="eastAsia"/>
              </w:rPr>
              <w:t>补充监测</w:t>
            </w:r>
          </w:p>
          <w:p>
            <w:pPr>
              <w:adjustRightInd w:val="0"/>
              <w:snapToGrid w:val="0"/>
              <w:spacing w:line="480" w:lineRule="exact"/>
              <w:ind w:firstLine="480" w:firstLineChars="200"/>
            </w:pPr>
            <w:r>
              <w:rPr>
                <w:rFonts w:hint="eastAsia"/>
              </w:rPr>
              <w:t>项目取水工程位于湖南东洞庭湖国家级自然保护区内，上述区段所在区域属于大气环境功能一类区，环境空气评价执行GB3095-2012《环境空气质量标准》一级标准；其余段所在区域环境空气评价执行GB3095-2012《环境空气质量标准》二级标准。为弄清拟建工程区域的环境空气质量现状，项目引用《岳阳市长江补水工程（一期工程）环境影响报告书》中湖南永蓝检测技术股份有限公司在项目区域进行的环境空气质量现状监测。</w:t>
            </w:r>
          </w:p>
          <w:p>
            <w:pPr>
              <w:adjustRightInd w:val="0"/>
              <w:snapToGrid w:val="0"/>
              <w:spacing w:line="480" w:lineRule="exact"/>
              <w:ind w:firstLine="480" w:firstLineChars="200"/>
            </w:pPr>
            <w:r>
              <w:rPr>
                <w:rFonts w:hint="eastAsia"/>
              </w:rPr>
              <w:t>1）监测布点</w:t>
            </w:r>
          </w:p>
          <w:p>
            <w:pPr>
              <w:adjustRightInd w:val="0"/>
              <w:snapToGrid w:val="0"/>
              <w:spacing w:line="480" w:lineRule="exact"/>
              <w:ind w:firstLine="480" w:firstLineChars="200"/>
            </w:pPr>
            <w:r>
              <w:rPr>
                <w:rFonts w:hint="eastAsia"/>
              </w:rPr>
              <w:t>选择取水泵站附近代表性的敏感点进行环境空气质量现状监测，监测点位详见表</w:t>
            </w:r>
            <w:r>
              <w:t>3</w:t>
            </w:r>
            <w:r>
              <w:rPr>
                <w:rFonts w:hint="eastAsia"/>
              </w:rPr>
              <w:t>-2。</w:t>
            </w:r>
          </w:p>
          <w:p>
            <w:pPr>
              <w:pStyle w:val="251"/>
              <w:widowControl/>
              <w:tabs>
                <w:tab w:val="clear" w:pos="227"/>
                <w:tab w:val="clear" w:pos="2921"/>
              </w:tabs>
              <w:ind w:left="0"/>
            </w:pPr>
            <w:r>
              <w:rPr>
                <w:rFonts w:hint="eastAsia"/>
              </w:rPr>
              <w:t>表</w:t>
            </w:r>
            <w:r>
              <w:t>3</w:t>
            </w:r>
            <w:r>
              <w:rPr>
                <w:rFonts w:hint="eastAsia"/>
              </w:rPr>
              <w:t>-2    环境空气监测点位</w:t>
            </w:r>
          </w:p>
          <w:tbl>
            <w:tblPr>
              <w:tblStyle w:val="44"/>
              <w:tblW w:w="0" w:type="auto"/>
              <w:jc w:val="center"/>
              <w:tblLayout w:type="fixed"/>
              <w:tblCellMar>
                <w:top w:w="0" w:type="dxa"/>
                <w:left w:w="108" w:type="dxa"/>
                <w:bottom w:w="0" w:type="dxa"/>
                <w:right w:w="108" w:type="dxa"/>
              </w:tblCellMar>
            </w:tblPr>
            <w:tblGrid>
              <w:gridCol w:w="678"/>
              <w:gridCol w:w="1492"/>
              <w:gridCol w:w="1148"/>
              <w:gridCol w:w="3555"/>
              <w:gridCol w:w="1655"/>
            </w:tblGrid>
            <w:tr>
              <w:tblPrEx>
                <w:tblCellMar>
                  <w:top w:w="0" w:type="dxa"/>
                  <w:left w:w="108" w:type="dxa"/>
                  <w:bottom w:w="0" w:type="dxa"/>
                  <w:right w:w="108" w:type="dxa"/>
                </w:tblCellMar>
              </w:tblPrEx>
              <w:trPr>
                <w:trHeight w:val="369" w:hRule="atLeast"/>
                <w:jc w:val="center"/>
              </w:trPr>
              <w:tc>
                <w:tcPr>
                  <w:tcW w:w="678" w:type="dxa"/>
                  <w:tcBorders>
                    <w:top w:val="single" w:color="auto" w:sz="12" w:space="0"/>
                    <w:left w:val="single" w:color="auto" w:sz="12" w:space="0"/>
                    <w:bottom w:val="single" w:color="auto" w:sz="12" w:space="0"/>
                    <w:right w:val="single" w:color="auto" w:sz="4" w:space="0"/>
                  </w:tcBorders>
                  <w:vAlign w:val="center"/>
                </w:tcPr>
                <w:p>
                  <w:pPr>
                    <w:adjustRightInd w:val="0"/>
                    <w:snapToGrid w:val="0"/>
                    <w:spacing w:line="326" w:lineRule="exact"/>
                    <w:jc w:val="center"/>
                    <w:rPr>
                      <w:sz w:val="21"/>
                      <w:szCs w:val="21"/>
                    </w:rPr>
                  </w:pPr>
                  <w:r>
                    <w:rPr>
                      <w:sz w:val="21"/>
                      <w:szCs w:val="21"/>
                    </w:rPr>
                    <w:t>序号</w:t>
                  </w:r>
                </w:p>
              </w:tc>
              <w:tc>
                <w:tcPr>
                  <w:tcW w:w="1492" w:type="dxa"/>
                  <w:tcBorders>
                    <w:top w:val="single" w:color="auto" w:sz="12" w:space="0"/>
                    <w:left w:val="single" w:color="auto" w:sz="4" w:space="0"/>
                    <w:bottom w:val="single" w:color="auto" w:sz="12" w:space="0"/>
                    <w:right w:val="single" w:color="auto" w:sz="4" w:space="0"/>
                  </w:tcBorders>
                  <w:vAlign w:val="center"/>
                </w:tcPr>
                <w:p>
                  <w:pPr>
                    <w:adjustRightInd w:val="0"/>
                    <w:snapToGrid w:val="0"/>
                    <w:spacing w:line="326" w:lineRule="exact"/>
                    <w:jc w:val="center"/>
                    <w:rPr>
                      <w:sz w:val="21"/>
                      <w:szCs w:val="21"/>
                    </w:rPr>
                  </w:pPr>
                  <w:r>
                    <w:rPr>
                      <w:sz w:val="21"/>
                      <w:szCs w:val="21"/>
                    </w:rPr>
                    <w:t>点位名称</w:t>
                  </w:r>
                </w:p>
              </w:tc>
              <w:tc>
                <w:tcPr>
                  <w:tcW w:w="1148" w:type="dxa"/>
                  <w:tcBorders>
                    <w:top w:val="single" w:color="auto" w:sz="12" w:space="0"/>
                    <w:left w:val="single" w:color="auto" w:sz="4" w:space="0"/>
                    <w:bottom w:val="single" w:color="auto" w:sz="12" w:space="0"/>
                    <w:right w:val="single" w:color="auto" w:sz="12" w:space="0"/>
                  </w:tcBorders>
                  <w:vAlign w:val="center"/>
                </w:tcPr>
                <w:p>
                  <w:pPr>
                    <w:adjustRightInd w:val="0"/>
                    <w:snapToGrid w:val="0"/>
                    <w:spacing w:line="326" w:lineRule="exact"/>
                    <w:jc w:val="center"/>
                    <w:rPr>
                      <w:sz w:val="21"/>
                      <w:szCs w:val="21"/>
                    </w:rPr>
                  </w:pPr>
                  <w:r>
                    <w:rPr>
                      <w:rFonts w:hint="eastAsia"/>
                      <w:sz w:val="21"/>
                      <w:szCs w:val="21"/>
                    </w:rPr>
                    <w:t>所属区域</w:t>
                  </w:r>
                </w:p>
              </w:tc>
              <w:tc>
                <w:tcPr>
                  <w:tcW w:w="3555" w:type="dxa"/>
                  <w:tcBorders>
                    <w:top w:val="single" w:color="auto" w:sz="12" w:space="0"/>
                    <w:left w:val="single" w:color="auto" w:sz="4" w:space="0"/>
                    <w:bottom w:val="single" w:color="auto" w:sz="12" w:space="0"/>
                    <w:right w:val="single" w:color="auto" w:sz="12" w:space="0"/>
                  </w:tcBorders>
                  <w:vAlign w:val="center"/>
                </w:tcPr>
                <w:p>
                  <w:pPr>
                    <w:adjustRightInd w:val="0"/>
                    <w:snapToGrid w:val="0"/>
                    <w:spacing w:line="326" w:lineRule="exact"/>
                    <w:jc w:val="center"/>
                    <w:rPr>
                      <w:sz w:val="21"/>
                      <w:szCs w:val="21"/>
                    </w:rPr>
                  </w:pPr>
                  <w:r>
                    <w:rPr>
                      <w:sz w:val="21"/>
                      <w:szCs w:val="21"/>
                    </w:rPr>
                    <w:t>设  置  说  明</w:t>
                  </w:r>
                </w:p>
              </w:tc>
              <w:tc>
                <w:tcPr>
                  <w:tcW w:w="1655" w:type="dxa"/>
                  <w:tcBorders>
                    <w:top w:val="single" w:color="auto" w:sz="12" w:space="0"/>
                    <w:left w:val="single" w:color="auto" w:sz="4" w:space="0"/>
                    <w:bottom w:val="single" w:color="auto" w:sz="12" w:space="0"/>
                    <w:right w:val="single" w:color="auto" w:sz="12" w:space="0"/>
                  </w:tcBorders>
                  <w:vAlign w:val="center"/>
                </w:tcPr>
                <w:p>
                  <w:pPr>
                    <w:adjustRightInd w:val="0"/>
                    <w:snapToGrid w:val="0"/>
                    <w:spacing w:line="326" w:lineRule="exact"/>
                    <w:jc w:val="center"/>
                    <w:rPr>
                      <w:sz w:val="21"/>
                      <w:szCs w:val="21"/>
                    </w:rPr>
                  </w:pPr>
                  <w:r>
                    <w:rPr>
                      <w:rFonts w:hint="eastAsia"/>
                      <w:sz w:val="21"/>
                      <w:szCs w:val="21"/>
                    </w:rPr>
                    <w:t>执行标准</w:t>
                  </w:r>
                </w:p>
              </w:tc>
            </w:tr>
            <w:tr>
              <w:tblPrEx>
                <w:tblCellMar>
                  <w:top w:w="0" w:type="dxa"/>
                  <w:left w:w="108" w:type="dxa"/>
                  <w:bottom w:w="0" w:type="dxa"/>
                  <w:right w:w="108" w:type="dxa"/>
                </w:tblCellMar>
              </w:tblPrEx>
              <w:trPr>
                <w:trHeight w:val="90" w:hRule="atLeast"/>
                <w:jc w:val="center"/>
              </w:trPr>
              <w:tc>
                <w:tcPr>
                  <w:tcW w:w="678" w:type="dxa"/>
                  <w:tcBorders>
                    <w:top w:val="single" w:color="auto" w:sz="12" w:space="0"/>
                    <w:left w:val="single" w:color="auto" w:sz="12" w:space="0"/>
                    <w:bottom w:val="single" w:color="auto" w:sz="8" w:space="0"/>
                    <w:right w:val="single" w:color="auto" w:sz="4" w:space="0"/>
                  </w:tcBorders>
                  <w:vAlign w:val="center"/>
                </w:tcPr>
                <w:p>
                  <w:pPr>
                    <w:adjustRightInd w:val="0"/>
                    <w:snapToGrid w:val="0"/>
                    <w:spacing w:line="326" w:lineRule="exact"/>
                    <w:jc w:val="center"/>
                    <w:rPr>
                      <w:sz w:val="21"/>
                      <w:szCs w:val="21"/>
                    </w:rPr>
                  </w:pPr>
                  <w:r>
                    <w:rPr>
                      <w:rFonts w:hint="eastAsia"/>
                      <w:sz w:val="21"/>
                      <w:szCs w:val="21"/>
                    </w:rPr>
                    <w:t>A</w:t>
                  </w:r>
                  <w:r>
                    <w:rPr>
                      <w:sz w:val="21"/>
                      <w:szCs w:val="21"/>
                    </w:rPr>
                    <w:t>1</w:t>
                  </w:r>
                </w:p>
              </w:tc>
              <w:tc>
                <w:tcPr>
                  <w:tcW w:w="1492" w:type="dxa"/>
                  <w:tcBorders>
                    <w:top w:val="single" w:color="auto" w:sz="12" w:space="0"/>
                    <w:left w:val="single" w:color="auto" w:sz="4" w:space="0"/>
                    <w:bottom w:val="single" w:color="auto" w:sz="8" w:space="0"/>
                    <w:right w:val="single" w:color="auto" w:sz="4" w:space="0"/>
                  </w:tcBorders>
                  <w:vAlign w:val="center"/>
                </w:tcPr>
                <w:p>
                  <w:pPr>
                    <w:adjustRightInd w:val="0"/>
                    <w:snapToGrid w:val="0"/>
                    <w:spacing w:line="326" w:lineRule="exact"/>
                    <w:jc w:val="center"/>
                    <w:rPr>
                      <w:sz w:val="21"/>
                      <w:szCs w:val="21"/>
                    </w:rPr>
                  </w:pPr>
                  <w:r>
                    <w:rPr>
                      <w:rFonts w:hint="eastAsia"/>
                      <w:sz w:val="21"/>
                      <w:szCs w:val="21"/>
                    </w:rPr>
                    <w:t>洪市村</w:t>
                  </w:r>
                </w:p>
              </w:tc>
              <w:tc>
                <w:tcPr>
                  <w:tcW w:w="1148" w:type="dxa"/>
                  <w:tcBorders>
                    <w:top w:val="single" w:color="auto" w:sz="12" w:space="0"/>
                    <w:left w:val="single" w:color="auto" w:sz="4" w:space="0"/>
                    <w:bottom w:val="single" w:color="auto" w:sz="8" w:space="0"/>
                    <w:right w:val="single" w:color="auto" w:sz="12" w:space="0"/>
                  </w:tcBorders>
                  <w:vAlign w:val="center"/>
                </w:tcPr>
                <w:p>
                  <w:pPr>
                    <w:adjustRightInd w:val="0"/>
                    <w:snapToGrid w:val="0"/>
                    <w:spacing w:line="326" w:lineRule="exact"/>
                    <w:rPr>
                      <w:sz w:val="21"/>
                      <w:szCs w:val="21"/>
                    </w:rPr>
                  </w:pPr>
                  <w:r>
                    <w:rPr>
                      <w:rFonts w:hint="eastAsia"/>
                      <w:sz w:val="21"/>
                      <w:szCs w:val="21"/>
                    </w:rPr>
                    <w:t>君山区</w:t>
                  </w:r>
                </w:p>
              </w:tc>
              <w:tc>
                <w:tcPr>
                  <w:tcW w:w="3555" w:type="dxa"/>
                  <w:tcBorders>
                    <w:top w:val="single" w:color="auto" w:sz="12" w:space="0"/>
                    <w:left w:val="single" w:color="auto" w:sz="4" w:space="0"/>
                    <w:bottom w:val="single" w:color="auto" w:sz="8" w:space="0"/>
                    <w:right w:val="single" w:color="auto" w:sz="12" w:space="0"/>
                  </w:tcBorders>
                  <w:vAlign w:val="center"/>
                </w:tcPr>
                <w:p>
                  <w:pPr>
                    <w:jc w:val="center"/>
                    <w:rPr>
                      <w:sz w:val="21"/>
                      <w:szCs w:val="21"/>
                    </w:rPr>
                  </w:pPr>
                  <w:r>
                    <w:rPr>
                      <w:rFonts w:hint="eastAsia"/>
                      <w:sz w:val="21"/>
                      <w:szCs w:val="21"/>
                    </w:rPr>
                    <w:t>K3+400一支渠与华洪运河交界处</w:t>
                  </w:r>
                </w:p>
              </w:tc>
              <w:tc>
                <w:tcPr>
                  <w:tcW w:w="1655" w:type="dxa"/>
                  <w:tcBorders>
                    <w:top w:val="single" w:color="auto" w:sz="12" w:space="0"/>
                    <w:left w:val="single" w:color="auto" w:sz="4" w:space="0"/>
                    <w:bottom w:val="single" w:color="auto" w:sz="8" w:space="0"/>
                    <w:right w:val="single" w:color="auto" w:sz="12" w:space="0"/>
                  </w:tcBorders>
                  <w:vAlign w:val="center"/>
                </w:tcPr>
                <w:p>
                  <w:pPr>
                    <w:adjustRightInd w:val="0"/>
                    <w:snapToGrid w:val="0"/>
                    <w:spacing w:line="326" w:lineRule="exact"/>
                    <w:jc w:val="center"/>
                    <w:rPr>
                      <w:sz w:val="21"/>
                      <w:szCs w:val="21"/>
                    </w:rPr>
                  </w:pPr>
                  <w:r>
                    <w:rPr>
                      <w:sz w:val="21"/>
                      <w:szCs w:val="21"/>
                    </w:rPr>
                    <w:t>GB3095-</w:t>
                  </w:r>
                  <w:r>
                    <w:rPr>
                      <w:rFonts w:hint="eastAsia"/>
                      <w:sz w:val="21"/>
                      <w:szCs w:val="21"/>
                    </w:rPr>
                    <w:t>2012</w:t>
                  </w:r>
                </w:p>
                <w:p>
                  <w:pPr>
                    <w:adjustRightInd w:val="0"/>
                    <w:snapToGrid w:val="0"/>
                    <w:spacing w:line="326" w:lineRule="exact"/>
                    <w:jc w:val="center"/>
                    <w:rPr>
                      <w:sz w:val="21"/>
                      <w:szCs w:val="21"/>
                    </w:rPr>
                  </w:pPr>
                  <w:r>
                    <w:rPr>
                      <w:rFonts w:hint="eastAsia"/>
                      <w:sz w:val="21"/>
                      <w:szCs w:val="21"/>
                    </w:rPr>
                    <w:t>一级标准</w:t>
                  </w:r>
                </w:p>
              </w:tc>
            </w:tr>
          </w:tbl>
          <w:p>
            <w:pPr>
              <w:pStyle w:val="6"/>
              <w:spacing w:line="240" w:lineRule="auto"/>
              <w:ind w:firstLine="480" w:firstLineChars="200"/>
              <w:rPr>
                <w:b w:val="0"/>
                <w:bCs w:val="0"/>
                <w:sz w:val="24"/>
                <w:szCs w:val="24"/>
              </w:rPr>
            </w:pPr>
            <w:r>
              <w:rPr>
                <w:rFonts w:hint="eastAsia"/>
                <w:b w:val="0"/>
                <w:bCs w:val="0"/>
                <w:sz w:val="24"/>
                <w:szCs w:val="24"/>
              </w:rPr>
              <w:t>2）</w:t>
            </w:r>
            <w:r>
              <w:rPr>
                <w:b w:val="0"/>
                <w:bCs w:val="0"/>
                <w:sz w:val="24"/>
                <w:szCs w:val="24"/>
              </w:rPr>
              <w:t>监测项目、时间、频率和方法</w:t>
            </w:r>
          </w:p>
          <w:p>
            <w:pPr>
              <w:pStyle w:val="6"/>
              <w:spacing w:line="240" w:lineRule="auto"/>
              <w:ind w:firstLine="480" w:firstLineChars="200"/>
              <w:rPr>
                <w:b w:val="0"/>
                <w:bCs w:val="0"/>
                <w:sz w:val="24"/>
                <w:szCs w:val="24"/>
              </w:rPr>
            </w:pPr>
            <w:r>
              <w:rPr>
                <w:rFonts w:hint="eastAsia" w:ascii="宋体" w:hAnsi="宋体" w:cs="宋体"/>
                <w:b w:val="0"/>
                <w:bCs w:val="0"/>
                <w:sz w:val="24"/>
                <w:szCs w:val="24"/>
              </w:rPr>
              <w:t>①</w:t>
            </w:r>
            <w:r>
              <w:rPr>
                <w:b w:val="0"/>
                <w:bCs w:val="0"/>
                <w:sz w:val="24"/>
                <w:szCs w:val="24"/>
              </w:rPr>
              <w:t xml:space="preserve"> 监测项目：SO</w:t>
            </w:r>
            <w:r>
              <w:rPr>
                <w:b w:val="0"/>
                <w:bCs w:val="0"/>
                <w:sz w:val="24"/>
                <w:szCs w:val="24"/>
                <w:vertAlign w:val="subscript"/>
              </w:rPr>
              <w:t>2</w:t>
            </w:r>
            <w:r>
              <w:rPr>
                <w:b w:val="0"/>
                <w:bCs w:val="0"/>
                <w:sz w:val="24"/>
                <w:szCs w:val="24"/>
              </w:rPr>
              <w:t>、NO</w:t>
            </w:r>
            <w:r>
              <w:rPr>
                <w:b w:val="0"/>
                <w:bCs w:val="0"/>
                <w:sz w:val="24"/>
                <w:szCs w:val="24"/>
                <w:vertAlign w:val="subscript"/>
              </w:rPr>
              <w:t>2</w:t>
            </w:r>
            <w:r>
              <w:rPr>
                <w:b w:val="0"/>
                <w:bCs w:val="0"/>
                <w:sz w:val="24"/>
                <w:szCs w:val="24"/>
              </w:rPr>
              <w:t>、PM</w:t>
            </w:r>
            <w:r>
              <w:rPr>
                <w:b w:val="0"/>
                <w:bCs w:val="0"/>
                <w:sz w:val="24"/>
                <w:szCs w:val="24"/>
                <w:vertAlign w:val="subscript"/>
              </w:rPr>
              <w:t>10</w:t>
            </w:r>
            <w:r>
              <w:rPr>
                <w:b w:val="0"/>
                <w:bCs w:val="0"/>
                <w:sz w:val="24"/>
                <w:szCs w:val="24"/>
              </w:rPr>
              <w:t>、TSP；</w:t>
            </w:r>
          </w:p>
          <w:p>
            <w:pPr>
              <w:pStyle w:val="6"/>
              <w:spacing w:line="360" w:lineRule="auto"/>
              <w:ind w:firstLine="480" w:firstLineChars="200"/>
              <w:rPr>
                <w:b w:val="0"/>
                <w:bCs w:val="0"/>
                <w:sz w:val="24"/>
                <w:szCs w:val="24"/>
              </w:rPr>
            </w:pPr>
            <w:r>
              <w:rPr>
                <w:rFonts w:hint="eastAsia"/>
                <w:b w:val="0"/>
                <w:bCs w:val="0"/>
                <w:sz w:val="24"/>
                <w:szCs w:val="24"/>
              </w:rPr>
              <w:t>②</w:t>
            </w:r>
            <w:r>
              <w:rPr>
                <w:b w:val="0"/>
                <w:bCs w:val="0"/>
                <w:sz w:val="24"/>
                <w:szCs w:val="24"/>
              </w:rPr>
              <w:t>监测时间、频次和方法： 2018年11月22～24日，连续监测7天，SO</w:t>
            </w:r>
            <w:r>
              <w:rPr>
                <w:b w:val="0"/>
                <w:bCs w:val="0"/>
                <w:sz w:val="24"/>
                <w:szCs w:val="24"/>
                <w:vertAlign w:val="subscript"/>
              </w:rPr>
              <w:t>2</w:t>
            </w:r>
            <w:r>
              <w:rPr>
                <w:b w:val="0"/>
                <w:bCs w:val="0"/>
                <w:sz w:val="24"/>
                <w:szCs w:val="24"/>
              </w:rPr>
              <w:t>、NO</w:t>
            </w:r>
            <w:r>
              <w:rPr>
                <w:b w:val="0"/>
                <w:bCs w:val="0"/>
                <w:sz w:val="24"/>
                <w:szCs w:val="24"/>
                <w:vertAlign w:val="subscript"/>
              </w:rPr>
              <w:t>2</w:t>
            </w:r>
            <w:r>
              <w:rPr>
                <w:b w:val="0"/>
                <w:bCs w:val="0"/>
                <w:sz w:val="24"/>
                <w:szCs w:val="24"/>
              </w:rPr>
              <w:t>为每天监测4次，每次监测1小时，监测起始时刻分别为2:00、8:00、14:00、20:00；TSP、PM</w:t>
            </w:r>
            <w:r>
              <w:rPr>
                <w:b w:val="0"/>
                <w:bCs w:val="0"/>
                <w:sz w:val="24"/>
                <w:szCs w:val="24"/>
                <w:vertAlign w:val="subscript"/>
              </w:rPr>
              <w:t>10</w:t>
            </w:r>
            <w:r>
              <w:rPr>
                <w:b w:val="0"/>
                <w:bCs w:val="0"/>
                <w:sz w:val="24"/>
                <w:szCs w:val="24"/>
              </w:rPr>
              <w:t>为每天监测1次，每天监测24小时，采样监测和分析方法按国家《环境监测技术规范》有关要求执行。</w:t>
            </w:r>
          </w:p>
          <w:p>
            <w:pPr>
              <w:pStyle w:val="6"/>
              <w:spacing w:line="240" w:lineRule="auto"/>
              <w:ind w:firstLine="480" w:firstLineChars="200"/>
              <w:rPr>
                <w:b w:val="0"/>
                <w:bCs w:val="0"/>
                <w:sz w:val="24"/>
                <w:szCs w:val="24"/>
              </w:rPr>
            </w:pPr>
            <w:r>
              <w:rPr>
                <w:b w:val="0"/>
                <w:bCs w:val="0"/>
                <w:sz w:val="24"/>
                <w:szCs w:val="24"/>
              </w:rPr>
              <w:t>3</w:t>
            </w:r>
            <w:r>
              <w:rPr>
                <w:rFonts w:hint="eastAsia"/>
                <w:b w:val="0"/>
                <w:bCs w:val="0"/>
                <w:sz w:val="24"/>
                <w:szCs w:val="24"/>
              </w:rPr>
              <w:t>）</w:t>
            </w:r>
            <w:r>
              <w:rPr>
                <w:b w:val="0"/>
                <w:bCs w:val="0"/>
                <w:sz w:val="24"/>
                <w:szCs w:val="24"/>
              </w:rPr>
              <w:t>监测结果统计分析</w:t>
            </w:r>
          </w:p>
          <w:p>
            <w:pPr>
              <w:pStyle w:val="6"/>
              <w:spacing w:line="240" w:lineRule="auto"/>
              <w:ind w:firstLine="480" w:firstLineChars="200"/>
              <w:rPr>
                <w:b w:val="0"/>
                <w:bCs w:val="0"/>
                <w:sz w:val="24"/>
                <w:szCs w:val="24"/>
              </w:rPr>
            </w:pPr>
            <w:r>
              <w:rPr>
                <w:b w:val="0"/>
                <w:bCs w:val="0"/>
                <w:sz w:val="24"/>
                <w:szCs w:val="24"/>
              </w:rPr>
              <w:t>分析SO</w:t>
            </w:r>
            <w:r>
              <w:rPr>
                <w:b w:val="0"/>
                <w:bCs w:val="0"/>
                <w:sz w:val="24"/>
                <w:szCs w:val="24"/>
                <w:vertAlign w:val="subscript"/>
              </w:rPr>
              <w:t>2</w:t>
            </w:r>
            <w:r>
              <w:rPr>
                <w:b w:val="0"/>
                <w:bCs w:val="0"/>
                <w:sz w:val="24"/>
                <w:szCs w:val="24"/>
              </w:rPr>
              <w:t>、NO</w:t>
            </w:r>
            <w:r>
              <w:rPr>
                <w:b w:val="0"/>
                <w:bCs w:val="0"/>
                <w:sz w:val="24"/>
                <w:szCs w:val="24"/>
                <w:vertAlign w:val="subscript"/>
              </w:rPr>
              <w:t>2</w:t>
            </w:r>
            <w:r>
              <w:rPr>
                <w:b w:val="0"/>
                <w:bCs w:val="0"/>
                <w:sz w:val="24"/>
                <w:szCs w:val="24"/>
              </w:rPr>
              <w:t>、PM</w:t>
            </w:r>
            <w:r>
              <w:rPr>
                <w:b w:val="0"/>
                <w:bCs w:val="0"/>
                <w:sz w:val="24"/>
                <w:szCs w:val="24"/>
                <w:vertAlign w:val="subscript"/>
              </w:rPr>
              <w:t>10</w:t>
            </w:r>
            <w:r>
              <w:rPr>
                <w:b w:val="0"/>
                <w:bCs w:val="0"/>
                <w:sz w:val="24"/>
                <w:szCs w:val="24"/>
              </w:rPr>
              <w:t>、TSP日均浓度变化范围、超标率及变化规律。监测结果统计见</w:t>
            </w:r>
            <w:r>
              <w:rPr>
                <w:rFonts w:hint="eastAsia"/>
                <w:b w:val="0"/>
                <w:bCs w:val="0"/>
                <w:sz w:val="24"/>
                <w:szCs w:val="24"/>
              </w:rPr>
              <w:t>下表。</w:t>
            </w:r>
          </w:p>
          <w:p>
            <w:pPr>
              <w:pStyle w:val="6"/>
              <w:spacing w:line="240" w:lineRule="auto"/>
              <w:ind w:firstLine="482" w:firstLineChars="200"/>
              <w:jc w:val="center"/>
              <w:rPr>
                <w:b w:val="0"/>
                <w:bCs w:val="0"/>
                <w:sz w:val="24"/>
                <w:szCs w:val="24"/>
              </w:rPr>
            </w:pPr>
            <w:r>
              <w:rPr>
                <w:sz w:val="24"/>
                <w:szCs w:val="24"/>
              </w:rPr>
              <w:t>表3</w:t>
            </w:r>
            <w:r>
              <w:rPr>
                <w:rFonts w:hint="eastAsia"/>
                <w:sz w:val="24"/>
                <w:szCs w:val="24"/>
              </w:rPr>
              <w:t>-3</w:t>
            </w:r>
            <w:r>
              <w:rPr>
                <w:sz w:val="24"/>
                <w:szCs w:val="24"/>
              </w:rPr>
              <w:t xml:space="preserve"> </w:t>
            </w:r>
            <w:r>
              <w:rPr>
                <w:rFonts w:hint="eastAsia"/>
                <w:sz w:val="24"/>
                <w:szCs w:val="24"/>
              </w:rPr>
              <w:t xml:space="preserve">  </w:t>
            </w:r>
            <w:r>
              <w:rPr>
                <w:sz w:val="24"/>
                <w:szCs w:val="24"/>
              </w:rPr>
              <w:t>环境空气质量</w:t>
            </w:r>
            <w:r>
              <w:rPr>
                <w:rFonts w:hint="eastAsia"/>
                <w:sz w:val="24"/>
                <w:szCs w:val="24"/>
              </w:rPr>
              <w:t>现状</w:t>
            </w:r>
            <w:r>
              <w:rPr>
                <w:sz w:val="24"/>
                <w:szCs w:val="24"/>
              </w:rPr>
              <w:t>监测结果统计表</w:t>
            </w:r>
            <w:r>
              <w:rPr>
                <w:rFonts w:hint="eastAsia"/>
                <w:sz w:val="24"/>
                <w:szCs w:val="24"/>
              </w:rPr>
              <w:t xml:space="preserve">    </w:t>
            </w:r>
            <w:r>
              <w:rPr>
                <w:sz w:val="24"/>
                <w:szCs w:val="24"/>
              </w:rPr>
              <w:t>单位：</w:t>
            </w:r>
            <w:r>
              <w:rPr>
                <w:rFonts w:hint="eastAsia"/>
                <w:kern w:val="24"/>
                <w:sz w:val="24"/>
                <w:szCs w:val="24"/>
              </w:rPr>
              <w:t>u</w:t>
            </w:r>
            <w:r>
              <w:rPr>
                <w:kern w:val="24"/>
                <w:sz w:val="24"/>
                <w:szCs w:val="24"/>
              </w:rPr>
              <w:t>g/</w:t>
            </w:r>
            <w:r>
              <w:rPr>
                <w:rFonts w:hint="eastAsia"/>
                <w:kern w:val="24"/>
                <w:sz w:val="24"/>
                <w:szCs w:val="24"/>
              </w:rPr>
              <w:t>Nm</w:t>
            </w:r>
            <w:r>
              <w:rPr>
                <w:rFonts w:hint="eastAsia"/>
                <w:kern w:val="24"/>
                <w:sz w:val="24"/>
                <w:szCs w:val="24"/>
                <w:vertAlign w:val="superscript"/>
              </w:rPr>
              <w:t>3</w:t>
            </w:r>
          </w:p>
          <w:tbl>
            <w:tblPr>
              <w:tblStyle w:val="44"/>
              <w:tblW w:w="0" w:type="auto"/>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327"/>
              <w:gridCol w:w="1833"/>
              <w:gridCol w:w="1343"/>
              <w:gridCol w:w="1343"/>
              <w:gridCol w:w="1427"/>
              <w:gridCol w:w="1383"/>
              <w:gridCol w:w="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trHeight w:val="316" w:hRule="atLeast"/>
                <w:jc w:val="center"/>
              </w:trPr>
              <w:tc>
                <w:tcPr>
                  <w:tcW w:w="1327" w:type="dxa"/>
                  <w:tcBorders>
                    <w:top w:val="single" w:color="auto" w:sz="12" w:space="0"/>
                    <w:bottom w:val="single" w:color="auto" w:sz="4" w:space="0"/>
                    <w:right w:val="single" w:color="auto" w:sz="4" w:space="0"/>
                  </w:tcBorders>
                  <w:vAlign w:val="center"/>
                </w:tcPr>
                <w:p>
                  <w:pPr>
                    <w:jc w:val="center"/>
                    <w:rPr>
                      <w:sz w:val="21"/>
                      <w:szCs w:val="21"/>
                    </w:rPr>
                  </w:pPr>
                  <w:r>
                    <w:rPr>
                      <w:sz w:val="21"/>
                      <w:szCs w:val="21"/>
                    </w:rPr>
                    <w:t>监测点位</w:t>
                  </w:r>
                </w:p>
              </w:tc>
              <w:tc>
                <w:tcPr>
                  <w:tcW w:w="1833" w:type="dxa"/>
                  <w:tcBorders>
                    <w:top w:val="single" w:color="auto" w:sz="12" w:space="0"/>
                    <w:left w:val="single" w:color="auto" w:sz="4" w:space="0"/>
                    <w:bottom w:val="single" w:color="auto" w:sz="4" w:space="0"/>
                    <w:right w:val="single" w:color="auto" w:sz="4" w:space="0"/>
                  </w:tcBorders>
                  <w:vAlign w:val="center"/>
                </w:tcPr>
                <w:p>
                  <w:pPr>
                    <w:jc w:val="center"/>
                    <w:rPr>
                      <w:sz w:val="21"/>
                      <w:szCs w:val="21"/>
                    </w:rPr>
                  </w:pPr>
                  <w:r>
                    <w:rPr>
                      <w:sz w:val="21"/>
                      <w:szCs w:val="21"/>
                    </w:rPr>
                    <w:t>统计项</w:t>
                  </w:r>
                </w:p>
              </w:tc>
              <w:tc>
                <w:tcPr>
                  <w:tcW w:w="1343" w:type="dxa"/>
                  <w:tcBorders>
                    <w:top w:val="single" w:color="auto" w:sz="12" w:space="0"/>
                    <w:left w:val="single" w:color="auto" w:sz="4" w:space="0"/>
                    <w:bottom w:val="single" w:color="auto" w:sz="4" w:space="0"/>
                    <w:right w:val="single" w:color="auto" w:sz="4" w:space="0"/>
                  </w:tcBorders>
                  <w:vAlign w:val="center"/>
                </w:tcPr>
                <w:p>
                  <w:pPr>
                    <w:jc w:val="center"/>
                    <w:rPr>
                      <w:sz w:val="21"/>
                      <w:szCs w:val="21"/>
                    </w:rPr>
                  </w:pPr>
                  <w:r>
                    <w:rPr>
                      <w:sz w:val="21"/>
                      <w:szCs w:val="21"/>
                    </w:rPr>
                    <w:t>SO</w:t>
                  </w:r>
                  <w:r>
                    <w:rPr>
                      <w:sz w:val="21"/>
                      <w:szCs w:val="21"/>
                      <w:vertAlign w:val="subscript"/>
                    </w:rPr>
                    <w:t>2</w:t>
                  </w:r>
                </w:p>
              </w:tc>
              <w:tc>
                <w:tcPr>
                  <w:tcW w:w="1343" w:type="dxa"/>
                  <w:tcBorders>
                    <w:top w:val="single" w:color="auto" w:sz="12" w:space="0"/>
                    <w:left w:val="single" w:color="auto" w:sz="4" w:space="0"/>
                    <w:bottom w:val="single" w:color="auto" w:sz="4" w:space="0"/>
                    <w:right w:val="single" w:color="auto" w:sz="4" w:space="0"/>
                  </w:tcBorders>
                  <w:vAlign w:val="center"/>
                </w:tcPr>
                <w:p>
                  <w:pPr>
                    <w:jc w:val="center"/>
                    <w:rPr>
                      <w:sz w:val="21"/>
                      <w:szCs w:val="21"/>
                    </w:rPr>
                  </w:pPr>
                  <w:r>
                    <w:rPr>
                      <w:sz w:val="21"/>
                      <w:szCs w:val="21"/>
                    </w:rPr>
                    <w:t>NO</w:t>
                  </w:r>
                  <w:r>
                    <w:rPr>
                      <w:sz w:val="21"/>
                      <w:szCs w:val="21"/>
                      <w:vertAlign w:val="subscript"/>
                    </w:rPr>
                    <w:t>2</w:t>
                  </w:r>
                </w:p>
              </w:tc>
              <w:tc>
                <w:tcPr>
                  <w:tcW w:w="1427" w:type="dxa"/>
                  <w:tcBorders>
                    <w:top w:val="single" w:color="auto" w:sz="12" w:space="0"/>
                    <w:left w:val="single" w:color="auto" w:sz="4" w:space="0"/>
                    <w:bottom w:val="single" w:color="auto" w:sz="4" w:space="0"/>
                    <w:right w:val="single" w:color="auto" w:sz="4" w:space="0"/>
                  </w:tcBorders>
                  <w:vAlign w:val="center"/>
                </w:tcPr>
                <w:p>
                  <w:pPr>
                    <w:jc w:val="center"/>
                    <w:rPr>
                      <w:sz w:val="21"/>
                      <w:szCs w:val="21"/>
                    </w:rPr>
                  </w:pPr>
                  <w:r>
                    <w:rPr>
                      <w:sz w:val="21"/>
                      <w:szCs w:val="21"/>
                    </w:rPr>
                    <w:t>PM</w:t>
                  </w:r>
                  <w:r>
                    <w:rPr>
                      <w:sz w:val="21"/>
                      <w:szCs w:val="21"/>
                      <w:vertAlign w:val="subscript"/>
                    </w:rPr>
                    <w:t>10</w:t>
                  </w:r>
                </w:p>
              </w:tc>
              <w:tc>
                <w:tcPr>
                  <w:tcW w:w="1383" w:type="dxa"/>
                  <w:tcBorders>
                    <w:top w:val="single" w:color="auto" w:sz="12" w:space="0"/>
                    <w:left w:val="single" w:color="auto" w:sz="4" w:space="0"/>
                    <w:bottom w:val="single" w:color="auto" w:sz="4" w:space="0"/>
                  </w:tcBorders>
                  <w:vAlign w:val="center"/>
                </w:tcPr>
                <w:p>
                  <w:pPr>
                    <w:jc w:val="center"/>
                    <w:rPr>
                      <w:sz w:val="21"/>
                      <w:szCs w:val="21"/>
                    </w:rPr>
                  </w:pPr>
                  <w:r>
                    <w:rPr>
                      <w:sz w:val="21"/>
                      <w:szCs w:val="21"/>
                    </w:rPr>
                    <w:t>TSP</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trHeight w:val="316" w:hRule="atLeast"/>
                <w:jc w:val="center"/>
              </w:trPr>
              <w:tc>
                <w:tcPr>
                  <w:tcW w:w="1327" w:type="dxa"/>
                  <w:vMerge w:val="restart"/>
                  <w:tcBorders>
                    <w:top w:val="single" w:color="auto" w:sz="4" w:space="0"/>
                    <w:right w:val="single" w:color="auto" w:sz="4" w:space="0"/>
                  </w:tcBorders>
                  <w:vAlign w:val="center"/>
                </w:tcPr>
                <w:p>
                  <w:pPr>
                    <w:spacing w:line="240" w:lineRule="exact"/>
                    <w:ind w:left="315" w:hanging="315" w:hangingChars="150"/>
                    <w:jc w:val="center"/>
                    <w:rPr>
                      <w:sz w:val="21"/>
                      <w:szCs w:val="21"/>
                    </w:rPr>
                  </w:pPr>
                  <w:r>
                    <w:rPr>
                      <w:rFonts w:hint="eastAsia"/>
                      <w:sz w:val="21"/>
                      <w:szCs w:val="21"/>
                    </w:rPr>
                    <w:t>A</w:t>
                  </w:r>
                  <w:r>
                    <w:rPr>
                      <w:sz w:val="21"/>
                      <w:szCs w:val="21"/>
                    </w:rPr>
                    <w:t>1</w:t>
                  </w:r>
                  <w:r>
                    <w:rPr>
                      <w:rFonts w:hint="eastAsia"/>
                      <w:sz w:val="21"/>
                      <w:szCs w:val="21"/>
                    </w:rPr>
                    <w:t>洪市村</w:t>
                  </w:r>
                </w:p>
              </w:tc>
              <w:tc>
                <w:tcPr>
                  <w:tcW w:w="1833"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1"/>
                      <w:szCs w:val="21"/>
                    </w:rPr>
                  </w:pPr>
                  <w:r>
                    <w:rPr>
                      <w:sz w:val="21"/>
                      <w:szCs w:val="21"/>
                    </w:rPr>
                    <w:t>浓度范围</w:t>
                  </w:r>
                </w:p>
              </w:tc>
              <w:tc>
                <w:tcPr>
                  <w:tcW w:w="1343"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1"/>
                      <w:szCs w:val="21"/>
                    </w:rPr>
                  </w:pPr>
                  <w:r>
                    <w:rPr>
                      <w:rFonts w:hint="eastAsia"/>
                      <w:sz w:val="21"/>
                      <w:szCs w:val="21"/>
                    </w:rPr>
                    <w:t>23-26</w:t>
                  </w:r>
                </w:p>
              </w:tc>
              <w:tc>
                <w:tcPr>
                  <w:tcW w:w="1343"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1"/>
                      <w:szCs w:val="21"/>
                    </w:rPr>
                  </w:pPr>
                  <w:r>
                    <w:rPr>
                      <w:rFonts w:hint="eastAsia"/>
                      <w:sz w:val="21"/>
                      <w:szCs w:val="21"/>
                    </w:rPr>
                    <w:t>25-28</w:t>
                  </w:r>
                </w:p>
              </w:tc>
              <w:tc>
                <w:tcPr>
                  <w:tcW w:w="1427"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1"/>
                      <w:szCs w:val="21"/>
                    </w:rPr>
                  </w:pPr>
                  <w:r>
                    <w:rPr>
                      <w:rFonts w:hint="eastAsia"/>
                      <w:sz w:val="21"/>
                      <w:szCs w:val="21"/>
                    </w:rPr>
                    <w:t>32-37</w:t>
                  </w:r>
                </w:p>
              </w:tc>
              <w:tc>
                <w:tcPr>
                  <w:tcW w:w="1383" w:type="dxa"/>
                  <w:tcBorders>
                    <w:top w:val="single" w:color="auto" w:sz="4" w:space="0"/>
                    <w:left w:val="single" w:color="auto" w:sz="4" w:space="0"/>
                    <w:bottom w:val="single" w:color="auto" w:sz="4" w:space="0"/>
                  </w:tcBorders>
                  <w:vAlign w:val="center"/>
                </w:tcPr>
                <w:p>
                  <w:pPr>
                    <w:spacing w:line="0" w:lineRule="atLeast"/>
                    <w:jc w:val="center"/>
                    <w:rPr>
                      <w:sz w:val="21"/>
                      <w:szCs w:val="21"/>
                    </w:rPr>
                  </w:pPr>
                  <w:r>
                    <w:rPr>
                      <w:rFonts w:hint="eastAsia"/>
                      <w:sz w:val="21"/>
                      <w:szCs w:val="21"/>
                    </w:rPr>
                    <w:t>102-112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trHeight w:val="316" w:hRule="atLeast"/>
                <w:jc w:val="center"/>
              </w:trPr>
              <w:tc>
                <w:tcPr>
                  <w:tcW w:w="1327" w:type="dxa"/>
                  <w:vMerge w:val="continue"/>
                  <w:tcBorders>
                    <w:right w:val="single" w:color="auto" w:sz="4" w:space="0"/>
                  </w:tcBorders>
                  <w:vAlign w:val="center"/>
                </w:tcPr>
                <w:p>
                  <w:pPr>
                    <w:spacing w:line="0" w:lineRule="atLeast"/>
                    <w:jc w:val="center"/>
                    <w:rPr>
                      <w:sz w:val="21"/>
                      <w:szCs w:val="21"/>
                    </w:rPr>
                  </w:pPr>
                </w:p>
              </w:tc>
              <w:tc>
                <w:tcPr>
                  <w:tcW w:w="1833"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1"/>
                      <w:szCs w:val="21"/>
                    </w:rPr>
                  </w:pPr>
                  <w:r>
                    <w:rPr>
                      <w:sz w:val="21"/>
                      <w:szCs w:val="21"/>
                    </w:rPr>
                    <w:t>日均值</w:t>
                  </w:r>
                </w:p>
              </w:tc>
              <w:tc>
                <w:tcPr>
                  <w:tcW w:w="1343"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rFonts w:hint="eastAsia"/>
                      <w:sz w:val="21"/>
                      <w:szCs w:val="21"/>
                    </w:rPr>
                    <w:t>24</w:t>
                  </w:r>
                </w:p>
              </w:tc>
              <w:tc>
                <w:tcPr>
                  <w:tcW w:w="1343"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rFonts w:hint="eastAsia"/>
                      <w:sz w:val="21"/>
                      <w:szCs w:val="21"/>
                    </w:rPr>
                    <w:t>26.1</w:t>
                  </w:r>
                </w:p>
              </w:tc>
              <w:tc>
                <w:tcPr>
                  <w:tcW w:w="1427"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rFonts w:hint="eastAsia"/>
                      <w:sz w:val="21"/>
                      <w:szCs w:val="21"/>
                    </w:rPr>
                    <w:t>34.4</w:t>
                  </w:r>
                </w:p>
              </w:tc>
              <w:tc>
                <w:tcPr>
                  <w:tcW w:w="1383" w:type="dxa"/>
                  <w:tcBorders>
                    <w:top w:val="single" w:color="auto" w:sz="4" w:space="0"/>
                    <w:left w:val="single" w:color="auto" w:sz="4" w:space="0"/>
                    <w:bottom w:val="single" w:color="auto" w:sz="4" w:space="0"/>
                  </w:tcBorders>
                  <w:vAlign w:val="center"/>
                </w:tcPr>
                <w:p>
                  <w:pPr>
                    <w:jc w:val="center"/>
                    <w:rPr>
                      <w:sz w:val="21"/>
                      <w:szCs w:val="21"/>
                    </w:rPr>
                  </w:pPr>
                  <w:r>
                    <w:rPr>
                      <w:rFonts w:hint="eastAsia"/>
                      <w:sz w:val="21"/>
                      <w:szCs w:val="21"/>
                    </w:rPr>
                    <w:t>106.3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trHeight w:val="316" w:hRule="atLeast"/>
                <w:jc w:val="center"/>
              </w:trPr>
              <w:tc>
                <w:tcPr>
                  <w:tcW w:w="1327" w:type="dxa"/>
                  <w:vMerge w:val="continue"/>
                  <w:tcBorders>
                    <w:right w:val="single" w:color="auto" w:sz="4" w:space="0"/>
                  </w:tcBorders>
                  <w:vAlign w:val="center"/>
                </w:tcPr>
                <w:p>
                  <w:pPr>
                    <w:spacing w:line="0" w:lineRule="atLeast"/>
                    <w:jc w:val="center"/>
                    <w:rPr>
                      <w:sz w:val="21"/>
                      <w:szCs w:val="21"/>
                    </w:rPr>
                  </w:pPr>
                </w:p>
              </w:tc>
              <w:tc>
                <w:tcPr>
                  <w:tcW w:w="1833"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1"/>
                      <w:szCs w:val="21"/>
                    </w:rPr>
                  </w:pPr>
                  <w:r>
                    <w:rPr>
                      <w:sz w:val="21"/>
                      <w:szCs w:val="21"/>
                    </w:rPr>
                    <w:t>超标率</w:t>
                  </w:r>
                </w:p>
              </w:tc>
              <w:tc>
                <w:tcPr>
                  <w:tcW w:w="1343"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1"/>
                      <w:szCs w:val="21"/>
                    </w:rPr>
                  </w:pPr>
                  <w:r>
                    <w:rPr>
                      <w:sz w:val="21"/>
                      <w:szCs w:val="21"/>
                    </w:rPr>
                    <w:t>0</w:t>
                  </w:r>
                </w:p>
              </w:tc>
              <w:tc>
                <w:tcPr>
                  <w:tcW w:w="1343"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1"/>
                      <w:szCs w:val="21"/>
                    </w:rPr>
                  </w:pPr>
                  <w:r>
                    <w:rPr>
                      <w:sz w:val="21"/>
                      <w:szCs w:val="21"/>
                    </w:rPr>
                    <w:t>0</w:t>
                  </w:r>
                </w:p>
              </w:tc>
              <w:tc>
                <w:tcPr>
                  <w:tcW w:w="1427"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1"/>
                      <w:szCs w:val="21"/>
                    </w:rPr>
                  </w:pPr>
                  <w:r>
                    <w:rPr>
                      <w:sz w:val="21"/>
                      <w:szCs w:val="21"/>
                    </w:rPr>
                    <w:t>0</w:t>
                  </w:r>
                </w:p>
              </w:tc>
              <w:tc>
                <w:tcPr>
                  <w:tcW w:w="1383" w:type="dxa"/>
                  <w:tcBorders>
                    <w:top w:val="single" w:color="auto" w:sz="4" w:space="0"/>
                    <w:left w:val="single" w:color="auto" w:sz="4" w:space="0"/>
                    <w:bottom w:val="single" w:color="auto" w:sz="4" w:space="0"/>
                  </w:tcBorders>
                  <w:vAlign w:val="center"/>
                </w:tcPr>
                <w:p>
                  <w:pPr>
                    <w:spacing w:line="0" w:lineRule="atLeast"/>
                    <w:jc w:val="center"/>
                    <w:rPr>
                      <w:sz w:val="21"/>
                      <w:szCs w:val="21"/>
                    </w:rPr>
                  </w:pPr>
                  <w:r>
                    <w:rPr>
                      <w:sz w:val="21"/>
                      <w:szCs w:val="21"/>
                    </w:rPr>
                    <w:t>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trHeight w:val="316" w:hRule="atLeast"/>
                <w:jc w:val="center"/>
              </w:trPr>
              <w:tc>
                <w:tcPr>
                  <w:tcW w:w="1327" w:type="dxa"/>
                  <w:vMerge w:val="continue"/>
                  <w:tcBorders>
                    <w:bottom w:val="single" w:color="auto" w:sz="4" w:space="0"/>
                    <w:right w:val="single" w:color="auto" w:sz="4" w:space="0"/>
                  </w:tcBorders>
                  <w:vAlign w:val="center"/>
                </w:tcPr>
                <w:p>
                  <w:pPr>
                    <w:spacing w:line="0" w:lineRule="atLeast"/>
                    <w:jc w:val="center"/>
                    <w:rPr>
                      <w:sz w:val="21"/>
                      <w:szCs w:val="21"/>
                    </w:rPr>
                  </w:pPr>
                </w:p>
              </w:tc>
              <w:tc>
                <w:tcPr>
                  <w:tcW w:w="1833"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1"/>
                      <w:szCs w:val="21"/>
                    </w:rPr>
                  </w:pPr>
                  <w:r>
                    <w:rPr>
                      <w:rFonts w:hint="eastAsia"/>
                      <w:sz w:val="21"/>
                      <w:szCs w:val="21"/>
                    </w:rPr>
                    <w:t>单因子指数</w:t>
                  </w:r>
                </w:p>
              </w:tc>
              <w:tc>
                <w:tcPr>
                  <w:tcW w:w="1343"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1"/>
                      <w:szCs w:val="21"/>
                    </w:rPr>
                  </w:pPr>
                  <w:r>
                    <w:rPr>
                      <w:rFonts w:hint="eastAsia"/>
                      <w:sz w:val="21"/>
                      <w:szCs w:val="21"/>
                    </w:rPr>
                    <w:t>0.46-0.52</w:t>
                  </w:r>
                </w:p>
              </w:tc>
              <w:tc>
                <w:tcPr>
                  <w:tcW w:w="1343"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1"/>
                      <w:szCs w:val="21"/>
                    </w:rPr>
                  </w:pPr>
                  <w:r>
                    <w:rPr>
                      <w:rFonts w:hint="eastAsia"/>
                      <w:sz w:val="21"/>
                      <w:szCs w:val="21"/>
                    </w:rPr>
                    <w:t>0.31-0.35</w:t>
                  </w:r>
                </w:p>
              </w:tc>
              <w:tc>
                <w:tcPr>
                  <w:tcW w:w="1427"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1"/>
                      <w:szCs w:val="21"/>
                    </w:rPr>
                  </w:pPr>
                  <w:r>
                    <w:rPr>
                      <w:rFonts w:hint="eastAsia"/>
                      <w:sz w:val="21"/>
                      <w:szCs w:val="21"/>
                    </w:rPr>
                    <w:t>0.64-0.74</w:t>
                  </w:r>
                </w:p>
              </w:tc>
              <w:tc>
                <w:tcPr>
                  <w:tcW w:w="1383" w:type="dxa"/>
                  <w:tcBorders>
                    <w:top w:val="single" w:color="auto" w:sz="4" w:space="0"/>
                    <w:left w:val="single" w:color="auto" w:sz="4" w:space="0"/>
                    <w:bottom w:val="single" w:color="auto" w:sz="4" w:space="0"/>
                  </w:tcBorders>
                  <w:vAlign w:val="center"/>
                </w:tcPr>
                <w:p>
                  <w:pPr>
                    <w:spacing w:line="0" w:lineRule="atLeast"/>
                    <w:jc w:val="center"/>
                    <w:rPr>
                      <w:sz w:val="21"/>
                      <w:szCs w:val="21"/>
                    </w:rPr>
                  </w:pPr>
                  <w:r>
                    <w:rPr>
                      <w:rFonts w:hint="eastAsia"/>
                      <w:sz w:val="21"/>
                      <w:szCs w:val="21"/>
                    </w:rPr>
                    <w:t>0.85-0.93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19" w:hRule="atLeast"/>
                <w:jc w:val="center"/>
              </w:trPr>
              <w:tc>
                <w:tcPr>
                  <w:tcW w:w="1327" w:type="dxa"/>
                  <w:vAlign w:val="center"/>
                </w:tcPr>
                <w:p>
                  <w:pPr>
                    <w:spacing w:line="0" w:lineRule="atLeast"/>
                    <w:jc w:val="center"/>
                    <w:rPr>
                      <w:sz w:val="21"/>
                      <w:szCs w:val="21"/>
                    </w:rPr>
                  </w:pPr>
                  <w:r>
                    <w:rPr>
                      <w:rFonts w:hint="eastAsia"/>
                      <w:sz w:val="21"/>
                      <w:szCs w:val="21"/>
                    </w:rPr>
                    <w:t>一</w:t>
                  </w:r>
                  <w:r>
                    <w:rPr>
                      <w:sz w:val="21"/>
                      <w:szCs w:val="21"/>
                    </w:rPr>
                    <w:t>级</w:t>
                  </w:r>
                </w:p>
              </w:tc>
              <w:tc>
                <w:tcPr>
                  <w:tcW w:w="1833" w:type="dxa"/>
                  <w:vAlign w:val="center"/>
                </w:tcPr>
                <w:p>
                  <w:pPr>
                    <w:spacing w:line="0" w:lineRule="atLeast"/>
                    <w:jc w:val="center"/>
                    <w:rPr>
                      <w:sz w:val="21"/>
                      <w:szCs w:val="21"/>
                    </w:rPr>
                  </w:pPr>
                  <w:r>
                    <w:rPr>
                      <w:sz w:val="21"/>
                      <w:szCs w:val="21"/>
                    </w:rPr>
                    <w:t>日平均浓度限值</w:t>
                  </w:r>
                </w:p>
              </w:tc>
              <w:tc>
                <w:tcPr>
                  <w:tcW w:w="1343" w:type="dxa"/>
                  <w:vAlign w:val="center"/>
                </w:tcPr>
                <w:p>
                  <w:pPr>
                    <w:spacing w:line="0" w:lineRule="atLeast"/>
                    <w:jc w:val="center"/>
                    <w:rPr>
                      <w:sz w:val="21"/>
                      <w:szCs w:val="21"/>
                    </w:rPr>
                  </w:pPr>
                  <w:r>
                    <w:rPr>
                      <w:rFonts w:hint="eastAsia"/>
                      <w:sz w:val="21"/>
                      <w:szCs w:val="21"/>
                    </w:rPr>
                    <w:t>50</w:t>
                  </w:r>
                </w:p>
              </w:tc>
              <w:tc>
                <w:tcPr>
                  <w:tcW w:w="1343" w:type="dxa"/>
                  <w:vAlign w:val="center"/>
                </w:tcPr>
                <w:p>
                  <w:pPr>
                    <w:spacing w:line="0" w:lineRule="atLeast"/>
                    <w:jc w:val="center"/>
                    <w:rPr>
                      <w:sz w:val="21"/>
                      <w:szCs w:val="21"/>
                    </w:rPr>
                  </w:pPr>
                  <w:r>
                    <w:rPr>
                      <w:rFonts w:hint="eastAsia"/>
                      <w:sz w:val="21"/>
                      <w:szCs w:val="21"/>
                    </w:rPr>
                    <w:t>80</w:t>
                  </w:r>
                </w:p>
              </w:tc>
              <w:tc>
                <w:tcPr>
                  <w:tcW w:w="1427" w:type="dxa"/>
                  <w:vAlign w:val="center"/>
                </w:tcPr>
                <w:p>
                  <w:pPr>
                    <w:spacing w:line="0" w:lineRule="atLeast"/>
                    <w:jc w:val="center"/>
                    <w:rPr>
                      <w:sz w:val="21"/>
                      <w:szCs w:val="21"/>
                    </w:rPr>
                  </w:pPr>
                  <w:r>
                    <w:rPr>
                      <w:rFonts w:hint="eastAsia"/>
                      <w:sz w:val="21"/>
                      <w:szCs w:val="21"/>
                    </w:rPr>
                    <w:t>50</w:t>
                  </w:r>
                </w:p>
              </w:tc>
              <w:tc>
                <w:tcPr>
                  <w:tcW w:w="1391" w:type="dxa"/>
                  <w:gridSpan w:val="2"/>
                  <w:vAlign w:val="center"/>
                </w:tcPr>
                <w:p>
                  <w:pPr>
                    <w:spacing w:line="0" w:lineRule="atLeast"/>
                    <w:jc w:val="center"/>
                    <w:rPr>
                      <w:sz w:val="21"/>
                      <w:szCs w:val="21"/>
                    </w:rPr>
                  </w:pPr>
                  <w:r>
                    <w:rPr>
                      <w:rFonts w:hint="eastAsia"/>
                      <w:sz w:val="21"/>
                      <w:szCs w:val="21"/>
                    </w:rPr>
                    <w:t>120</w:t>
                  </w:r>
                </w:p>
              </w:tc>
            </w:tr>
          </w:tbl>
          <w:p>
            <w:pPr>
              <w:pStyle w:val="6"/>
              <w:spacing w:line="360" w:lineRule="auto"/>
              <w:ind w:firstLine="480" w:firstLineChars="200"/>
              <w:rPr>
                <w:b w:val="0"/>
                <w:bCs w:val="0"/>
                <w:sz w:val="24"/>
                <w:szCs w:val="24"/>
              </w:rPr>
            </w:pPr>
            <w:r>
              <w:rPr>
                <w:b w:val="0"/>
                <w:bCs w:val="0"/>
                <w:sz w:val="24"/>
                <w:szCs w:val="24"/>
              </w:rPr>
              <w:t>由于本项目监测点（A1）位于湖南东洞庭湖国家级自然保护区内，上述段区域属于大气环境功能一类区，环境空气质量执行《环境空气质量标准》(GB3095-2012)一级标准，A1点位</w:t>
            </w:r>
            <w:r>
              <w:rPr>
                <w:rFonts w:hint="eastAsia"/>
                <w:b w:val="0"/>
                <w:bCs w:val="0"/>
                <w:sz w:val="24"/>
                <w:szCs w:val="24"/>
              </w:rPr>
              <w:t>各项指标</w:t>
            </w:r>
            <w:r>
              <w:rPr>
                <w:b w:val="0"/>
                <w:bCs w:val="0"/>
                <w:sz w:val="24"/>
                <w:szCs w:val="24"/>
              </w:rPr>
              <w:t>能够满足《环境空气质量标准》(GB3095-2012)一级标准，区域环境空气质量较好。</w:t>
            </w:r>
          </w:p>
          <w:p>
            <w:pPr>
              <w:spacing w:before="163" w:beforeLines="50"/>
              <w:ind w:firstLine="482" w:firstLineChars="200"/>
              <w:outlineLvl w:val="1"/>
              <w:rPr>
                <w:b/>
                <w:szCs w:val="28"/>
              </w:rPr>
            </w:pPr>
            <w:bookmarkStart w:id="6" w:name="_Toc27045"/>
            <w:bookmarkStart w:id="7" w:name="_Toc358185353"/>
            <w:r>
              <w:rPr>
                <w:b/>
                <w:szCs w:val="28"/>
              </w:rPr>
              <w:t>2</w:t>
            </w:r>
            <w:r>
              <w:rPr>
                <w:rFonts w:hint="eastAsia"/>
                <w:b/>
                <w:szCs w:val="28"/>
              </w:rPr>
              <w:t>、</w:t>
            </w:r>
            <w:r>
              <w:rPr>
                <w:b/>
                <w:szCs w:val="28"/>
              </w:rPr>
              <w:t>声环境质量现状</w:t>
            </w:r>
            <w:r>
              <w:rPr>
                <w:rFonts w:hint="eastAsia"/>
                <w:b/>
                <w:szCs w:val="28"/>
              </w:rPr>
              <w:t>监测</w:t>
            </w:r>
            <w:r>
              <w:rPr>
                <w:b/>
                <w:szCs w:val="28"/>
              </w:rPr>
              <w:t>与评价</w:t>
            </w:r>
            <w:bookmarkEnd w:id="6"/>
            <w:bookmarkEnd w:id="7"/>
          </w:p>
          <w:p>
            <w:pPr>
              <w:spacing w:line="360" w:lineRule="auto"/>
              <w:ind w:firstLine="482" w:firstLineChars="200"/>
              <w:outlineLvl w:val="2"/>
              <w:rPr>
                <w:b/>
              </w:rPr>
            </w:pPr>
            <w:bookmarkStart w:id="8" w:name="_Toc358185355"/>
            <w:r>
              <w:rPr>
                <w:b/>
              </w:rPr>
              <w:t>2.</w:t>
            </w:r>
            <w:r>
              <w:rPr>
                <w:rFonts w:hint="eastAsia"/>
                <w:b/>
              </w:rPr>
              <w:t>1</w:t>
            </w:r>
            <w:r>
              <w:rPr>
                <w:b/>
              </w:rPr>
              <w:t xml:space="preserve"> 声环境质量现状</w:t>
            </w:r>
            <w:r>
              <w:rPr>
                <w:rFonts w:hint="eastAsia"/>
                <w:b/>
              </w:rPr>
              <w:t>监测</w:t>
            </w:r>
            <w:bookmarkEnd w:id="8"/>
          </w:p>
          <w:p>
            <w:pPr>
              <w:spacing w:line="360" w:lineRule="auto"/>
              <w:ind w:right="240" w:rightChars="100" w:firstLine="482" w:firstLineChars="200"/>
              <w:rPr>
                <w:b/>
                <w:kern w:val="24"/>
              </w:rPr>
            </w:pPr>
            <w:r>
              <w:rPr>
                <w:b/>
                <w:kern w:val="24"/>
              </w:rPr>
              <w:t>2. 1.1监测布点</w:t>
            </w:r>
          </w:p>
          <w:p>
            <w:pPr>
              <w:spacing w:line="360" w:lineRule="auto"/>
              <w:ind w:right="240" w:rightChars="100" w:firstLine="480" w:firstLineChars="200"/>
              <w:rPr>
                <w:kern w:val="24"/>
              </w:rPr>
            </w:pPr>
            <w:r>
              <w:rPr>
                <w:rFonts w:hint="eastAsia"/>
                <w:kern w:val="24"/>
              </w:rPr>
              <w:t>本项目依托取水泵站为洪水港取水泵站，与</w:t>
            </w:r>
            <w:r>
              <w:rPr>
                <w:rFonts w:hint="eastAsia"/>
              </w:rPr>
              <w:t>《岳阳市长江补水工程（一期工程）环境影响报告书》中的取水泵站为同一取水泵站，因此本项目引用该项目中的声环境现状监测数据。</w:t>
            </w:r>
          </w:p>
          <w:tbl>
            <w:tblPr>
              <w:tblStyle w:val="44"/>
              <w:tblpPr w:leftFromText="180" w:rightFromText="180" w:vertAnchor="text" w:horzAnchor="margin" w:tblpY="388"/>
              <w:tblOverlap w:val="never"/>
              <w:tblW w:w="5000" w:type="pct"/>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1219"/>
              <w:gridCol w:w="2725"/>
              <w:gridCol w:w="2719"/>
              <w:gridCol w:w="2164"/>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90" w:type="pct"/>
                  <w:vMerge w:val="restart"/>
                  <w:tcBorders>
                    <w:top w:val="single" w:color="000000" w:sz="12" w:space="0"/>
                  </w:tcBorders>
                  <w:vAlign w:val="center"/>
                </w:tcPr>
                <w:p>
                  <w:pPr>
                    <w:adjustRightInd w:val="0"/>
                    <w:snapToGrid w:val="0"/>
                    <w:spacing w:line="326" w:lineRule="exact"/>
                    <w:jc w:val="center"/>
                    <w:rPr>
                      <w:sz w:val="21"/>
                      <w:szCs w:val="21"/>
                    </w:rPr>
                  </w:pPr>
                  <w:r>
                    <w:rPr>
                      <w:sz w:val="21"/>
                      <w:szCs w:val="21"/>
                    </w:rPr>
                    <w:t>序号</w:t>
                  </w:r>
                </w:p>
              </w:tc>
              <w:tc>
                <w:tcPr>
                  <w:tcW w:w="1543" w:type="pct"/>
                  <w:vMerge w:val="restart"/>
                  <w:tcBorders>
                    <w:top w:val="single" w:color="000000" w:sz="12" w:space="0"/>
                  </w:tcBorders>
                  <w:vAlign w:val="center"/>
                </w:tcPr>
                <w:p>
                  <w:pPr>
                    <w:adjustRightInd w:val="0"/>
                    <w:snapToGrid w:val="0"/>
                    <w:spacing w:line="326" w:lineRule="exact"/>
                    <w:jc w:val="center"/>
                    <w:rPr>
                      <w:sz w:val="21"/>
                      <w:szCs w:val="21"/>
                    </w:rPr>
                  </w:pPr>
                  <w:r>
                    <w:rPr>
                      <w:sz w:val="21"/>
                      <w:szCs w:val="21"/>
                    </w:rPr>
                    <w:t>敏感点名称</w:t>
                  </w:r>
                </w:p>
              </w:tc>
              <w:tc>
                <w:tcPr>
                  <w:tcW w:w="2765" w:type="pct"/>
                  <w:gridSpan w:val="2"/>
                  <w:tcBorders>
                    <w:top w:val="single" w:color="000000" w:sz="12" w:space="0"/>
                    <w:bottom w:val="single" w:color="auto" w:sz="4" w:space="0"/>
                  </w:tcBorders>
                  <w:vAlign w:val="center"/>
                </w:tcPr>
                <w:p>
                  <w:pPr>
                    <w:adjustRightInd w:val="0"/>
                    <w:snapToGrid w:val="0"/>
                    <w:spacing w:line="326" w:lineRule="exact"/>
                    <w:jc w:val="center"/>
                    <w:rPr>
                      <w:sz w:val="21"/>
                      <w:szCs w:val="21"/>
                    </w:rPr>
                  </w:pPr>
                  <w:r>
                    <w:rPr>
                      <w:rFonts w:hint="eastAsia"/>
                      <w:sz w:val="21"/>
                      <w:szCs w:val="21"/>
                    </w:rPr>
                    <w:t>位置</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86" w:hRule="atLeast"/>
              </w:trPr>
              <w:tc>
                <w:tcPr>
                  <w:tcW w:w="690" w:type="pct"/>
                  <w:vMerge w:val="continue"/>
                  <w:tcBorders>
                    <w:bottom w:val="single" w:color="000000" w:sz="12" w:space="0"/>
                  </w:tcBorders>
                  <w:vAlign w:val="center"/>
                </w:tcPr>
                <w:p>
                  <w:pPr>
                    <w:adjustRightInd w:val="0"/>
                    <w:snapToGrid w:val="0"/>
                    <w:spacing w:line="326" w:lineRule="exact"/>
                    <w:jc w:val="center"/>
                    <w:rPr>
                      <w:sz w:val="21"/>
                      <w:szCs w:val="21"/>
                    </w:rPr>
                  </w:pPr>
                </w:p>
              </w:tc>
              <w:tc>
                <w:tcPr>
                  <w:tcW w:w="1543" w:type="pct"/>
                  <w:vMerge w:val="continue"/>
                  <w:tcBorders>
                    <w:bottom w:val="single" w:color="000000" w:sz="12" w:space="0"/>
                  </w:tcBorders>
                  <w:vAlign w:val="center"/>
                </w:tcPr>
                <w:p>
                  <w:pPr>
                    <w:adjustRightInd w:val="0"/>
                    <w:snapToGrid w:val="0"/>
                    <w:spacing w:line="326" w:lineRule="exact"/>
                    <w:jc w:val="center"/>
                    <w:rPr>
                      <w:sz w:val="21"/>
                      <w:szCs w:val="21"/>
                    </w:rPr>
                  </w:pPr>
                </w:p>
              </w:tc>
              <w:tc>
                <w:tcPr>
                  <w:tcW w:w="1540" w:type="pct"/>
                  <w:tcBorders>
                    <w:top w:val="single" w:color="auto" w:sz="4" w:space="0"/>
                    <w:bottom w:val="single" w:color="000000" w:sz="12" w:space="0"/>
                    <w:right w:val="single" w:color="auto" w:sz="4" w:space="0"/>
                  </w:tcBorders>
                  <w:vAlign w:val="center"/>
                </w:tcPr>
                <w:p>
                  <w:pPr>
                    <w:adjustRightInd w:val="0"/>
                    <w:snapToGrid w:val="0"/>
                    <w:spacing w:line="326" w:lineRule="exact"/>
                    <w:jc w:val="center"/>
                    <w:rPr>
                      <w:sz w:val="21"/>
                      <w:szCs w:val="21"/>
                    </w:rPr>
                  </w:pPr>
                  <w:r>
                    <w:rPr>
                      <w:rFonts w:hint="eastAsia"/>
                      <w:sz w:val="21"/>
                      <w:szCs w:val="21"/>
                    </w:rPr>
                    <w:t>纬度</w:t>
                  </w:r>
                </w:p>
              </w:tc>
              <w:tc>
                <w:tcPr>
                  <w:tcW w:w="1225" w:type="pct"/>
                  <w:tcBorders>
                    <w:top w:val="single" w:color="auto" w:sz="4" w:space="0"/>
                    <w:left w:val="single" w:color="auto" w:sz="4" w:space="0"/>
                    <w:bottom w:val="single" w:color="000000" w:sz="12" w:space="0"/>
                  </w:tcBorders>
                  <w:vAlign w:val="center"/>
                </w:tcPr>
                <w:p>
                  <w:pPr>
                    <w:adjustRightInd w:val="0"/>
                    <w:snapToGrid w:val="0"/>
                    <w:spacing w:line="326" w:lineRule="exact"/>
                    <w:jc w:val="center"/>
                    <w:rPr>
                      <w:sz w:val="21"/>
                      <w:szCs w:val="21"/>
                    </w:rPr>
                  </w:pPr>
                  <w:r>
                    <w:rPr>
                      <w:rFonts w:hint="eastAsia"/>
                      <w:sz w:val="21"/>
                      <w:szCs w:val="21"/>
                    </w:rPr>
                    <w:t>经度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690" w:type="pct"/>
                  <w:tcBorders>
                    <w:top w:val="single" w:color="000000" w:sz="12" w:space="0"/>
                  </w:tcBorders>
                  <w:vAlign w:val="center"/>
                </w:tcPr>
                <w:p>
                  <w:pPr>
                    <w:adjustRightInd w:val="0"/>
                    <w:snapToGrid w:val="0"/>
                    <w:spacing w:line="326" w:lineRule="exact"/>
                    <w:jc w:val="center"/>
                    <w:rPr>
                      <w:sz w:val="21"/>
                      <w:szCs w:val="21"/>
                    </w:rPr>
                  </w:pPr>
                  <w:r>
                    <w:rPr>
                      <w:rFonts w:hint="eastAsia"/>
                      <w:sz w:val="21"/>
                      <w:szCs w:val="21"/>
                    </w:rPr>
                    <w:t>N</w:t>
                  </w:r>
                  <w:r>
                    <w:rPr>
                      <w:sz w:val="21"/>
                      <w:szCs w:val="21"/>
                    </w:rPr>
                    <w:t>1</w:t>
                  </w:r>
                </w:p>
              </w:tc>
              <w:tc>
                <w:tcPr>
                  <w:tcW w:w="1543" w:type="pct"/>
                  <w:tcBorders>
                    <w:top w:val="single" w:color="000000" w:sz="12" w:space="0"/>
                  </w:tcBorders>
                  <w:vAlign w:val="center"/>
                </w:tcPr>
                <w:p>
                  <w:pPr>
                    <w:spacing w:line="326" w:lineRule="exact"/>
                    <w:jc w:val="center"/>
                    <w:rPr>
                      <w:sz w:val="21"/>
                      <w:szCs w:val="21"/>
                    </w:rPr>
                  </w:pPr>
                  <w:r>
                    <w:rPr>
                      <w:rFonts w:hint="eastAsia"/>
                      <w:sz w:val="21"/>
                      <w:szCs w:val="21"/>
                    </w:rPr>
                    <w:t>洪市村居民点</w:t>
                  </w:r>
                </w:p>
              </w:tc>
              <w:tc>
                <w:tcPr>
                  <w:tcW w:w="1540" w:type="pct"/>
                  <w:tcBorders>
                    <w:top w:val="single" w:color="000000" w:sz="12" w:space="0"/>
                    <w:right w:val="single" w:color="auto" w:sz="4" w:space="0"/>
                  </w:tcBorders>
                  <w:vAlign w:val="center"/>
                </w:tcPr>
                <w:p>
                  <w:pPr>
                    <w:adjustRightInd w:val="0"/>
                    <w:snapToGrid w:val="0"/>
                    <w:spacing w:line="326" w:lineRule="exact"/>
                    <w:jc w:val="center"/>
                    <w:rPr>
                      <w:sz w:val="21"/>
                      <w:szCs w:val="21"/>
                    </w:rPr>
                  </w:pPr>
                  <w:r>
                    <w:rPr>
                      <w:sz w:val="21"/>
                      <w:szCs w:val="21"/>
                    </w:rPr>
                    <w:t>29°36'20.94"</w:t>
                  </w:r>
                  <w:r>
                    <w:rPr>
                      <w:rFonts w:hint="eastAsia"/>
                      <w:sz w:val="21"/>
                      <w:szCs w:val="21"/>
                    </w:rPr>
                    <w:t xml:space="preserve"> 北</w:t>
                  </w:r>
                </w:p>
              </w:tc>
              <w:tc>
                <w:tcPr>
                  <w:tcW w:w="1225" w:type="pct"/>
                  <w:tcBorders>
                    <w:top w:val="single" w:color="000000" w:sz="12" w:space="0"/>
                    <w:left w:val="single" w:color="auto" w:sz="4" w:space="0"/>
                  </w:tcBorders>
                  <w:vAlign w:val="center"/>
                </w:tcPr>
                <w:p>
                  <w:pPr>
                    <w:adjustRightInd w:val="0"/>
                    <w:snapToGrid w:val="0"/>
                    <w:spacing w:line="326" w:lineRule="exact"/>
                    <w:jc w:val="center"/>
                    <w:rPr>
                      <w:sz w:val="21"/>
                      <w:szCs w:val="21"/>
                    </w:rPr>
                  </w:pPr>
                  <w:r>
                    <w:rPr>
                      <w:sz w:val="21"/>
                      <w:szCs w:val="21"/>
                    </w:rPr>
                    <w:t>112°53'56.94"</w:t>
                  </w:r>
                  <w:r>
                    <w:rPr>
                      <w:rFonts w:hint="eastAsia"/>
                      <w:sz w:val="21"/>
                      <w:szCs w:val="21"/>
                    </w:rPr>
                    <w:t>东</w:t>
                  </w:r>
                </w:p>
              </w:tc>
            </w:tr>
          </w:tbl>
          <w:p>
            <w:pPr>
              <w:tabs>
                <w:tab w:val="left" w:pos="1021"/>
              </w:tabs>
              <w:spacing w:line="300" w:lineRule="exact"/>
              <w:jc w:val="center"/>
              <w:rPr>
                <w:b/>
                <w:bCs/>
                <w:sz w:val="21"/>
                <w:szCs w:val="21"/>
              </w:rPr>
            </w:pPr>
            <w:r>
              <w:rPr>
                <w:b/>
                <w:bCs/>
                <w:sz w:val="21"/>
                <w:szCs w:val="21"/>
              </w:rPr>
              <w:t>表3</w:t>
            </w:r>
            <w:r>
              <w:rPr>
                <w:rFonts w:hint="eastAsia"/>
                <w:b/>
                <w:bCs/>
                <w:sz w:val="21"/>
                <w:szCs w:val="21"/>
              </w:rPr>
              <w:t>-</w:t>
            </w:r>
            <w:r>
              <w:rPr>
                <w:b/>
                <w:bCs/>
                <w:sz w:val="21"/>
                <w:szCs w:val="21"/>
              </w:rPr>
              <w:t>4  声环境现状监测布点一览表</w:t>
            </w:r>
          </w:p>
          <w:p>
            <w:pPr>
              <w:tabs>
                <w:tab w:val="left" w:pos="1021"/>
              </w:tabs>
              <w:spacing w:line="440" w:lineRule="exact"/>
              <w:ind w:firstLine="241" w:firstLineChars="100"/>
              <w:rPr>
                <w:b/>
                <w:kern w:val="24"/>
              </w:rPr>
            </w:pPr>
            <w:r>
              <w:rPr>
                <w:rFonts w:hint="eastAsia"/>
                <w:b/>
                <w:kern w:val="24"/>
              </w:rPr>
              <w:t xml:space="preserve"> 2</w:t>
            </w:r>
            <w:r>
              <w:rPr>
                <w:b/>
                <w:kern w:val="24"/>
              </w:rPr>
              <w:t>.1.2监测方法</w:t>
            </w:r>
            <w:r>
              <w:rPr>
                <w:rFonts w:hint="eastAsia"/>
                <w:b/>
                <w:kern w:val="24"/>
              </w:rPr>
              <w:t>、</w:t>
            </w:r>
            <w:r>
              <w:rPr>
                <w:b/>
                <w:kern w:val="24"/>
              </w:rPr>
              <w:t>监测时间与频率</w:t>
            </w:r>
          </w:p>
          <w:p>
            <w:pPr>
              <w:spacing w:line="360" w:lineRule="auto"/>
              <w:ind w:firstLine="360" w:firstLineChars="150"/>
              <w:rPr>
                <w:kern w:val="24"/>
              </w:rPr>
            </w:pPr>
            <w:r>
              <w:rPr>
                <w:rFonts w:hint="eastAsia"/>
                <w:kern w:val="24"/>
              </w:rPr>
              <w:t>监测方法</w:t>
            </w:r>
            <w:r>
              <w:rPr>
                <w:kern w:val="24"/>
              </w:rPr>
              <w:t>按照GB3096-2008《声环境质量标准》中的有关规定进行。昼间：6</w:t>
            </w:r>
            <w:r>
              <w:rPr>
                <w:rFonts w:hint="eastAsia"/>
                <w:kern w:val="24"/>
              </w:rPr>
              <w:t>∶</w:t>
            </w:r>
            <w:r>
              <w:rPr>
                <w:kern w:val="24"/>
              </w:rPr>
              <w:t>00～22</w:t>
            </w:r>
            <w:r>
              <w:rPr>
                <w:rFonts w:hint="eastAsia"/>
                <w:kern w:val="24"/>
              </w:rPr>
              <w:t>∶</w:t>
            </w:r>
            <w:r>
              <w:rPr>
                <w:kern w:val="24"/>
              </w:rPr>
              <w:t>00</w:t>
            </w:r>
            <w:r>
              <w:rPr>
                <w:rFonts w:hint="eastAsia"/>
                <w:kern w:val="24"/>
              </w:rPr>
              <w:t>，</w:t>
            </w:r>
            <w:r>
              <w:rPr>
                <w:kern w:val="24"/>
              </w:rPr>
              <w:t>夜间：22</w:t>
            </w:r>
            <w:r>
              <w:rPr>
                <w:rFonts w:hint="eastAsia"/>
                <w:kern w:val="24"/>
              </w:rPr>
              <w:t>∶</w:t>
            </w:r>
            <w:r>
              <w:rPr>
                <w:kern w:val="24"/>
              </w:rPr>
              <w:t>00～次日6</w:t>
            </w:r>
            <w:r>
              <w:rPr>
                <w:rFonts w:hint="eastAsia"/>
                <w:kern w:val="24"/>
              </w:rPr>
              <w:t>∶</w:t>
            </w:r>
            <w:r>
              <w:rPr>
                <w:kern w:val="24"/>
              </w:rPr>
              <w:t>00</w:t>
            </w:r>
            <w:r>
              <w:rPr>
                <w:rFonts w:hint="eastAsia"/>
                <w:kern w:val="24"/>
              </w:rPr>
              <w:t>，</w:t>
            </w:r>
            <w:r>
              <w:rPr>
                <w:kern w:val="24"/>
              </w:rPr>
              <w:t>监测以昼间为主，昼间</w:t>
            </w:r>
            <w:r>
              <w:rPr>
                <w:rFonts w:hint="eastAsia"/>
                <w:kern w:val="24"/>
              </w:rPr>
              <w:t>早上、中午、下午各监测一次、夜间</w:t>
            </w:r>
            <w:r>
              <w:rPr>
                <w:kern w:val="24"/>
              </w:rPr>
              <w:t>监测一次，每次连续测10分钟，道路附近的测点每次连续测20分钟，并记录周围环境特征。连续监测两天。</w:t>
            </w:r>
          </w:p>
          <w:p>
            <w:pPr>
              <w:spacing w:line="440" w:lineRule="exact"/>
              <w:ind w:left="480" w:right="240" w:rightChars="100"/>
              <w:rPr>
                <w:b/>
                <w:kern w:val="24"/>
              </w:rPr>
            </w:pPr>
            <w:r>
              <w:rPr>
                <w:b/>
                <w:kern w:val="24"/>
              </w:rPr>
              <w:t>2.1.3</w:t>
            </w:r>
            <w:r>
              <w:rPr>
                <w:rFonts w:hint="eastAsia"/>
                <w:b/>
                <w:kern w:val="24"/>
              </w:rPr>
              <w:t>监测结果及分析</w:t>
            </w:r>
          </w:p>
          <w:p>
            <w:pPr>
              <w:spacing w:line="440" w:lineRule="exact"/>
              <w:ind w:right="240" w:rightChars="100" w:firstLine="480" w:firstLineChars="200"/>
              <w:rPr>
                <w:kern w:val="24"/>
              </w:rPr>
            </w:pPr>
            <w:r>
              <w:rPr>
                <w:rFonts w:hint="eastAsia"/>
                <w:kern w:val="24"/>
              </w:rPr>
              <w:t>监测结果见表</w:t>
            </w:r>
            <w:r>
              <w:rPr>
                <w:kern w:val="24"/>
              </w:rPr>
              <w:t>3-5</w:t>
            </w:r>
            <w:r>
              <w:rPr>
                <w:rFonts w:hint="eastAsia"/>
                <w:kern w:val="24"/>
              </w:rPr>
              <w:t>。</w:t>
            </w:r>
          </w:p>
          <w:p>
            <w:pPr>
              <w:tabs>
                <w:tab w:val="left" w:pos="1021"/>
              </w:tabs>
              <w:spacing w:before="60" w:line="326" w:lineRule="auto"/>
              <w:jc w:val="center"/>
              <w:rPr>
                <w:b/>
                <w:bCs/>
                <w:kern w:val="24"/>
                <w:sz w:val="21"/>
                <w:szCs w:val="21"/>
              </w:rPr>
            </w:pPr>
            <w:r>
              <w:rPr>
                <w:rFonts w:hint="eastAsia"/>
                <w:b/>
                <w:bCs/>
                <w:kern w:val="24"/>
                <w:sz w:val="21"/>
                <w:szCs w:val="21"/>
              </w:rPr>
              <w:t xml:space="preserve"> 表</w:t>
            </w:r>
            <w:r>
              <w:rPr>
                <w:b/>
                <w:bCs/>
                <w:kern w:val="24"/>
                <w:sz w:val="21"/>
                <w:szCs w:val="21"/>
              </w:rPr>
              <w:t xml:space="preserve">3-5 </w:t>
            </w:r>
            <w:r>
              <w:rPr>
                <w:rFonts w:hint="eastAsia"/>
                <w:b/>
                <w:bCs/>
                <w:kern w:val="24"/>
                <w:sz w:val="21"/>
                <w:szCs w:val="21"/>
              </w:rPr>
              <w:t xml:space="preserve">   环境噪声</w:t>
            </w:r>
            <w:r>
              <w:rPr>
                <w:b/>
                <w:bCs/>
                <w:kern w:val="24"/>
                <w:sz w:val="21"/>
                <w:szCs w:val="21"/>
              </w:rPr>
              <w:t>L</w:t>
            </w:r>
            <w:r>
              <w:rPr>
                <w:rFonts w:hint="eastAsia"/>
                <w:b/>
                <w:bCs/>
                <w:kern w:val="24"/>
                <w:sz w:val="21"/>
                <w:szCs w:val="21"/>
                <w:vertAlign w:val="subscript"/>
              </w:rPr>
              <w:t>A</w:t>
            </w:r>
            <w:r>
              <w:rPr>
                <w:b/>
                <w:bCs/>
                <w:kern w:val="24"/>
                <w:sz w:val="21"/>
                <w:szCs w:val="21"/>
                <w:vertAlign w:val="subscript"/>
              </w:rPr>
              <w:t>eq</w:t>
            </w:r>
            <w:r>
              <w:rPr>
                <w:rFonts w:hint="eastAsia"/>
                <w:b/>
                <w:bCs/>
                <w:kern w:val="24"/>
                <w:sz w:val="21"/>
                <w:szCs w:val="21"/>
              </w:rPr>
              <w:t>监测结果统计表</w:t>
            </w:r>
            <w:r>
              <w:rPr>
                <w:b/>
                <w:bCs/>
                <w:kern w:val="24"/>
                <w:sz w:val="21"/>
                <w:szCs w:val="21"/>
              </w:rPr>
              <w:t xml:space="preserve">  (</w:t>
            </w:r>
            <w:r>
              <w:rPr>
                <w:rFonts w:hint="eastAsia"/>
                <w:b/>
                <w:bCs/>
                <w:kern w:val="24"/>
                <w:sz w:val="21"/>
                <w:szCs w:val="21"/>
              </w:rPr>
              <w:t>单位：</w:t>
            </w:r>
            <w:r>
              <w:rPr>
                <w:b/>
                <w:bCs/>
                <w:kern w:val="24"/>
                <w:sz w:val="21"/>
                <w:szCs w:val="21"/>
              </w:rPr>
              <w:t>dB)</w:t>
            </w:r>
          </w:p>
          <w:tbl>
            <w:tblPr>
              <w:tblStyle w:val="44"/>
              <w:tblW w:w="4998" w:type="pct"/>
              <w:jc w:val="center"/>
              <w:tblBorders>
                <w:top w:val="single" w:color="auto" w:sz="12" w:space="0"/>
                <w:left w:val="single" w:color="auto" w:sz="2" w:space="0"/>
                <w:bottom w:val="single" w:color="auto" w:sz="12" w:space="0"/>
                <w:right w:val="single" w:color="auto" w:sz="2" w:space="0"/>
                <w:insideH w:val="single" w:color="auto" w:sz="4" w:space="0"/>
                <w:insideV w:val="single" w:color="auto" w:sz="4" w:space="0"/>
              </w:tblBorders>
              <w:tblLayout w:type="fixed"/>
              <w:tblCellMar>
                <w:top w:w="0" w:type="dxa"/>
                <w:left w:w="108" w:type="dxa"/>
                <w:bottom w:w="0" w:type="dxa"/>
                <w:right w:w="108" w:type="dxa"/>
              </w:tblCellMar>
            </w:tblPr>
            <w:tblGrid>
              <w:gridCol w:w="1227"/>
              <w:gridCol w:w="1674"/>
              <w:gridCol w:w="1518"/>
              <w:gridCol w:w="2214"/>
              <w:gridCol w:w="2214"/>
            </w:tblGrid>
            <w:tr>
              <w:tblPrEx>
                <w:tblBorders>
                  <w:top w:val="single" w:color="auto" w:sz="12" w:space="0"/>
                  <w:left w:val="single" w:color="auto" w:sz="2" w:space="0"/>
                  <w:bottom w:val="single" w:color="auto" w:sz="1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94" w:type="pct"/>
                  <w:vMerge w:val="restart"/>
                  <w:vAlign w:val="center"/>
                </w:tcPr>
                <w:p>
                  <w:pPr>
                    <w:adjustRightInd w:val="0"/>
                    <w:snapToGrid w:val="0"/>
                    <w:spacing w:line="326" w:lineRule="exact"/>
                    <w:jc w:val="center"/>
                    <w:rPr>
                      <w:sz w:val="21"/>
                      <w:szCs w:val="21"/>
                    </w:rPr>
                  </w:pPr>
                  <w:r>
                    <w:rPr>
                      <w:sz w:val="21"/>
                      <w:szCs w:val="21"/>
                    </w:rPr>
                    <w:t>测点编号</w:t>
                  </w:r>
                </w:p>
              </w:tc>
              <w:tc>
                <w:tcPr>
                  <w:tcW w:w="946" w:type="pct"/>
                  <w:vMerge w:val="restart"/>
                  <w:vAlign w:val="center"/>
                </w:tcPr>
                <w:p>
                  <w:pPr>
                    <w:adjustRightInd w:val="0"/>
                    <w:snapToGrid w:val="0"/>
                    <w:spacing w:line="326" w:lineRule="exact"/>
                    <w:jc w:val="center"/>
                    <w:rPr>
                      <w:sz w:val="21"/>
                      <w:szCs w:val="21"/>
                    </w:rPr>
                  </w:pPr>
                  <w:r>
                    <w:rPr>
                      <w:sz w:val="21"/>
                      <w:szCs w:val="21"/>
                    </w:rPr>
                    <w:t>测点位置</w:t>
                  </w:r>
                </w:p>
              </w:tc>
              <w:tc>
                <w:tcPr>
                  <w:tcW w:w="858" w:type="pct"/>
                  <w:vMerge w:val="restart"/>
                  <w:vAlign w:val="center"/>
                </w:tcPr>
                <w:p>
                  <w:pPr>
                    <w:adjustRightInd w:val="0"/>
                    <w:snapToGrid w:val="0"/>
                    <w:spacing w:line="326" w:lineRule="exact"/>
                    <w:jc w:val="center"/>
                    <w:rPr>
                      <w:sz w:val="21"/>
                      <w:szCs w:val="21"/>
                    </w:rPr>
                  </w:pPr>
                  <w:r>
                    <w:rPr>
                      <w:rFonts w:hint="eastAsia"/>
                      <w:sz w:val="21"/>
                      <w:szCs w:val="21"/>
                    </w:rPr>
                    <w:t>采样时间</w:t>
                  </w:r>
                </w:p>
              </w:tc>
              <w:tc>
                <w:tcPr>
                  <w:tcW w:w="2500" w:type="pct"/>
                  <w:gridSpan w:val="2"/>
                  <w:vAlign w:val="center"/>
                </w:tcPr>
                <w:p>
                  <w:pPr>
                    <w:adjustRightInd w:val="0"/>
                    <w:snapToGrid w:val="0"/>
                    <w:spacing w:line="326" w:lineRule="exact"/>
                    <w:jc w:val="center"/>
                    <w:rPr>
                      <w:sz w:val="21"/>
                      <w:szCs w:val="21"/>
                    </w:rPr>
                  </w:pPr>
                  <w:r>
                    <w:rPr>
                      <w:rFonts w:hint="eastAsia"/>
                      <w:sz w:val="21"/>
                      <w:szCs w:val="21"/>
                    </w:rPr>
                    <w:t>检测</w:t>
                  </w:r>
                  <w:r>
                    <w:rPr>
                      <w:sz w:val="21"/>
                      <w:szCs w:val="21"/>
                    </w:rPr>
                    <w:t>结果 LeqdB(A)</w:t>
                  </w:r>
                </w:p>
              </w:tc>
            </w:tr>
            <w:tr>
              <w:tblPrEx>
                <w:tblBorders>
                  <w:top w:val="single" w:color="auto" w:sz="12" w:space="0"/>
                  <w:left w:val="single" w:color="auto" w:sz="2" w:space="0"/>
                  <w:bottom w:val="single" w:color="auto" w:sz="1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94" w:type="pct"/>
                  <w:vMerge w:val="continue"/>
                  <w:vAlign w:val="center"/>
                </w:tcPr>
                <w:p>
                  <w:pPr>
                    <w:adjustRightInd w:val="0"/>
                    <w:snapToGrid w:val="0"/>
                    <w:spacing w:line="326" w:lineRule="exact"/>
                    <w:jc w:val="center"/>
                    <w:rPr>
                      <w:sz w:val="21"/>
                      <w:szCs w:val="21"/>
                    </w:rPr>
                  </w:pPr>
                </w:p>
              </w:tc>
              <w:tc>
                <w:tcPr>
                  <w:tcW w:w="946" w:type="pct"/>
                  <w:vMerge w:val="continue"/>
                  <w:vAlign w:val="center"/>
                </w:tcPr>
                <w:p>
                  <w:pPr>
                    <w:adjustRightInd w:val="0"/>
                    <w:snapToGrid w:val="0"/>
                    <w:spacing w:line="326" w:lineRule="exact"/>
                    <w:jc w:val="center"/>
                    <w:rPr>
                      <w:sz w:val="21"/>
                      <w:szCs w:val="21"/>
                    </w:rPr>
                  </w:pPr>
                </w:p>
              </w:tc>
              <w:tc>
                <w:tcPr>
                  <w:tcW w:w="858" w:type="pct"/>
                  <w:vMerge w:val="continue"/>
                  <w:vAlign w:val="center"/>
                </w:tcPr>
                <w:p>
                  <w:pPr>
                    <w:adjustRightInd w:val="0"/>
                    <w:snapToGrid w:val="0"/>
                    <w:spacing w:line="326" w:lineRule="exact"/>
                    <w:jc w:val="center"/>
                    <w:rPr>
                      <w:sz w:val="21"/>
                      <w:szCs w:val="21"/>
                    </w:rPr>
                  </w:pPr>
                </w:p>
              </w:tc>
              <w:tc>
                <w:tcPr>
                  <w:tcW w:w="1250" w:type="pct"/>
                  <w:vAlign w:val="center"/>
                </w:tcPr>
                <w:p>
                  <w:pPr>
                    <w:adjustRightInd w:val="0"/>
                    <w:snapToGrid w:val="0"/>
                    <w:spacing w:line="326" w:lineRule="exact"/>
                    <w:jc w:val="center"/>
                    <w:rPr>
                      <w:sz w:val="21"/>
                      <w:szCs w:val="21"/>
                    </w:rPr>
                  </w:pPr>
                  <w:r>
                    <w:rPr>
                      <w:sz w:val="21"/>
                      <w:szCs w:val="21"/>
                    </w:rPr>
                    <w:t>昼间</w:t>
                  </w:r>
                </w:p>
              </w:tc>
              <w:tc>
                <w:tcPr>
                  <w:tcW w:w="1250" w:type="pct"/>
                  <w:vAlign w:val="center"/>
                </w:tcPr>
                <w:p>
                  <w:pPr>
                    <w:adjustRightInd w:val="0"/>
                    <w:snapToGrid w:val="0"/>
                    <w:spacing w:line="326" w:lineRule="exact"/>
                    <w:jc w:val="center"/>
                    <w:rPr>
                      <w:sz w:val="21"/>
                      <w:szCs w:val="21"/>
                    </w:rPr>
                  </w:pPr>
                  <w:r>
                    <w:rPr>
                      <w:rFonts w:hint="eastAsia"/>
                      <w:sz w:val="21"/>
                      <w:szCs w:val="21"/>
                    </w:rPr>
                    <w:t>夜间</w:t>
                  </w:r>
                </w:p>
              </w:tc>
            </w:tr>
            <w:tr>
              <w:tblPrEx>
                <w:tblBorders>
                  <w:top w:val="single" w:color="auto" w:sz="12" w:space="0"/>
                  <w:left w:val="single" w:color="auto" w:sz="2" w:space="0"/>
                  <w:bottom w:val="single" w:color="auto" w:sz="1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94" w:type="pct"/>
                  <w:vMerge w:val="restart"/>
                  <w:vAlign w:val="center"/>
                </w:tcPr>
                <w:p>
                  <w:pPr>
                    <w:adjustRightInd w:val="0"/>
                    <w:snapToGrid w:val="0"/>
                    <w:spacing w:line="326" w:lineRule="exact"/>
                    <w:jc w:val="center"/>
                    <w:rPr>
                      <w:sz w:val="21"/>
                      <w:szCs w:val="21"/>
                    </w:rPr>
                  </w:pPr>
                  <w:r>
                    <w:rPr>
                      <w:rFonts w:hint="eastAsia"/>
                      <w:sz w:val="21"/>
                      <w:szCs w:val="21"/>
                    </w:rPr>
                    <w:t>N1</w:t>
                  </w:r>
                </w:p>
              </w:tc>
              <w:tc>
                <w:tcPr>
                  <w:tcW w:w="946" w:type="pct"/>
                  <w:vMerge w:val="restart"/>
                  <w:vAlign w:val="center"/>
                </w:tcPr>
                <w:p>
                  <w:pPr>
                    <w:adjustRightInd w:val="0"/>
                    <w:snapToGrid w:val="0"/>
                    <w:spacing w:line="326" w:lineRule="exact"/>
                    <w:jc w:val="center"/>
                    <w:rPr>
                      <w:sz w:val="21"/>
                      <w:szCs w:val="21"/>
                    </w:rPr>
                  </w:pPr>
                  <w:r>
                    <w:rPr>
                      <w:rFonts w:hint="eastAsia"/>
                      <w:sz w:val="21"/>
                      <w:szCs w:val="21"/>
                    </w:rPr>
                    <w:t>洪市村居民点1</w:t>
                  </w:r>
                </w:p>
              </w:tc>
              <w:tc>
                <w:tcPr>
                  <w:tcW w:w="858" w:type="pct"/>
                  <w:vAlign w:val="center"/>
                </w:tcPr>
                <w:p>
                  <w:pPr>
                    <w:adjustRightInd w:val="0"/>
                    <w:snapToGrid w:val="0"/>
                    <w:spacing w:line="326" w:lineRule="exact"/>
                    <w:jc w:val="center"/>
                    <w:rPr>
                      <w:sz w:val="21"/>
                      <w:szCs w:val="21"/>
                    </w:rPr>
                  </w:pPr>
                  <w:r>
                    <w:rPr>
                      <w:rFonts w:hint="eastAsia"/>
                      <w:sz w:val="21"/>
                      <w:szCs w:val="21"/>
                    </w:rPr>
                    <w:t>11月22日</w:t>
                  </w:r>
                </w:p>
              </w:tc>
              <w:tc>
                <w:tcPr>
                  <w:tcW w:w="1250" w:type="pct"/>
                  <w:vAlign w:val="center"/>
                </w:tcPr>
                <w:p>
                  <w:pPr>
                    <w:adjustRightInd w:val="0"/>
                    <w:snapToGrid w:val="0"/>
                    <w:spacing w:line="326" w:lineRule="exact"/>
                    <w:jc w:val="center"/>
                    <w:rPr>
                      <w:sz w:val="21"/>
                      <w:szCs w:val="21"/>
                    </w:rPr>
                  </w:pPr>
                  <w:r>
                    <w:rPr>
                      <w:rFonts w:hint="eastAsia"/>
                      <w:sz w:val="21"/>
                      <w:szCs w:val="21"/>
                    </w:rPr>
                    <w:t>54.3</w:t>
                  </w:r>
                </w:p>
              </w:tc>
              <w:tc>
                <w:tcPr>
                  <w:tcW w:w="1250" w:type="pct"/>
                  <w:vAlign w:val="center"/>
                </w:tcPr>
                <w:p>
                  <w:pPr>
                    <w:adjustRightInd w:val="0"/>
                    <w:snapToGrid w:val="0"/>
                    <w:spacing w:line="326" w:lineRule="exact"/>
                    <w:jc w:val="center"/>
                    <w:rPr>
                      <w:sz w:val="21"/>
                      <w:szCs w:val="21"/>
                    </w:rPr>
                  </w:pPr>
                  <w:r>
                    <w:rPr>
                      <w:rFonts w:hint="eastAsia"/>
                      <w:sz w:val="21"/>
                      <w:szCs w:val="21"/>
                    </w:rPr>
                    <w:t>40.2</w:t>
                  </w:r>
                </w:p>
              </w:tc>
            </w:tr>
            <w:tr>
              <w:tblPrEx>
                <w:tblBorders>
                  <w:top w:val="single" w:color="auto" w:sz="12" w:space="0"/>
                  <w:left w:val="single" w:color="auto" w:sz="2" w:space="0"/>
                  <w:bottom w:val="single" w:color="auto" w:sz="1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94" w:type="pct"/>
                  <w:vMerge w:val="continue"/>
                  <w:vAlign w:val="center"/>
                </w:tcPr>
                <w:p>
                  <w:pPr>
                    <w:adjustRightInd w:val="0"/>
                    <w:snapToGrid w:val="0"/>
                    <w:spacing w:line="326" w:lineRule="exact"/>
                    <w:jc w:val="center"/>
                    <w:rPr>
                      <w:sz w:val="21"/>
                      <w:szCs w:val="21"/>
                    </w:rPr>
                  </w:pPr>
                </w:p>
              </w:tc>
              <w:tc>
                <w:tcPr>
                  <w:tcW w:w="946" w:type="pct"/>
                  <w:vMerge w:val="continue"/>
                  <w:vAlign w:val="center"/>
                </w:tcPr>
                <w:p>
                  <w:pPr>
                    <w:adjustRightInd w:val="0"/>
                    <w:snapToGrid w:val="0"/>
                    <w:spacing w:line="326" w:lineRule="exact"/>
                    <w:jc w:val="center"/>
                    <w:rPr>
                      <w:sz w:val="21"/>
                      <w:szCs w:val="21"/>
                    </w:rPr>
                  </w:pPr>
                </w:p>
              </w:tc>
              <w:tc>
                <w:tcPr>
                  <w:tcW w:w="858" w:type="pct"/>
                  <w:vAlign w:val="center"/>
                </w:tcPr>
                <w:p>
                  <w:pPr>
                    <w:adjustRightInd w:val="0"/>
                    <w:snapToGrid w:val="0"/>
                    <w:spacing w:line="326" w:lineRule="exact"/>
                    <w:jc w:val="center"/>
                    <w:rPr>
                      <w:sz w:val="21"/>
                      <w:szCs w:val="21"/>
                    </w:rPr>
                  </w:pPr>
                  <w:r>
                    <w:rPr>
                      <w:rFonts w:hint="eastAsia"/>
                      <w:sz w:val="21"/>
                      <w:szCs w:val="21"/>
                    </w:rPr>
                    <w:t>11月23日</w:t>
                  </w:r>
                </w:p>
              </w:tc>
              <w:tc>
                <w:tcPr>
                  <w:tcW w:w="1250" w:type="pct"/>
                  <w:vAlign w:val="center"/>
                </w:tcPr>
                <w:p>
                  <w:pPr>
                    <w:adjustRightInd w:val="0"/>
                    <w:snapToGrid w:val="0"/>
                    <w:spacing w:line="326" w:lineRule="exact"/>
                    <w:jc w:val="center"/>
                    <w:rPr>
                      <w:sz w:val="21"/>
                      <w:szCs w:val="21"/>
                    </w:rPr>
                  </w:pPr>
                  <w:r>
                    <w:rPr>
                      <w:rFonts w:hint="eastAsia"/>
                      <w:sz w:val="21"/>
                      <w:szCs w:val="21"/>
                    </w:rPr>
                    <w:t>55.1</w:t>
                  </w:r>
                </w:p>
              </w:tc>
              <w:tc>
                <w:tcPr>
                  <w:tcW w:w="1250" w:type="pct"/>
                  <w:vAlign w:val="center"/>
                </w:tcPr>
                <w:p>
                  <w:pPr>
                    <w:adjustRightInd w:val="0"/>
                    <w:snapToGrid w:val="0"/>
                    <w:spacing w:line="326" w:lineRule="exact"/>
                    <w:jc w:val="center"/>
                    <w:rPr>
                      <w:sz w:val="21"/>
                      <w:szCs w:val="21"/>
                    </w:rPr>
                  </w:pPr>
                  <w:r>
                    <w:rPr>
                      <w:rFonts w:hint="eastAsia"/>
                      <w:sz w:val="21"/>
                      <w:szCs w:val="21"/>
                    </w:rPr>
                    <w:t>40.6</w:t>
                  </w:r>
                </w:p>
              </w:tc>
            </w:tr>
            <w:tr>
              <w:tblPrEx>
                <w:tblBorders>
                  <w:top w:val="single" w:color="auto" w:sz="12" w:space="0"/>
                  <w:left w:val="single" w:color="auto" w:sz="2" w:space="0"/>
                  <w:bottom w:val="single" w:color="auto" w:sz="1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94" w:type="pct"/>
                  <w:vMerge w:val="continue"/>
                  <w:vAlign w:val="center"/>
                </w:tcPr>
                <w:p>
                  <w:pPr>
                    <w:adjustRightInd w:val="0"/>
                    <w:snapToGrid w:val="0"/>
                    <w:spacing w:line="326" w:lineRule="exact"/>
                    <w:jc w:val="center"/>
                    <w:rPr>
                      <w:sz w:val="21"/>
                      <w:szCs w:val="21"/>
                    </w:rPr>
                  </w:pPr>
                </w:p>
              </w:tc>
              <w:tc>
                <w:tcPr>
                  <w:tcW w:w="946" w:type="pct"/>
                  <w:vMerge w:val="continue"/>
                  <w:vAlign w:val="center"/>
                </w:tcPr>
                <w:p>
                  <w:pPr>
                    <w:adjustRightInd w:val="0"/>
                    <w:snapToGrid w:val="0"/>
                    <w:spacing w:line="326" w:lineRule="exact"/>
                    <w:jc w:val="center"/>
                    <w:rPr>
                      <w:sz w:val="21"/>
                      <w:szCs w:val="21"/>
                    </w:rPr>
                  </w:pPr>
                </w:p>
              </w:tc>
              <w:tc>
                <w:tcPr>
                  <w:tcW w:w="858" w:type="pct"/>
                  <w:vAlign w:val="center"/>
                </w:tcPr>
                <w:p>
                  <w:pPr>
                    <w:adjustRightInd w:val="0"/>
                    <w:snapToGrid w:val="0"/>
                    <w:spacing w:line="326" w:lineRule="exact"/>
                    <w:jc w:val="center"/>
                    <w:rPr>
                      <w:sz w:val="21"/>
                      <w:szCs w:val="21"/>
                    </w:rPr>
                  </w:pPr>
                  <w:r>
                    <w:rPr>
                      <w:rFonts w:hint="eastAsia"/>
                      <w:sz w:val="21"/>
                      <w:szCs w:val="21"/>
                    </w:rPr>
                    <w:t>标准值</w:t>
                  </w:r>
                </w:p>
              </w:tc>
              <w:tc>
                <w:tcPr>
                  <w:tcW w:w="1250" w:type="pct"/>
                  <w:vAlign w:val="center"/>
                </w:tcPr>
                <w:p>
                  <w:pPr>
                    <w:adjustRightInd w:val="0"/>
                    <w:snapToGrid w:val="0"/>
                    <w:spacing w:line="326" w:lineRule="exact"/>
                    <w:jc w:val="center"/>
                    <w:rPr>
                      <w:sz w:val="21"/>
                      <w:szCs w:val="21"/>
                    </w:rPr>
                  </w:pPr>
                  <w:r>
                    <w:rPr>
                      <w:rFonts w:hint="eastAsia"/>
                      <w:sz w:val="21"/>
                      <w:szCs w:val="21"/>
                    </w:rPr>
                    <w:t>60</w:t>
                  </w:r>
                </w:p>
              </w:tc>
              <w:tc>
                <w:tcPr>
                  <w:tcW w:w="1250" w:type="pct"/>
                  <w:vAlign w:val="center"/>
                </w:tcPr>
                <w:p>
                  <w:pPr>
                    <w:adjustRightInd w:val="0"/>
                    <w:snapToGrid w:val="0"/>
                    <w:spacing w:line="326" w:lineRule="exact"/>
                    <w:jc w:val="center"/>
                    <w:rPr>
                      <w:sz w:val="21"/>
                      <w:szCs w:val="21"/>
                    </w:rPr>
                  </w:pPr>
                  <w:r>
                    <w:rPr>
                      <w:rFonts w:hint="eastAsia"/>
                      <w:sz w:val="21"/>
                      <w:szCs w:val="21"/>
                    </w:rPr>
                    <w:t>50</w:t>
                  </w:r>
                </w:p>
              </w:tc>
            </w:tr>
          </w:tbl>
          <w:p>
            <w:pPr>
              <w:spacing w:line="360" w:lineRule="auto"/>
              <w:ind w:firstLine="480" w:firstLineChars="200"/>
              <w:rPr>
                <w:kern w:val="24"/>
              </w:rPr>
            </w:pPr>
            <w:r>
              <w:rPr>
                <w:rFonts w:hint="eastAsia"/>
                <w:kern w:val="24"/>
              </w:rPr>
              <w:t>通过对现状调查和监测结果的分析可知：评价区域其声环境质量较好，</w:t>
            </w:r>
            <w:r>
              <w:rPr>
                <w:rFonts w:hint="eastAsia"/>
              </w:rPr>
              <w:t>所有测点</w:t>
            </w:r>
            <w:r>
              <w:rPr>
                <w:rFonts w:hint="eastAsia"/>
                <w:kern w:val="24"/>
              </w:rPr>
              <w:t>昼、夜间噪声监测值均达到</w:t>
            </w:r>
            <w:r>
              <w:rPr>
                <w:kern w:val="24"/>
              </w:rPr>
              <w:t>《声环境质量标准》</w:t>
            </w:r>
            <w:r>
              <w:rPr>
                <w:rFonts w:hint="eastAsia"/>
                <w:kern w:val="24"/>
              </w:rPr>
              <w:t>（</w:t>
            </w:r>
            <w:r>
              <w:rPr>
                <w:kern w:val="24"/>
              </w:rPr>
              <w:t>GB3096-2008</w:t>
            </w:r>
            <w:r>
              <w:rPr>
                <w:rFonts w:hint="eastAsia"/>
                <w:kern w:val="24"/>
              </w:rPr>
              <w:t>）中的</w:t>
            </w:r>
            <w:r>
              <w:rPr>
                <w:rFonts w:hint="eastAsia" w:ascii="宋体" w:hAnsi="宋体" w:cs="宋体"/>
                <w:kern w:val="24"/>
              </w:rPr>
              <w:t>Ⅱ</w:t>
            </w:r>
            <w:r>
              <w:rPr>
                <w:rFonts w:hint="eastAsia"/>
                <w:kern w:val="24"/>
              </w:rPr>
              <w:t>类标准。</w:t>
            </w:r>
          </w:p>
          <w:p>
            <w:pPr>
              <w:spacing w:before="163" w:beforeLines="50"/>
              <w:ind w:firstLine="482" w:firstLineChars="200"/>
              <w:outlineLvl w:val="1"/>
              <w:rPr>
                <w:b/>
                <w:szCs w:val="28"/>
              </w:rPr>
            </w:pPr>
            <w:bookmarkStart w:id="9" w:name="_Toc11935"/>
            <w:r>
              <w:rPr>
                <w:b/>
                <w:szCs w:val="28"/>
              </w:rPr>
              <w:t>3</w:t>
            </w:r>
            <w:r>
              <w:rPr>
                <w:rFonts w:hint="eastAsia"/>
                <w:b/>
                <w:szCs w:val="28"/>
              </w:rPr>
              <w:t>、地表水现状调查与评价</w:t>
            </w:r>
          </w:p>
          <w:p>
            <w:pPr>
              <w:spacing w:line="360" w:lineRule="auto"/>
              <w:ind w:firstLine="480" w:firstLineChars="200"/>
            </w:pPr>
            <w:r>
              <w:rPr>
                <w:rFonts w:hint="eastAsia"/>
              </w:rPr>
              <w:t>根据本项目《续延取水申请书》提供的资料，君山区水质检测中心于2018年12月26日(枯水期)对谭子坑长江取水口处水质进行了监测，详见下表。</w:t>
            </w:r>
          </w:p>
          <w:p>
            <w:pPr>
              <w:spacing w:line="360" w:lineRule="auto"/>
              <w:jc w:val="center"/>
              <w:rPr>
                <w:b/>
                <w:sz w:val="21"/>
                <w:szCs w:val="21"/>
              </w:rPr>
            </w:pPr>
            <w:r>
              <w:rPr>
                <w:rFonts w:hint="eastAsia"/>
                <w:b/>
                <w:sz w:val="21"/>
                <w:szCs w:val="21"/>
              </w:rPr>
              <w:t>表</w:t>
            </w:r>
            <w:r>
              <w:rPr>
                <w:b/>
                <w:sz w:val="21"/>
                <w:szCs w:val="21"/>
              </w:rPr>
              <w:t xml:space="preserve">3-6  </w:t>
            </w:r>
            <w:r>
              <w:rPr>
                <w:rFonts w:hint="eastAsia"/>
                <w:b/>
                <w:sz w:val="21"/>
                <w:szCs w:val="21"/>
              </w:rPr>
              <w:t>潭子坑取水口处枯水期水质现状监测结果</w:t>
            </w:r>
          </w:p>
          <w:tbl>
            <w:tblPr>
              <w:tblStyle w:val="45"/>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37"/>
              <w:gridCol w:w="2373"/>
              <w:gridCol w:w="1991"/>
              <w:gridCol w:w="1773"/>
              <w:gridCol w:w="177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序号</w:t>
                  </w:r>
                </w:p>
              </w:tc>
              <w:tc>
                <w:tcPr>
                  <w:tcW w:w="1341" w:type="pct"/>
                </w:tcPr>
                <w:p>
                  <w:pPr>
                    <w:jc w:val="center"/>
                    <w:rPr>
                      <w:sz w:val="21"/>
                      <w:szCs w:val="21"/>
                    </w:rPr>
                  </w:pPr>
                  <w:r>
                    <w:rPr>
                      <w:rFonts w:hint="eastAsia"/>
                      <w:sz w:val="21"/>
                      <w:szCs w:val="21"/>
                    </w:rPr>
                    <w:t>检测项目</w:t>
                  </w:r>
                </w:p>
              </w:tc>
              <w:tc>
                <w:tcPr>
                  <w:tcW w:w="1125" w:type="pct"/>
                </w:tcPr>
                <w:p>
                  <w:pPr>
                    <w:jc w:val="center"/>
                    <w:rPr>
                      <w:sz w:val="21"/>
                      <w:szCs w:val="21"/>
                    </w:rPr>
                  </w:pPr>
                  <w:r>
                    <w:rPr>
                      <w:rFonts w:hint="eastAsia"/>
                      <w:sz w:val="21"/>
                      <w:szCs w:val="21"/>
                    </w:rPr>
                    <w:t>结果</w:t>
                  </w:r>
                </w:p>
              </w:tc>
              <w:tc>
                <w:tcPr>
                  <w:tcW w:w="1002" w:type="pct"/>
                </w:tcPr>
                <w:p>
                  <w:pPr>
                    <w:jc w:val="center"/>
                    <w:rPr>
                      <w:sz w:val="21"/>
                      <w:szCs w:val="21"/>
                    </w:rPr>
                  </w:pPr>
                  <w:r>
                    <w:rPr>
                      <w:rFonts w:hint="eastAsia"/>
                      <w:sz w:val="21"/>
                      <w:szCs w:val="21"/>
                    </w:rPr>
                    <w:t>单位</w:t>
                  </w:r>
                </w:p>
              </w:tc>
              <w:tc>
                <w:tcPr>
                  <w:tcW w:w="1002" w:type="pct"/>
                </w:tcPr>
                <w:p>
                  <w:pPr>
                    <w:jc w:val="center"/>
                    <w:rPr>
                      <w:sz w:val="21"/>
                      <w:szCs w:val="21"/>
                    </w:rPr>
                  </w:pPr>
                  <w:r>
                    <w:rPr>
                      <w:rFonts w:hint="eastAsia"/>
                      <w:sz w:val="21"/>
                      <w:szCs w:val="21"/>
                    </w:rPr>
                    <w:t>限值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p>
              </w:tc>
              <w:tc>
                <w:tcPr>
                  <w:tcW w:w="1341" w:type="pct"/>
                </w:tcPr>
                <w:p>
                  <w:pPr>
                    <w:jc w:val="center"/>
                    <w:rPr>
                      <w:sz w:val="21"/>
                      <w:szCs w:val="21"/>
                    </w:rPr>
                  </w:pPr>
                  <w:r>
                    <w:rPr>
                      <w:rFonts w:hint="eastAsia"/>
                      <w:sz w:val="21"/>
                      <w:szCs w:val="21"/>
                    </w:rPr>
                    <w:t>色度</w:t>
                  </w:r>
                </w:p>
              </w:tc>
              <w:tc>
                <w:tcPr>
                  <w:tcW w:w="1125" w:type="pct"/>
                </w:tcPr>
                <w:p>
                  <w:pPr>
                    <w:jc w:val="center"/>
                    <w:rPr>
                      <w:sz w:val="21"/>
                      <w:szCs w:val="21"/>
                    </w:rPr>
                  </w:pPr>
                  <w:r>
                    <w:rPr>
                      <w:rFonts w:hint="eastAsia"/>
                      <w:sz w:val="21"/>
                      <w:szCs w:val="21"/>
                    </w:rPr>
                    <w:t>0</w:t>
                  </w:r>
                </w:p>
              </w:tc>
              <w:tc>
                <w:tcPr>
                  <w:tcW w:w="1002" w:type="pct"/>
                </w:tcPr>
                <w:p>
                  <w:pPr>
                    <w:jc w:val="center"/>
                    <w:rPr>
                      <w:sz w:val="21"/>
                      <w:szCs w:val="21"/>
                    </w:rPr>
                  </w:pPr>
                  <w:r>
                    <w:rPr>
                      <w:rFonts w:hint="eastAsia"/>
                      <w:sz w:val="21"/>
                      <w:szCs w:val="21"/>
                    </w:rPr>
                    <w:t>度</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p>
              </w:tc>
              <w:tc>
                <w:tcPr>
                  <w:tcW w:w="1341" w:type="pct"/>
                </w:tcPr>
                <w:p>
                  <w:pPr>
                    <w:jc w:val="center"/>
                    <w:rPr>
                      <w:sz w:val="21"/>
                      <w:szCs w:val="21"/>
                    </w:rPr>
                  </w:pPr>
                  <w:r>
                    <w:rPr>
                      <w:rFonts w:hint="eastAsia"/>
                      <w:sz w:val="21"/>
                      <w:szCs w:val="21"/>
                    </w:rPr>
                    <w:t>浑浊度</w:t>
                  </w:r>
                </w:p>
              </w:tc>
              <w:tc>
                <w:tcPr>
                  <w:tcW w:w="1125" w:type="pct"/>
                </w:tcPr>
                <w:p>
                  <w:pPr>
                    <w:jc w:val="center"/>
                    <w:rPr>
                      <w:sz w:val="21"/>
                      <w:szCs w:val="21"/>
                    </w:rPr>
                  </w:pPr>
                  <w:r>
                    <w:rPr>
                      <w:rFonts w:hint="eastAsia"/>
                      <w:sz w:val="21"/>
                      <w:szCs w:val="21"/>
                    </w:rPr>
                    <w:t>4</w:t>
                  </w:r>
                  <w:r>
                    <w:rPr>
                      <w:sz w:val="21"/>
                      <w:szCs w:val="21"/>
                    </w:rPr>
                    <w:t>.181</w:t>
                  </w:r>
                </w:p>
              </w:tc>
              <w:tc>
                <w:tcPr>
                  <w:tcW w:w="1002" w:type="pct"/>
                </w:tcPr>
                <w:p>
                  <w:pPr>
                    <w:jc w:val="center"/>
                    <w:rPr>
                      <w:sz w:val="21"/>
                      <w:szCs w:val="21"/>
                    </w:rPr>
                  </w:pPr>
                  <w:r>
                    <w:rPr>
                      <w:rFonts w:hint="eastAsia"/>
                      <w:sz w:val="21"/>
                      <w:szCs w:val="21"/>
                    </w:rPr>
                    <w:t>N</w:t>
                  </w:r>
                  <w:r>
                    <w:rPr>
                      <w:sz w:val="21"/>
                      <w:szCs w:val="21"/>
                    </w:rPr>
                    <w:t>TU</w:t>
                  </w:r>
                </w:p>
              </w:tc>
              <w:tc>
                <w:tcPr>
                  <w:tcW w:w="1002" w:type="pct"/>
                </w:tcPr>
                <w:p>
                  <w:pPr>
                    <w:jc w:val="center"/>
                    <w:rPr>
                      <w:sz w:val="21"/>
                      <w:szCs w:val="21"/>
                    </w:rPr>
                  </w:pPr>
                  <w:r>
                    <w:rPr>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p>
              </w:tc>
              <w:tc>
                <w:tcPr>
                  <w:tcW w:w="1341" w:type="pct"/>
                </w:tcPr>
                <w:p>
                  <w:pPr>
                    <w:jc w:val="center"/>
                    <w:rPr>
                      <w:sz w:val="21"/>
                      <w:szCs w:val="21"/>
                    </w:rPr>
                  </w:pPr>
                  <w:r>
                    <w:rPr>
                      <w:rFonts w:hint="eastAsia"/>
                      <w:sz w:val="21"/>
                      <w:szCs w:val="21"/>
                    </w:rPr>
                    <w:t>臭和味</w:t>
                  </w:r>
                </w:p>
              </w:tc>
              <w:tc>
                <w:tcPr>
                  <w:tcW w:w="1125" w:type="pct"/>
                </w:tcPr>
                <w:p>
                  <w:pPr>
                    <w:jc w:val="center"/>
                    <w:rPr>
                      <w:sz w:val="21"/>
                      <w:szCs w:val="21"/>
                    </w:rPr>
                  </w:pPr>
                  <w:r>
                    <w:rPr>
                      <w:rFonts w:hint="eastAsia"/>
                      <w:sz w:val="21"/>
                      <w:szCs w:val="21"/>
                    </w:rPr>
                    <w:t>0</w:t>
                  </w:r>
                </w:p>
              </w:tc>
              <w:tc>
                <w:tcPr>
                  <w:tcW w:w="1002" w:type="pct"/>
                </w:tcPr>
                <w:p>
                  <w:pPr>
                    <w:jc w:val="center"/>
                    <w:rPr>
                      <w:sz w:val="21"/>
                      <w:szCs w:val="21"/>
                    </w:rPr>
                  </w:pPr>
                  <w:r>
                    <w:rPr>
                      <w:rFonts w:hint="eastAsia"/>
                      <w:sz w:val="21"/>
                      <w:szCs w:val="21"/>
                    </w:rPr>
                    <w:t>级</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4</w:t>
                  </w:r>
                </w:p>
              </w:tc>
              <w:tc>
                <w:tcPr>
                  <w:tcW w:w="1341" w:type="pct"/>
                </w:tcPr>
                <w:p>
                  <w:pPr>
                    <w:jc w:val="center"/>
                    <w:rPr>
                      <w:sz w:val="21"/>
                      <w:szCs w:val="21"/>
                    </w:rPr>
                  </w:pPr>
                  <w:r>
                    <w:rPr>
                      <w:rFonts w:hint="eastAsia"/>
                      <w:sz w:val="21"/>
                      <w:szCs w:val="21"/>
                    </w:rPr>
                    <w:t>肉眼可见物</w:t>
                  </w:r>
                </w:p>
              </w:tc>
              <w:tc>
                <w:tcPr>
                  <w:tcW w:w="1125" w:type="pct"/>
                </w:tcPr>
                <w:p>
                  <w:pPr>
                    <w:jc w:val="center"/>
                    <w:rPr>
                      <w:sz w:val="21"/>
                      <w:szCs w:val="21"/>
                    </w:rPr>
                  </w:pPr>
                  <w:r>
                    <w:rPr>
                      <w:rFonts w:hint="eastAsia"/>
                      <w:sz w:val="21"/>
                      <w:szCs w:val="21"/>
                    </w:rPr>
                    <w:t>无</w:t>
                  </w:r>
                </w:p>
              </w:tc>
              <w:tc>
                <w:tcPr>
                  <w:tcW w:w="1002" w:type="pct"/>
                </w:tcPr>
                <w:p>
                  <w:pPr>
                    <w:jc w:val="center"/>
                    <w:rPr>
                      <w:sz w:val="21"/>
                      <w:szCs w:val="21"/>
                    </w:rPr>
                  </w:pPr>
                  <w:r>
                    <w:rPr>
                      <w:rFonts w:hint="eastAsia"/>
                      <w:sz w:val="21"/>
                      <w:szCs w:val="21"/>
                    </w:rPr>
                    <w:t>/</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5</w:t>
                  </w:r>
                </w:p>
              </w:tc>
              <w:tc>
                <w:tcPr>
                  <w:tcW w:w="1341" w:type="pct"/>
                </w:tcPr>
                <w:p>
                  <w:pPr>
                    <w:jc w:val="center"/>
                    <w:rPr>
                      <w:sz w:val="21"/>
                      <w:szCs w:val="21"/>
                    </w:rPr>
                  </w:pPr>
                  <w:r>
                    <w:rPr>
                      <w:rFonts w:hint="eastAsia"/>
                      <w:sz w:val="21"/>
                      <w:szCs w:val="21"/>
                    </w:rPr>
                    <w:t>水温</w:t>
                  </w:r>
                </w:p>
              </w:tc>
              <w:tc>
                <w:tcPr>
                  <w:tcW w:w="1125" w:type="pct"/>
                </w:tcPr>
                <w:p>
                  <w:pPr>
                    <w:jc w:val="center"/>
                    <w:rPr>
                      <w:sz w:val="21"/>
                      <w:szCs w:val="21"/>
                    </w:rPr>
                  </w:pPr>
                  <w:r>
                    <w:rPr>
                      <w:rFonts w:hint="eastAsia"/>
                      <w:sz w:val="21"/>
                      <w:szCs w:val="21"/>
                    </w:rPr>
                    <w:t>1</w:t>
                  </w:r>
                  <w:r>
                    <w:rPr>
                      <w:sz w:val="21"/>
                      <w:szCs w:val="21"/>
                    </w:rPr>
                    <w:t>1</w:t>
                  </w:r>
                </w:p>
              </w:tc>
              <w:tc>
                <w:tcPr>
                  <w:tcW w:w="1002" w:type="pct"/>
                </w:tcPr>
                <w:p>
                  <w:pPr>
                    <w:jc w:val="center"/>
                    <w:rPr>
                      <w:sz w:val="21"/>
                      <w:szCs w:val="21"/>
                    </w:rPr>
                  </w:pPr>
                  <w:r>
                    <w:rPr>
                      <w:rFonts w:hint="eastAsia"/>
                      <w:sz w:val="21"/>
                      <w:szCs w:val="21"/>
                    </w:rPr>
                    <w:t>℃</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6</w:t>
                  </w:r>
                </w:p>
              </w:tc>
              <w:tc>
                <w:tcPr>
                  <w:tcW w:w="1341" w:type="pct"/>
                </w:tcPr>
                <w:p>
                  <w:pPr>
                    <w:jc w:val="center"/>
                    <w:rPr>
                      <w:sz w:val="21"/>
                      <w:szCs w:val="21"/>
                    </w:rPr>
                  </w:pPr>
                  <w:r>
                    <w:rPr>
                      <w:rFonts w:hint="eastAsia"/>
                      <w:sz w:val="21"/>
                      <w:szCs w:val="21"/>
                    </w:rPr>
                    <w:t>P</w:t>
                  </w:r>
                  <w:r>
                    <w:rPr>
                      <w:sz w:val="21"/>
                      <w:szCs w:val="21"/>
                    </w:rPr>
                    <w:t>H</w:t>
                  </w:r>
                </w:p>
              </w:tc>
              <w:tc>
                <w:tcPr>
                  <w:tcW w:w="1125" w:type="pct"/>
                </w:tcPr>
                <w:p>
                  <w:pPr>
                    <w:jc w:val="center"/>
                    <w:rPr>
                      <w:sz w:val="21"/>
                      <w:szCs w:val="21"/>
                    </w:rPr>
                  </w:pPr>
                  <w:r>
                    <w:rPr>
                      <w:rFonts w:hint="eastAsia"/>
                      <w:sz w:val="21"/>
                      <w:szCs w:val="21"/>
                    </w:rPr>
                    <w:t>7</w:t>
                  </w:r>
                  <w:r>
                    <w:rPr>
                      <w:sz w:val="21"/>
                      <w:szCs w:val="21"/>
                    </w:rPr>
                    <w:t>.96</w:t>
                  </w:r>
                </w:p>
              </w:tc>
              <w:tc>
                <w:tcPr>
                  <w:tcW w:w="1002" w:type="pct"/>
                </w:tcPr>
                <w:p>
                  <w:pPr>
                    <w:jc w:val="center"/>
                    <w:rPr>
                      <w:sz w:val="21"/>
                      <w:szCs w:val="21"/>
                    </w:rPr>
                  </w:pPr>
                  <w:r>
                    <w:rPr>
                      <w:rFonts w:hint="eastAsia"/>
                      <w:sz w:val="21"/>
                      <w:szCs w:val="21"/>
                    </w:rPr>
                    <w:t>P</w:t>
                  </w:r>
                  <w:r>
                    <w:rPr>
                      <w:sz w:val="21"/>
                      <w:szCs w:val="21"/>
                    </w:rPr>
                    <w:t>H</w:t>
                  </w:r>
                  <w:r>
                    <w:rPr>
                      <w:rFonts w:hint="eastAsia"/>
                      <w:sz w:val="21"/>
                      <w:szCs w:val="21"/>
                    </w:rPr>
                    <w:t>单位</w:t>
                  </w:r>
                </w:p>
              </w:tc>
              <w:tc>
                <w:tcPr>
                  <w:tcW w:w="1002" w:type="pct"/>
                </w:tcPr>
                <w:p>
                  <w:pPr>
                    <w:jc w:val="center"/>
                    <w:rPr>
                      <w:sz w:val="21"/>
                      <w:szCs w:val="21"/>
                    </w:rPr>
                  </w:pPr>
                  <w:r>
                    <w:rPr>
                      <w:rFonts w:hint="eastAsia"/>
                      <w:sz w:val="21"/>
                      <w:szCs w:val="21"/>
                    </w:rPr>
                    <w:t>6~</w:t>
                  </w:r>
                  <w:r>
                    <w:rPr>
                      <w:sz w:val="21"/>
                      <w:szCs w:val="21"/>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7</w:t>
                  </w:r>
                </w:p>
              </w:tc>
              <w:tc>
                <w:tcPr>
                  <w:tcW w:w="1341" w:type="pct"/>
                </w:tcPr>
                <w:p>
                  <w:pPr>
                    <w:jc w:val="center"/>
                    <w:rPr>
                      <w:sz w:val="21"/>
                      <w:szCs w:val="21"/>
                    </w:rPr>
                  </w:pPr>
                  <w:r>
                    <w:rPr>
                      <w:rFonts w:hint="eastAsia"/>
                      <w:sz w:val="21"/>
                      <w:szCs w:val="21"/>
                    </w:rPr>
                    <w:t>溶解性总固体</w:t>
                  </w:r>
                </w:p>
              </w:tc>
              <w:tc>
                <w:tcPr>
                  <w:tcW w:w="1125" w:type="pct"/>
                </w:tcPr>
                <w:p>
                  <w:pPr>
                    <w:jc w:val="center"/>
                    <w:rPr>
                      <w:sz w:val="21"/>
                      <w:szCs w:val="21"/>
                    </w:rPr>
                  </w:pPr>
                  <w:r>
                    <w:rPr>
                      <w:rFonts w:hint="eastAsia"/>
                      <w:sz w:val="21"/>
                      <w:szCs w:val="21"/>
                    </w:rPr>
                    <w:t>1</w:t>
                  </w:r>
                  <w:r>
                    <w:rPr>
                      <w:sz w:val="21"/>
                      <w:szCs w:val="21"/>
                    </w:rPr>
                    <w:t>62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8</w:t>
                  </w:r>
                </w:p>
              </w:tc>
              <w:tc>
                <w:tcPr>
                  <w:tcW w:w="1341" w:type="pct"/>
                </w:tcPr>
                <w:p>
                  <w:pPr>
                    <w:jc w:val="center"/>
                    <w:rPr>
                      <w:sz w:val="21"/>
                      <w:szCs w:val="21"/>
                    </w:rPr>
                  </w:pPr>
                  <w:r>
                    <w:rPr>
                      <w:rFonts w:hint="eastAsia"/>
                      <w:sz w:val="21"/>
                      <w:szCs w:val="21"/>
                    </w:rPr>
                    <w:t>总硬度（以C</w:t>
                  </w:r>
                  <w:r>
                    <w:rPr>
                      <w:sz w:val="21"/>
                      <w:szCs w:val="21"/>
                    </w:rPr>
                    <w:t>aCO3</w:t>
                  </w:r>
                  <w:r>
                    <w:rPr>
                      <w:rFonts w:hint="eastAsia"/>
                      <w:sz w:val="21"/>
                      <w:szCs w:val="21"/>
                    </w:rPr>
                    <w:t>计）</w:t>
                  </w:r>
                </w:p>
              </w:tc>
              <w:tc>
                <w:tcPr>
                  <w:tcW w:w="1125" w:type="pct"/>
                </w:tcPr>
                <w:p>
                  <w:pPr>
                    <w:jc w:val="center"/>
                    <w:rPr>
                      <w:sz w:val="21"/>
                      <w:szCs w:val="21"/>
                    </w:rPr>
                  </w:pPr>
                  <w:r>
                    <w:rPr>
                      <w:rFonts w:hint="eastAsia"/>
                      <w:sz w:val="21"/>
                      <w:szCs w:val="21"/>
                    </w:rPr>
                    <w:t>1</w:t>
                  </w:r>
                  <w:r>
                    <w:rPr>
                      <w:sz w:val="21"/>
                      <w:szCs w:val="21"/>
                    </w:rPr>
                    <w:t>76</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9</w:t>
                  </w:r>
                </w:p>
              </w:tc>
              <w:tc>
                <w:tcPr>
                  <w:tcW w:w="1341" w:type="pct"/>
                </w:tcPr>
                <w:p>
                  <w:pPr>
                    <w:jc w:val="center"/>
                    <w:rPr>
                      <w:sz w:val="21"/>
                      <w:szCs w:val="21"/>
                    </w:rPr>
                  </w:pPr>
                  <w:r>
                    <w:rPr>
                      <w:rFonts w:hint="eastAsia"/>
                      <w:sz w:val="21"/>
                      <w:szCs w:val="21"/>
                    </w:rPr>
                    <w:t>氯化物（以C</w:t>
                  </w:r>
                  <w:r>
                    <w:rPr>
                      <w:sz w:val="21"/>
                      <w:szCs w:val="21"/>
                    </w:rPr>
                    <w:t>l</w:t>
                  </w:r>
                  <w:r>
                    <w:rPr>
                      <w:rFonts w:hint="eastAsia"/>
                      <w:sz w:val="21"/>
                      <w:szCs w:val="21"/>
                    </w:rPr>
                    <w:t>-计）</w:t>
                  </w:r>
                </w:p>
              </w:tc>
              <w:tc>
                <w:tcPr>
                  <w:tcW w:w="1125" w:type="pct"/>
                </w:tcPr>
                <w:p>
                  <w:pPr>
                    <w:jc w:val="center"/>
                    <w:rPr>
                      <w:sz w:val="21"/>
                      <w:szCs w:val="21"/>
                    </w:rPr>
                  </w:pPr>
                  <w:r>
                    <w:rPr>
                      <w:rFonts w:hint="eastAsia"/>
                      <w:sz w:val="21"/>
                      <w:szCs w:val="21"/>
                    </w:rPr>
                    <w:t>1</w:t>
                  </w:r>
                  <w:r>
                    <w:rPr>
                      <w:sz w:val="21"/>
                      <w:szCs w:val="21"/>
                    </w:rPr>
                    <w:t>8.8</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250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0</w:t>
                  </w:r>
                </w:p>
              </w:tc>
              <w:tc>
                <w:tcPr>
                  <w:tcW w:w="1341" w:type="pct"/>
                </w:tcPr>
                <w:p>
                  <w:pPr>
                    <w:jc w:val="center"/>
                    <w:rPr>
                      <w:sz w:val="21"/>
                      <w:szCs w:val="21"/>
                    </w:rPr>
                  </w:pPr>
                  <w:r>
                    <w:rPr>
                      <w:rFonts w:hint="eastAsia"/>
                      <w:sz w:val="21"/>
                      <w:szCs w:val="21"/>
                    </w:rPr>
                    <w:t>高锰酸钾指数</w:t>
                  </w:r>
                </w:p>
              </w:tc>
              <w:tc>
                <w:tcPr>
                  <w:tcW w:w="1125" w:type="pct"/>
                </w:tcPr>
                <w:p>
                  <w:pPr>
                    <w:jc w:val="center"/>
                    <w:rPr>
                      <w:sz w:val="21"/>
                      <w:szCs w:val="21"/>
                    </w:rPr>
                  </w:pPr>
                  <w:r>
                    <w:rPr>
                      <w:rFonts w:hint="eastAsia"/>
                      <w:sz w:val="21"/>
                      <w:szCs w:val="21"/>
                    </w:rPr>
                    <w:t>1</w:t>
                  </w:r>
                  <w:r>
                    <w:rPr>
                      <w:sz w:val="21"/>
                      <w:szCs w:val="21"/>
                    </w:rPr>
                    <w:t>.22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1</w:t>
                  </w:r>
                </w:p>
              </w:tc>
              <w:tc>
                <w:tcPr>
                  <w:tcW w:w="1341" w:type="pct"/>
                </w:tcPr>
                <w:p>
                  <w:pPr>
                    <w:jc w:val="center"/>
                    <w:rPr>
                      <w:sz w:val="21"/>
                      <w:szCs w:val="21"/>
                    </w:rPr>
                  </w:pPr>
                  <w:r>
                    <w:rPr>
                      <w:rFonts w:hint="eastAsia"/>
                      <w:sz w:val="21"/>
                      <w:szCs w:val="21"/>
                    </w:rPr>
                    <w:t>挥发酚（以苯酚计）</w:t>
                  </w:r>
                </w:p>
              </w:tc>
              <w:tc>
                <w:tcPr>
                  <w:tcW w:w="1125" w:type="pct"/>
                </w:tcPr>
                <w:p>
                  <w:pPr>
                    <w:jc w:val="center"/>
                    <w:rPr>
                      <w:sz w:val="21"/>
                      <w:szCs w:val="21"/>
                    </w:rPr>
                  </w:pPr>
                  <w:r>
                    <w:rPr>
                      <w:rFonts w:hint="eastAsia"/>
                      <w:sz w:val="21"/>
                      <w:szCs w:val="21"/>
                    </w:rPr>
                    <w:t>＜0</w:t>
                  </w:r>
                  <w:r>
                    <w:rPr>
                      <w:sz w:val="21"/>
                      <w:szCs w:val="21"/>
                    </w:rPr>
                    <w:t>.002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0.005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2</w:t>
                  </w:r>
                  <w:r>
                    <w:rPr>
                      <w:rFonts w:hint="eastAsia"/>
                      <w:sz w:val="21"/>
                      <w:szCs w:val="21"/>
                    </w:rPr>
                    <w:t xml:space="preserve"> </w:t>
                  </w:r>
                </w:p>
              </w:tc>
              <w:tc>
                <w:tcPr>
                  <w:tcW w:w="1341" w:type="pct"/>
                </w:tcPr>
                <w:p>
                  <w:pPr>
                    <w:jc w:val="center"/>
                    <w:rPr>
                      <w:sz w:val="21"/>
                      <w:szCs w:val="21"/>
                    </w:rPr>
                  </w:pPr>
                  <w:r>
                    <w:rPr>
                      <w:rFonts w:hint="eastAsia"/>
                      <w:sz w:val="21"/>
                      <w:szCs w:val="21"/>
                    </w:rPr>
                    <w:t>阴离子合成洗涤剂</w:t>
                  </w:r>
                </w:p>
              </w:tc>
              <w:tc>
                <w:tcPr>
                  <w:tcW w:w="1125" w:type="pct"/>
                </w:tcPr>
                <w:p>
                  <w:pPr>
                    <w:jc w:val="center"/>
                    <w:rPr>
                      <w:sz w:val="21"/>
                      <w:szCs w:val="21"/>
                    </w:rPr>
                  </w:pPr>
                  <w:r>
                    <w:rPr>
                      <w:rFonts w:hint="eastAsia"/>
                      <w:sz w:val="21"/>
                      <w:szCs w:val="21"/>
                    </w:rPr>
                    <w:t>＜0</w:t>
                  </w:r>
                  <w:r>
                    <w:rPr>
                      <w:sz w:val="21"/>
                      <w:szCs w:val="21"/>
                    </w:rPr>
                    <w:t>.1</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≤0</w:t>
                  </w:r>
                  <w:r>
                    <w:rPr>
                      <w:sz w:val="21"/>
                      <w:szCs w:val="21"/>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3</w:t>
                  </w:r>
                </w:p>
              </w:tc>
              <w:tc>
                <w:tcPr>
                  <w:tcW w:w="1341" w:type="pct"/>
                </w:tcPr>
                <w:p>
                  <w:pPr>
                    <w:jc w:val="center"/>
                    <w:rPr>
                      <w:sz w:val="21"/>
                      <w:szCs w:val="21"/>
                    </w:rPr>
                  </w:pPr>
                  <w:r>
                    <w:rPr>
                      <w:rFonts w:hint="eastAsia"/>
                      <w:sz w:val="21"/>
                      <w:szCs w:val="21"/>
                    </w:rPr>
                    <w:t>氰化物</w:t>
                  </w:r>
                </w:p>
              </w:tc>
              <w:tc>
                <w:tcPr>
                  <w:tcW w:w="1125" w:type="pct"/>
                </w:tcPr>
                <w:p>
                  <w:pPr>
                    <w:jc w:val="center"/>
                    <w:rPr>
                      <w:sz w:val="21"/>
                      <w:szCs w:val="21"/>
                    </w:rPr>
                  </w:pPr>
                  <w:r>
                    <w:rPr>
                      <w:rFonts w:hint="eastAsia"/>
                      <w:sz w:val="21"/>
                      <w:szCs w:val="21"/>
                    </w:rPr>
                    <w:t>0</w:t>
                  </w:r>
                  <w:r>
                    <w:rPr>
                      <w:sz w:val="21"/>
                      <w:szCs w:val="21"/>
                    </w:rPr>
                    <w:t>.028</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≤0</w:t>
                  </w:r>
                  <w:r>
                    <w:rPr>
                      <w:sz w:val="21"/>
                      <w:szCs w:val="21"/>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4</w:t>
                  </w:r>
                </w:p>
              </w:tc>
              <w:tc>
                <w:tcPr>
                  <w:tcW w:w="1341" w:type="pct"/>
                </w:tcPr>
                <w:p>
                  <w:pPr>
                    <w:jc w:val="center"/>
                    <w:rPr>
                      <w:sz w:val="21"/>
                      <w:szCs w:val="21"/>
                    </w:rPr>
                  </w:pPr>
                  <w:r>
                    <w:rPr>
                      <w:rFonts w:hint="eastAsia"/>
                      <w:sz w:val="21"/>
                      <w:szCs w:val="21"/>
                    </w:rPr>
                    <w:t>氟化物（以F计）</w:t>
                  </w:r>
                </w:p>
              </w:tc>
              <w:tc>
                <w:tcPr>
                  <w:tcW w:w="1125" w:type="pct"/>
                </w:tcPr>
                <w:p>
                  <w:pPr>
                    <w:jc w:val="center"/>
                    <w:rPr>
                      <w:sz w:val="21"/>
                      <w:szCs w:val="21"/>
                    </w:rPr>
                  </w:pPr>
                  <w:r>
                    <w:rPr>
                      <w:rFonts w:hint="eastAsia"/>
                      <w:sz w:val="21"/>
                      <w:szCs w:val="21"/>
                    </w:rPr>
                    <w:t>0</w:t>
                  </w:r>
                  <w:r>
                    <w:rPr>
                      <w:sz w:val="21"/>
                      <w:szCs w:val="21"/>
                    </w:rPr>
                    <w:t>.228</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≤0</w:t>
                  </w:r>
                  <w:r>
                    <w:rPr>
                      <w:sz w:val="21"/>
                      <w:szCs w:val="21"/>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5</w:t>
                  </w:r>
                </w:p>
              </w:tc>
              <w:tc>
                <w:tcPr>
                  <w:tcW w:w="1341" w:type="pct"/>
                </w:tcPr>
                <w:p>
                  <w:pPr>
                    <w:jc w:val="center"/>
                    <w:rPr>
                      <w:sz w:val="21"/>
                      <w:szCs w:val="21"/>
                    </w:rPr>
                  </w:pPr>
                  <w:r>
                    <w:rPr>
                      <w:rFonts w:hint="eastAsia"/>
                      <w:sz w:val="21"/>
                      <w:szCs w:val="21"/>
                    </w:rPr>
                    <w:t>铬（六价）</w:t>
                  </w:r>
                </w:p>
              </w:tc>
              <w:tc>
                <w:tcPr>
                  <w:tcW w:w="1125" w:type="pct"/>
                </w:tcPr>
                <w:p>
                  <w:pPr>
                    <w:jc w:val="center"/>
                    <w:rPr>
                      <w:sz w:val="21"/>
                      <w:szCs w:val="21"/>
                    </w:rPr>
                  </w:pPr>
                  <w:r>
                    <w:rPr>
                      <w:rFonts w:hint="eastAsia"/>
                      <w:sz w:val="21"/>
                      <w:szCs w:val="21"/>
                    </w:rPr>
                    <w:t>0</w:t>
                  </w:r>
                  <w:r>
                    <w:rPr>
                      <w:sz w:val="21"/>
                      <w:szCs w:val="21"/>
                    </w:rPr>
                    <w:t>.012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≤0</w:t>
                  </w:r>
                  <w:r>
                    <w:rPr>
                      <w:sz w:val="21"/>
                      <w:szCs w:val="21"/>
                    </w:rPr>
                    <w:t>.05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6</w:t>
                  </w:r>
                </w:p>
              </w:tc>
              <w:tc>
                <w:tcPr>
                  <w:tcW w:w="1341" w:type="pct"/>
                </w:tcPr>
                <w:p>
                  <w:pPr>
                    <w:jc w:val="center"/>
                    <w:rPr>
                      <w:sz w:val="21"/>
                      <w:szCs w:val="21"/>
                    </w:rPr>
                  </w:pPr>
                  <w:r>
                    <w:rPr>
                      <w:rFonts w:hint="eastAsia"/>
                      <w:sz w:val="21"/>
                      <w:szCs w:val="21"/>
                    </w:rPr>
                    <w:t>铝</w:t>
                  </w:r>
                </w:p>
              </w:tc>
              <w:tc>
                <w:tcPr>
                  <w:tcW w:w="1125" w:type="pct"/>
                </w:tcPr>
                <w:p>
                  <w:pPr>
                    <w:jc w:val="center"/>
                    <w:rPr>
                      <w:sz w:val="21"/>
                      <w:szCs w:val="21"/>
                    </w:rPr>
                  </w:pPr>
                  <w:r>
                    <w:rPr>
                      <w:rFonts w:hint="eastAsia"/>
                      <w:sz w:val="21"/>
                      <w:szCs w:val="21"/>
                    </w:rPr>
                    <w:t>0</w:t>
                  </w:r>
                  <w:r>
                    <w:rPr>
                      <w:sz w:val="21"/>
                      <w:szCs w:val="21"/>
                    </w:rPr>
                    <w:t>.029</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≤0</w:t>
                  </w:r>
                  <w:r>
                    <w:rPr>
                      <w:sz w:val="21"/>
                      <w:szCs w:val="21"/>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7</w:t>
                  </w:r>
                </w:p>
              </w:tc>
              <w:tc>
                <w:tcPr>
                  <w:tcW w:w="1341" w:type="pct"/>
                </w:tcPr>
                <w:p>
                  <w:pPr>
                    <w:jc w:val="center"/>
                    <w:rPr>
                      <w:sz w:val="21"/>
                      <w:szCs w:val="21"/>
                    </w:rPr>
                  </w:pPr>
                  <w:r>
                    <w:rPr>
                      <w:rFonts w:hint="eastAsia"/>
                      <w:sz w:val="21"/>
                      <w:szCs w:val="21"/>
                    </w:rPr>
                    <w:t>硫酸盐（以S</w:t>
                  </w:r>
                  <w:r>
                    <w:rPr>
                      <w:sz w:val="21"/>
                      <w:szCs w:val="21"/>
                    </w:rPr>
                    <w:t>O</w:t>
                  </w:r>
                  <w:r>
                    <w:rPr>
                      <w:sz w:val="21"/>
                      <w:szCs w:val="21"/>
                      <w:vertAlign w:val="subscript"/>
                    </w:rPr>
                    <w:t>4</w:t>
                  </w:r>
                  <w:r>
                    <w:rPr>
                      <w:sz w:val="21"/>
                      <w:szCs w:val="21"/>
                      <w:vertAlign w:val="superscript"/>
                    </w:rPr>
                    <w:t>2-</w:t>
                  </w:r>
                  <w:r>
                    <w:rPr>
                      <w:rFonts w:hint="eastAsia"/>
                      <w:sz w:val="21"/>
                      <w:szCs w:val="21"/>
                    </w:rPr>
                    <w:t>计）</w:t>
                  </w:r>
                </w:p>
              </w:tc>
              <w:tc>
                <w:tcPr>
                  <w:tcW w:w="1125" w:type="pct"/>
                </w:tcPr>
                <w:p>
                  <w:pPr>
                    <w:jc w:val="center"/>
                    <w:rPr>
                      <w:sz w:val="21"/>
                      <w:szCs w:val="21"/>
                    </w:rPr>
                  </w:pPr>
                  <w:r>
                    <w:rPr>
                      <w:rFonts w:hint="eastAsia"/>
                      <w:sz w:val="21"/>
                      <w:szCs w:val="21"/>
                    </w:rPr>
                    <w:t>3</w:t>
                  </w:r>
                  <w:r>
                    <w:rPr>
                      <w:sz w:val="21"/>
                      <w:szCs w:val="21"/>
                    </w:rPr>
                    <w:t>7.2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250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8</w:t>
                  </w:r>
                </w:p>
              </w:tc>
              <w:tc>
                <w:tcPr>
                  <w:tcW w:w="1341" w:type="pct"/>
                </w:tcPr>
                <w:p>
                  <w:pPr>
                    <w:jc w:val="center"/>
                    <w:rPr>
                      <w:sz w:val="21"/>
                      <w:szCs w:val="21"/>
                    </w:rPr>
                  </w:pPr>
                  <w:r>
                    <w:rPr>
                      <w:rFonts w:hint="eastAsia"/>
                      <w:sz w:val="21"/>
                      <w:szCs w:val="21"/>
                    </w:rPr>
                    <w:t>硝酸盐（以N计）</w:t>
                  </w:r>
                </w:p>
              </w:tc>
              <w:tc>
                <w:tcPr>
                  <w:tcW w:w="1125" w:type="pct"/>
                </w:tcPr>
                <w:p>
                  <w:pPr>
                    <w:jc w:val="center"/>
                    <w:rPr>
                      <w:sz w:val="21"/>
                      <w:szCs w:val="21"/>
                    </w:rPr>
                  </w:pPr>
                  <w:r>
                    <w:rPr>
                      <w:rFonts w:hint="eastAsia"/>
                      <w:sz w:val="21"/>
                      <w:szCs w:val="21"/>
                    </w:rPr>
                    <w:t>1</w:t>
                  </w:r>
                  <w:r>
                    <w:rPr>
                      <w:sz w:val="21"/>
                      <w:szCs w:val="21"/>
                    </w:rPr>
                    <w:t>.57</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1</w:t>
                  </w:r>
                  <w:r>
                    <w:rPr>
                      <w:sz w:val="21"/>
                      <w:szCs w:val="21"/>
                    </w:rPr>
                    <w:t>9</w:t>
                  </w:r>
                </w:p>
              </w:tc>
              <w:tc>
                <w:tcPr>
                  <w:tcW w:w="1341" w:type="pct"/>
                </w:tcPr>
                <w:p>
                  <w:pPr>
                    <w:jc w:val="center"/>
                    <w:rPr>
                      <w:sz w:val="21"/>
                      <w:szCs w:val="21"/>
                    </w:rPr>
                  </w:pPr>
                  <w:r>
                    <w:rPr>
                      <w:rFonts w:hint="eastAsia"/>
                      <w:sz w:val="21"/>
                      <w:szCs w:val="21"/>
                    </w:rPr>
                    <w:t>亚硝酸盐（以N计）</w:t>
                  </w:r>
                </w:p>
              </w:tc>
              <w:tc>
                <w:tcPr>
                  <w:tcW w:w="1125" w:type="pct"/>
                </w:tcPr>
                <w:p>
                  <w:pPr>
                    <w:jc w:val="center"/>
                    <w:rPr>
                      <w:sz w:val="21"/>
                      <w:szCs w:val="21"/>
                    </w:rPr>
                  </w:pPr>
                  <w:r>
                    <w:rPr>
                      <w:rFonts w:hint="eastAsia"/>
                      <w:sz w:val="21"/>
                      <w:szCs w:val="21"/>
                    </w:rPr>
                    <w:t>＜0</w:t>
                  </w:r>
                  <w:r>
                    <w:rPr>
                      <w:sz w:val="21"/>
                      <w:szCs w:val="21"/>
                    </w:rPr>
                    <w:t>.002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0</w:t>
                  </w:r>
                </w:p>
              </w:tc>
              <w:tc>
                <w:tcPr>
                  <w:tcW w:w="1341" w:type="pct"/>
                </w:tcPr>
                <w:p>
                  <w:pPr>
                    <w:jc w:val="center"/>
                    <w:rPr>
                      <w:sz w:val="21"/>
                      <w:szCs w:val="21"/>
                    </w:rPr>
                  </w:pPr>
                  <w:r>
                    <w:rPr>
                      <w:rFonts w:hint="eastAsia"/>
                      <w:sz w:val="21"/>
                      <w:szCs w:val="21"/>
                    </w:rPr>
                    <w:t>三氯甲烷</w:t>
                  </w:r>
                </w:p>
              </w:tc>
              <w:tc>
                <w:tcPr>
                  <w:tcW w:w="1125" w:type="pct"/>
                </w:tcPr>
                <w:p>
                  <w:pPr>
                    <w:jc w:val="center"/>
                    <w:rPr>
                      <w:sz w:val="21"/>
                      <w:szCs w:val="21"/>
                    </w:rPr>
                  </w:pPr>
                  <w:r>
                    <w:rPr>
                      <w:rFonts w:hint="eastAsia"/>
                      <w:sz w:val="21"/>
                      <w:szCs w:val="21"/>
                    </w:rPr>
                    <w:t>＜4</w:t>
                  </w:r>
                  <w:r>
                    <w:rPr>
                      <w:sz w:val="21"/>
                      <w:szCs w:val="21"/>
                    </w:rPr>
                    <w:t>.0</w:t>
                  </w:r>
                </w:p>
              </w:tc>
              <w:tc>
                <w:tcPr>
                  <w:tcW w:w="1002" w:type="pct"/>
                </w:tcPr>
                <w:p>
                  <w:pPr>
                    <w:jc w:val="center"/>
                    <w:rPr>
                      <w:sz w:val="21"/>
                      <w:szCs w:val="21"/>
                    </w:rPr>
                  </w:pPr>
                  <w:r>
                    <w:rPr>
                      <w:sz w:val="21"/>
                      <w:szCs w:val="21"/>
                    </w:rPr>
                    <w:t>ug/L</w:t>
                  </w:r>
                </w:p>
              </w:tc>
              <w:tc>
                <w:tcPr>
                  <w:tcW w:w="1002" w:type="pct"/>
                </w:tcPr>
                <w:p>
                  <w:pPr>
                    <w:jc w:val="center"/>
                    <w:rPr>
                      <w:sz w:val="21"/>
                      <w:szCs w:val="21"/>
                    </w:rPr>
                  </w:pPr>
                  <w:r>
                    <w:rPr>
                      <w:rFonts w:hint="eastAsia"/>
                      <w:sz w:val="21"/>
                      <w:szCs w:val="21"/>
                    </w:rPr>
                    <w:t>≤</w:t>
                  </w:r>
                  <w:r>
                    <w:rPr>
                      <w:sz w:val="21"/>
                      <w:szCs w:val="21"/>
                    </w:rPr>
                    <w:t>60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1</w:t>
                  </w:r>
                </w:p>
              </w:tc>
              <w:tc>
                <w:tcPr>
                  <w:tcW w:w="1341" w:type="pct"/>
                </w:tcPr>
                <w:p>
                  <w:pPr>
                    <w:jc w:val="center"/>
                    <w:rPr>
                      <w:sz w:val="21"/>
                      <w:szCs w:val="21"/>
                    </w:rPr>
                  </w:pPr>
                  <w:r>
                    <w:rPr>
                      <w:rFonts w:hint="eastAsia"/>
                      <w:sz w:val="21"/>
                      <w:szCs w:val="21"/>
                    </w:rPr>
                    <w:t>四氯化碳</w:t>
                  </w:r>
                </w:p>
              </w:tc>
              <w:tc>
                <w:tcPr>
                  <w:tcW w:w="1125" w:type="pct"/>
                </w:tcPr>
                <w:p>
                  <w:pPr>
                    <w:jc w:val="center"/>
                    <w:rPr>
                      <w:sz w:val="21"/>
                      <w:szCs w:val="21"/>
                    </w:rPr>
                  </w:pPr>
                  <w:r>
                    <w:rPr>
                      <w:rFonts w:hint="eastAsia"/>
                      <w:sz w:val="21"/>
                      <w:szCs w:val="21"/>
                    </w:rPr>
                    <w:t>＜0</w:t>
                  </w:r>
                  <w:r>
                    <w:rPr>
                      <w:sz w:val="21"/>
                      <w:szCs w:val="21"/>
                    </w:rPr>
                    <w:t>.3</w:t>
                  </w:r>
                </w:p>
              </w:tc>
              <w:tc>
                <w:tcPr>
                  <w:tcW w:w="1002" w:type="pct"/>
                </w:tcPr>
                <w:p>
                  <w:pPr>
                    <w:jc w:val="center"/>
                    <w:rPr>
                      <w:sz w:val="21"/>
                      <w:szCs w:val="21"/>
                    </w:rPr>
                  </w:pPr>
                  <w:r>
                    <w:rPr>
                      <w:sz w:val="21"/>
                      <w:szCs w:val="21"/>
                    </w:rPr>
                    <w:t>ug/L</w:t>
                  </w:r>
                </w:p>
              </w:tc>
              <w:tc>
                <w:tcPr>
                  <w:tcW w:w="1002" w:type="pct"/>
                </w:tcPr>
                <w:p>
                  <w:pPr>
                    <w:jc w:val="center"/>
                    <w:rPr>
                      <w:sz w:val="21"/>
                      <w:szCs w:val="21"/>
                    </w:rPr>
                  </w:pPr>
                  <w:r>
                    <w:rPr>
                      <w:rFonts w:hint="eastAsia"/>
                      <w:sz w:val="21"/>
                      <w:szCs w:val="21"/>
                    </w:rPr>
                    <w:t>≤</w:t>
                  </w:r>
                  <w:r>
                    <w:rPr>
                      <w:sz w:val="21"/>
                      <w:szCs w:val="21"/>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2</w:t>
                  </w:r>
                </w:p>
              </w:tc>
              <w:tc>
                <w:tcPr>
                  <w:tcW w:w="1341" w:type="pct"/>
                </w:tcPr>
                <w:p>
                  <w:pPr>
                    <w:jc w:val="center"/>
                    <w:rPr>
                      <w:sz w:val="21"/>
                      <w:szCs w:val="21"/>
                    </w:rPr>
                  </w:pPr>
                  <w:r>
                    <w:rPr>
                      <w:rFonts w:hint="eastAsia"/>
                      <w:sz w:val="21"/>
                      <w:szCs w:val="21"/>
                    </w:rPr>
                    <w:t>氯酸盐</w:t>
                  </w:r>
                </w:p>
              </w:tc>
              <w:tc>
                <w:tcPr>
                  <w:tcW w:w="1125" w:type="pct"/>
                </w:tcPr>
                <w:p>
                  <w:pPr>
                    <w:jc w:val="center"/>
                    <w:rPr>
                      <w:sz w:val="21"/>
                      <w:szCs w:val="21"/>
                    </w:rPr>
                  </w:pPr>
                  <w:r>
                    <w:rPr>
                      <w:rFonts w:hint="eastAsia"/>
                      <w:sz w:val="21"/>
                      <w:szCs w:val="21"/>
                    </w:rPr>
                    <w:t>＜0</w:t>
                  </w:r>
                  <w:r>
                    <w:rPr>
                      <w:sz w:val="21"/>
                      <w:szCs w:val="21"/>
                    </w:rPr>
                    <w:t>.002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0.7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3</w:t>
                  </w:r>
                </w:p>
              </w:tc>
              <w:tc>
                <w:tcPr>
                  <w:tcW w:w="1341" w:type="pct"/>
                </w:tcPr>
                <w:p>
                  <w:pPr>
                    <w:jc w:val="center"/>
                    <w:rPr>
                      <w:sz w:val="21"/>
                      <w:szCs w:val="21"/>
                    </w:rPr>
                  </w:pPr>
                  <w:r>
                    <w:rPr>
                      <w:rFonts w:hint="eastAsia"/>
                      <w:sz w:val="21"/>
                      <w:szCs w:val="21"/>
                    </w:rPr>
                    <w:t>氨氮</w:t>
                  </w:r>
                </w:p>
              </w:tc>
              <w:tc>
                <w:tcPr>
                  <w:tcW w:w="1125" w:type="pct"/>
                </w:tcPr>
                <w:p>
                  <w:pPr>
                    <w:jc w:val="center"/>
                    <w:rPr>
                      <w:sz w:val="21"/>
                      <w:szCs w:val="21"/>
                    </w:rPr>
                  </w:pPr>
                  <w:r>
                    <w:rPr>
                      <w:rFonts w:hint="eastAsia"/>
                      <w:sz w:val="21"/>
                      <w:szCs w:val="21"/>
                    </w:rPr>
                    <w:t>0</w:t>
                  </w:r>
                  <w:r>
                    <w:rPr>
                      <w:sz w:val="21"/>
                      <w:szCs w:val="21"/>
                    </w:rPr>
                    <w:t>.152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4</w:t>
                  </w:r>
                </w:p>
              </w:tc>
              <w:tc>
                <w:tcPr>
                  <w:tcW w:w="1341" w:type="pct"/>
                </w:tcPr>
                <w:p>
                  <w:pPr>
                    <w:jc w:val="center"/>
                    <w:rPr>
                      <w:sz w:val="21"/>
                      <w:szCs w:val="21"/>
                    </w:rPr>
                  </w:pPr>
                  <w:r>
                    <w:rPr>
                      <w:rFonts w:hint="eastAsia"/>
                      <w:sz w:val="21"/>
                      <w:szCs w:val="21"/>
                    </w:rPr>
                    <w:t>亚氯酸盐</w:t>
                  </w:r>
                </w:p>
              </w:tc>
              <w:tc>
                <w:tcPr>
                  <w:tcW w:w="1125" w:type="pct"/>
                </w:tcPr>
                <w:p>
                  <w:pPr>
                    <w:jc w:val="center"/>
                    <w:rPr>
                      <w:sz w:val="21"/>
                      <w:szCs w:val="21"/>
                    </w:rPr>
                  </w:pPr>
                  <w:r>
                    <w:rPr>
                      <w:rFonts w:hint="eastAsia"/>
                      <w:sz w:val="21"/>
                      <w:szCs w:val="21"/>
                    </w:rPr>
                    <w:t>＜0</w:t>
                  </w:r>
                  <w:r>
                    <w:rPr>
                      <w:sz w:val="21"/>
                      <w:szCs w:val="21"/>
                    </w:rPr>
                    <w:t>.002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0.7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5</w:t>
                  </w:r>
                </w:p>
              </w:tc>
              <w:tc>
                <w:tcPr>
                  <w:tcW w:w="1341" w:type="pct"/>
                </w:tcPr>
                <w:p>
                  <w:pPr>
                    <w:jc w:val="center"/>
                    <w:rPr>
                      <w:sz w:val="21"/>
                      <w:szCs w:val="21"/>
                    </w:rPr>
                  </w:pPr>
                  <w:r>
                    <w:rPr>
                      <w:rFonts w:hint="eastAsia"/>
                      <w:sz w:val="21"/>
                      <w:szCs w:val="21"/>
                    </w:rPr>
                    <w:t>铁</w:t>
                  </w:r>
                </w:p>
              </w:tc>
              <w:tc>
                <w:tcPr>
                  <w:tcW w:w="1125" w:type="pct"/>
                </w:tcPr>
                <w:p>
                  <w:pPr>
                    <w:jc w:val="center"/>
                    <w:rPr>
                      <w:sz w:val="21"/>
                      <w:szCs w:val="21"/>
                    </w:rPr>
                  </w:pPr>
                  <w:r>
                    <w:rPr>
                      <w:rFonts w:hint="eastAsia"/>
                      <w:sz w:val="21"/>
                      <w:szCs w:val="21"/>
                    </w:rPr>
                    <w:t>0</w:t>
                  </w:r>
                  <w:r>
                    <w:rPr>
                      <w:sz w:val="21"/>
                      <w:szCs w:val="21"/>
                    </w:rPr>
                    <w:t>.08</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0.3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6</w:t>
                  </w:r>
                </w:p>
              </w:tc>
              <w:tc>
                <w:tcPr>
                  <w:tcW w:w="1341" w:type="pct"/>
                </w:tcPr>
                <w:p>
                  <w:pPr>
                    <w:jc w:val="center"/>
                    <w:rPr>
                      <w:sz w:val="21"/>
                      <w:szCs w:val="21"/>
                    </w:rPr>
                  </w:pPr>
                  <w:r>
                    <w:rPr>
                      <w:rFonts w:hint="eastAsia"/>
                      <w:sz w:val="21"/>
                      <w:szCs w:val="21"/>
                    </w:rPr>
                    <w:t>锰</w:t>
                  </w:r>
                </w:p>
              </w:tc>
              <w:tc>
                <w:tcPr>
                  <w:tcW w:w="1125" w:type="pct"/>
                </w:tcPr>
                <w:p>
                  <w:pPr>
                    <w:jc w:val="center"/>
                    <w:rPr>
                      <w:sz w:val="21"/>
                      <w:szCs w:val="21"/>
                    </w:rPr>
                  </w:pPr>
                  <w:r>
                    <w:rPr>
                      <w:rFonts w:hint="eastAsia"/>
                      <w:sz w:val="21"/>
                      <w:szCs w:val="21"/>
                    </w:rPr>
                    <w:t>0</w:t>
                  </w:r>
                  <w:r>
                    <w:rPr>
                      <w:sz w:val="21"/>
                      <w:szCs w:val="21"/>
                    </w:rPr>
                    <w:t>.02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7</w:t>
                  </w:r>
                </w:p>
              </w:tc>
              <w:tc>
                <w:tcPr>
                  <w:tcW w:w="1341" w:type="pct"/>
                </w:tcPr>
                <w:p>
                  <w:pPr>
                    <w:jc w:val="center"/>
                    <w:rPr>
                      <w:sz w:val="21"/>
                      <w:szCs w:val="21"/>
                    </w:rPr>
                  </w:pPr>
                  <w:r>
                    <w:rPr>
                      <w:rFonts w:hint="eastAsia"/>
                      <w:sz w:val="21"/>
                      <w:szCs w:val="21"/>
                    </w:rPr>
                    <w:t>铜</w:t>
                  </w:r>
                </w:p>
              </w:tc>
              <w:tc>
                <w:tcPr>
                  <w:tcW w:w="1125" w:type="pct"/>
                </w:tcPr>
                <w:p>
                  <w:pPr>
                    <w:jc w:val="center"/>
                    <w:rPr>
                      <w:sz w:val="21"/>
                      <w:szCs w:val="21"/>
                    </w:rPr>
                  </w:pPr>
                  <w:r>
                    <w:rPr>
                      <w:rFonts w:hint="eastAsia"/>
                      <w:sz w:val="21"/>
                      <w:szCs w:val="21"/>
                    </w:rPr>
                    <w:t>0</w:t>
                  </w:r>
                  <w:r>
                    <w:rPr>
                      <w:sz w:val="21"/>
                      <w:szCs w:val="21"/>
                    </w:rPr>
                    <w:t>.009</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8</w:t>
                  </w:r>
                </w:p>
              </w:tc>
              <w:tc>
                <w:tcPr>
                  <w:tcW w:w="1341" w:type="pct"/>
                </w:tcPr>
                <w:p>
                  <w:pPr>
                    <w:jc w:val="center"/>
                    <w:rPr>
                      <w:sz w:val="21"/>
                      <w:szCs w:val="21"/>
                    </w:rPr>
                  </w:pPr>
                  <w:r>
                    <w:rPr>
                      <w:rFonts w:hint="eastAsia"/>
                      <w:sz w:val="21"/>
                      <w:szCs w:val="21"/>
                    </w:rPr>
                    <w:t>锌</w:t>
                  </w:r>
                </w:p>
              </w:tc>
              <w:tc>
                <w:tcPr>
                  <w:tcW w:w="1125" w:type="pct"/>
                </w:tcPr>
                <w:p>
                  <w:pPr>
                    <w:jc w:val="center"/>
                    <w:rPr>
                      <w:sz w:val="21"/>
                      <w:szCs w:val="21"/>
                    </w:rPr>
                  </w:pPr>
                  <w:r>
                    <w:rPr>
                      <w:rFonts w:hint="eastAsia"/>
                      <w:sz w:val="21"/>
                      <w:szCs w:val="21"/>
                    </w:rPr>
                    <w:t>0</w:t>
                  </w:r>
                  <w:r>
                    <w:rPr>
                      <w:sz w:val="21"/>
                      <w:szCs w:val="21"/>
                    </w:rPr>
                    <w:t>.003</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2</w:t>
                  </w:r>
                  <w:r>
                    <w:rPr>
                      <w:sz w:val="21"/>
                      <w:szCs w:val="21"/>
                    </w:rPr>
                    <w:t>9</w:t>
                  </w:r>
                </w:p>
              </w:tc>
              <w:tc>
                <w:tcPr>
                  <w:tcW w:w="1341" w:type="pct"/>
                </w:tcPr>
                <w:p>
                  <w:pPr>
                    <w:jc w:val="center"/>
                    <w:rPr>
                      <w:sz w:val="21"/>
                      <w:szCs w:val="21"/>
                    </w:rPr>
                  </w:pPr>
                  <w:r>
                    <w:rPr>
                      <w:rFonts w:hint="eastAsia"/>
                      <w:sz w:val="21"/>
                      <w:szCs w:val="21"/>
                    </w:rPr>
                    <w:t>铅</w:t>
                  </w:r>
                </w:p>
              </w:tc>
              <w:tc>
                <w:tcPr>
                  <w:tcW w:w="1125" w:type="pct"/>
                </w:tcPr>
                <w:p>
                  <w:pPr>
                    <w:jc w:val="center"/>
                    <w:rPr>
                      <w:sz w:val="21"/>
                      <w:szCs w:val="21"/>
                    </w:rPr>
                  </w:pPr>
                  <w:r>
                    <w:rPr>
                      <w:rFonts w:hint="eastAsia"/>
                      <w:sz w:val="21"/>
                      <w:szCs w:val="21"/>
                    </w:rPr>
                    <w:t>＜1</w:t>
                  </w:r>
                  <w:r>
                    <w:rPr>
                      <w:sz w:val="21"/>
                      <w:szCs w:val="21"/>
                    </w:rPr>
                    <w:t>.00</w:t>
                  </w:r>
                </w:p>
              </w:tc>
              <w:tc>
                <w:tcPr>
                  <w:tcW w:w="1002" w:type="pct"/>
                </w:tcPr>
                <w:p>
                  <w:pPr>
                    <w:jc w:val="center"/>
                    <w:rPr>
                      <w:sz w:val="21"/>
                      <w:szCs w:val="21"/>
                    </w:rPr>
                  </w:pPr>
                  <w:r>
                    <w:rPr>
                      <w:sz w:val="21"/>
                      <w:szCs w:val="21"/>
                    </w:rPr>
                    <w:t>ug/L</w:t>
                  </w:r>
                </w:p>
              </w:tc>
              <w:tc>
                <w:tcPr>
                  <w:tcW w:w="1002" w:type="pct"/>
                </w:tcPr>
                <w:p>
                  <w:pPr>
                    <w:jc w:val="center"/>
                    <w:rPr>
                      <w:sz w:val="21"/>
                      <w:szCs w:val="21"/>
                    </w:rPr>
                  </w:pPr>
                  <w:r>
                    <w:rPr>
                      <w:rFonts w:hint="eastAsia"/>
                      <w:sz w:val="21"/>
                      <w:szCs w:val="21"/>
                    </w:rPr>
                    <w:t>≤</w:t>
                  </w:r>
                  <w:r>
                    <w:rPr>
                      <w:sz w:val="21"/>
                      <w:szCs w:val="21"/>
                    </w:rPr>
                    <w:t>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r>
                    <w:rPr>
                      <w:sz w:val="21"/>
                      <w:szCs w:val="21"/>
                    </w:rPr>
                    <w:t>0</w:t>
                  </w:r>
                </w:p>
              </w:tc>
              <w:tc>
                <w:tcPr>
                  <w:tcW w:w="1341" w:type="pct"/>
                </w:tcPr>
                <w:p>
                  <w:pPr>
                    <w:jc w:val="center"/>
                    <w:rPr>
                      <w:sz w:val="21"/>
                      <w:szCs w:val="21"/>
                    </w:rPr>
                  </w:pPr>
                  <w:r>
                    <w:rPr>
                      <w:rFonts w:hint="eastAsia"/>
                      <w:sz w:val="21"/>
                      <w:szCs w:val="21"/>
                    </w:rPr>
                    <w:t>镉</w:t>
                  </w:r>
                </w:p>
              </w:tc>
              <w:tc>
                <w:tcPr>
                  <w:tcW w:w="1125" w:type="pct"/>
                </w:tcPr>
                <w:p>
                  <w:pPr>
                    <w:jc w:val="center"/>
                    <w:rPr>
                      <w:sz w:val="21"/>
                      <w:szCs w:val="21"/>
                    </w:rPr>
                  </w:pPr>
                  <w:r>
                    <w:rPr>
                      <w:rFonts w:hint="eastAsia"/>
                      <w:sz w:val="21"/>
                      <w:szCs w:val="21"/>
                    </w:rPr>
                    <w:t>0</w:t>
                  </w:r>
                  <w:r>
                    <w:rPr>
                      <w:sz w:val="21"/>
                      <w:szCs w:val="21"/>
                    </w:rPr>
                    <w:t>.112</w:t>
                  </w:r>
                </w:p>
              </w:tc>
              <w:tc>
                <w:tcPr>
                  <w:tcW w:w="1002" w:type="pct"/>
                </w:tcPr>
                <w:p>
                  <w:pPr>
                    <w:jc w:val="center"/>
                    <w:rPr>
                      <w:sz w:val="21"/>
                      <w:szCs w:val="21"/>
                    </w:rPr>
                  </w:pPr>
                  <w:r>
                    <w:rPr>
                      <w:sz w:val="21"/>
                      <w:szCs w:val="21"/>
                    </w:rPr>
                    <w:t>ug/L</w:t>
                  </w:r>
                </w:p>
              </w:tc>
              <w:tc>
                <w:tcPr>
                  <w:tcW w:w="1002" w:type="pct"/>
                </w:tcPr>
                <w:p>
                  <w:pPr>
                    <w:jc w:val="center"/>
                    <w:rPr>
                      <w:sz w:val="21"/>
                      <w:szCs w:val="21"/>
                    </w:rPr>
                  </w:pPr>
                  <w:r>
                    <w:rPr>
                      <w:rFonts w:hint="eastAsia"/>
                      <w:sz w:val="21"/>
                      <w:szCs w:val="21"/>
                    </w:rPr>
                    <w:t>≤</w:t>
                  </w:r>
                  <w:r>
                    <w:rPr>
                      <w:sz w:val="21"/>
                      <w:szCs w:val="21"/>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r>
                    <w:rPr>
                      <w:sz w:val="21"/>
                      <w:szCs w:val="21"/>
                    </w:rPr>
                    <w:t>1</w:t>
                  </w:r>
                </w:p>
              </w:tc>
              <w:tc>
                <w:tcPr>
                  <w:tcW w:w="1341" w:type="pct"/>
                </w:tcPr>
                <w:p>
                  <w:pPr>
                    <w:jc w:val="center"/>
                    <w:rPr>
                      <w:sz w:val="21"/>
                      <w:szCs w:val="21"/>
                    </w:rPr>
                  </w:pPr>
                  <w:r>
                    <w:rPr>
                      <w:rFonts w:hint="eastAsia"/>
                      <w:sz w:val="21"/>
                      <w:szCs w:val="21"/>
                    </w:rPr>
                    <w:t>砷</w:t>
                  </w:r>
                </w:p>
              </w:tc>
              <w:tc>
                <w:tcPr>
                  <w:tcW w:w="1125" w:type="pct"/>
                </w:tcPr>
                <w:p>
                  <w:pPr>
                    <w:jc w:val="center"/>
                    <w:rPr>
                      <w:sz w:val="21"/>
                      <w:szCs w:val="21"/>
                    </w:rPr>
                  </w:pPr>
                  <w:r>
                    <w:rPr>
                      <w:rFonts w:hint="eastAsia"/>
                      <w:sz w:val="21"/>
                      <w:szCs w:val="21"/>
                    </w:rPr>
                    <w:t>＜</w:t>
                  </w:r>
                  <w:r>
                    <w:rPr>
                      <w:sz w:val="21"/>
                      <w:szCs w:val="21"/>
                    </w:rPr>
                    <w:t>0.06</w:t>
                  </w:r>
                </w:p>
              </w:tc>
              <w:tc>
                <w:tcPr>
                  <w:tcW w:w="1002" w:type="pct"/>
                </w:tcPr>
                <w:p>
                  <w:pPr>
                    <w:jc w:val="center"/>
                    <w:rPr>
                      <w:sz w:val="21"/>
                      <w:szCs w:val="21"/>
                    </w:rPr>
                  </w:pPr>
                  <w:r>
                    <w:rPr>
                      <w:sz w:val="21"/>
                      <w:szCs w:val="21"/>
                    </w:rPr>
                    <w:t>ug/L</w:t>
                  </w:r>
                </w:p>
              </w:tc>
              <w:tc>
                <w:tcPr>
                  <w:tcW w:w="1002" w:type="pct"/>
                </w:tcPr>
                <w:p>
                  <w:pPr>
                    <w:jc w:val="center"/>
                    <w:rPr>
                      <w:sz w:val="21"/>
                      <w:szCs w:val="21"/>
                    </w:rPr>
                  </w:pPr>
                  <w:r>
                    <w:rPr>
                      <w:rFonts w:hint="eastAsia"/>
                      <w:sz w:val="21"/>
                      <w:szCs w:val="21"/>
                    </w:rPr>
                    <w:t>≤</w:t>
                  </w:r>
                  <w:r>
                    <w:rPr>
                      <w:sz w:val="21"/>
                      <w:szCs w:val="21"/>
                    </w:rPr>
                    <w:t>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r>
                    <w:rPr>
                      <w:sz w:val="21"/>
                      <w:szCs w:val="21"/>
                    </w:rPr>
                    <w:t>2</w:t>
                  </w:r>
                </w:p>
              </w:tc>
              <w:tc>
                <w:tcPr>
                  <w:tcW w:w="1341" w:type="pct"/>
                </w:tcPr>
                <w:p>
                  <w:pPr>
                    <w:jc w:val="center"/>
                    <w:rPr>
                      <w:sz w:val="21"/>
                      <w:szCs w:val="21"/>
                    </w:rPr>
                  </w:pPr>
                  <w:r>
                    <w:rPr>
                      <w:rFonts w:hint="eastAsia"/>
                      <w:sz w:val="21"/>
                      <w:szCs w:val="21"/>
                    </w:rPr>
                    <w:t>硒</w:t>
                  </w:r>
                </w:p>
              </w:tc>
              <w:tc>
                <w:tcPr>
                  <w:tcW w:w="1125" w:type="pct"/>
                </w:tcPr>
                <w:p>
                  <w:pPr>
                    <w:jc w:val="center"/>
                    <w:rPr>
                      <w:sz w:val="21"/>
                      <w:szCs w:val="21"/>
                    </w:rPr>
                  </w:pPr>
                  <w:r>
                    <w:rPr>
                      <w:rFonts w:hint="eastAsia"/>
                      <w:sz w:val="21"/>
                      <w:szCs w:val="21"/>
                    </w:rPr>
                    <w:t>＜</w:t>
                  </w:r>
                  <w:r>
                    <w:rPr>
                      <w:sz w:val="21"/>
                      <w:szCs w:val="21"/>
                    </w:rPr>
                    <w:t>0.05</w:t>
                  </w:r>
                </w:p>
              </w:tc>
              <w:tc>
                <w:tcPr>
                  <w:tcW w:w="1002" w:type="pct"/>
                </w:tcPr>
                <w:p>
                  <w:pPr>
                    <w:jc w:val="center"/>
                    <w:rPr>
                      <w:sz w:val="21"/>
                      <w:szCs w:val="21"/>
                    </w:rPr>
                  </w:pPr>
                  <w:r>
                    <w:rPr>
                      <w:sz w:val="21"/>
                      <w:szCs w:val="21"/>
                    </w:rPr>
                    <w:t>ug/L</w:t>
                  </w:r>
                </w:p>
              </w:tc>
              <w:tc>
                <w:tcPr>
                  <w:tcW w:w="1002" w:type="pct"/>
                </w:tcPr>
                <w:p>
                  <w:pPr>
                    <w:jc w:val="center"/>
                    <w:rPr>
                      <w:sz w:val="21"/>
                      <w:szCs w:val="21"/>
                    </w:rPr>
                  </w:pPr>
                  <w:r>
                    <w:rPr>
                      <w:rFonts w:hint="eastAsia"/>
                      <w:sz w:val="21"/>
                      <w:szCs w:val="21"/>
                    </w:rPr>
                    <w:t>≤</w:t>
                  </w:r>
                  <w:r>
                    <w:rPr>
                      <w:sz w:val="21"/>
                      <w:szCs w:val="21"/>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r>
                    <w:rPr>
                      <w:sz w:val="21"/>
                      <w:szCs w:val="21"/>
                    </w:rPr>
                    <w:t>3</w:t>
                  </w:r>
                </w:p>
              </w:tc>
              <w:tc>
                <w:tcPr>
                  <w:tcW w:w="1341" w:type="pct"/>
                </w:tcPr>
                <w:p>
                  <w:pPr>
                    <w:jc w:val="center"/>
                    <w:rPr>
                      <w:sz w:val="21"/>
                      <w:szCs w:val="21"/>
                    </w:rPr>
                  </w:pPr>
                  <w:r>
                    <w:rPr>
                      <w:rFonts w:hint="eastAsia"/>
                      <w:sz w:val="21"/>
                      <w:szCs w:val="21"/>
                    </w:rPr>
                    <w:t>汞</w:t>
                  </w:r>
                </w:p>
              </w:tc>
              <w:tc>
                <w:tcPr>
                  <w:tcW w:w="1125" w:type="pct"/>
                </w:tcPr>
                <w:p>
                  <w:pPr>
                    <w:jc w:val="center"/>
                    <w:rPr>
                      <w:sz w:val="21"/>
                      <w:szCs w:val="21"/>
                    </w:rPr>
                  </w:pPr>
                  <w:r>
                    <w:rPr>
                      <w:rFonts w:hint="eastAsia"/>
                      <w:sz w:val="21"/>
                      <w:szCs w:val="21"/>
                    </w:rPr>
                    <w:t>＜</w:t>
                  </w:r>
                  <w:r>
                    <w:rPr>
                      <w:sz w:val="21"/>
                      <w:szCs w:val="21"/>
                    </w:rPr>
                    <w:t>0.02</w:t>
                  </w:r>
                </w:p>
              </w:tc>
              <w:tc>
                <w:tcPr>
                  <w:tcW w:w="1002" w:type="pct"/>
                </w:tcPr>
                <w:p>
                  <w:pPr>
                    <w:jc w:val="center"/>
                    <w:rPr>
                      <w:sz w:val="21"/>
                      <w:szCs w:val="21"/>
                    </w:rPr>
                  </w:pPr>
                  <w:r>
                    <w:rPr>
                      <w:sz w:val="21"/>
                      <w:szCs w:val="21"/>
                    </w:rPr>
                    <w:t>ug/L</w:t>
                  </w:r>
                </w:p>
              </w:tc>
              <w:tc>
                <w:tcPr>
                  <w:tcW w:w="1002" w:type="pct"/>
                </w:tcPr>
                <w:p>
                  <w:pPr>
                    <w:jc w:val="center"/>
                    <w:rPr>
                      <w:sz w:val="21"/>
                      <w:szCs w:val="21"/>
                    </w:rPr>
                  </w:pPr>
                  <w:r>
                    <w:rPr>
                      <w:rFonts w:hint="eastAsia"/>
                      <w:sz w:val="21"/>
                      <w:szCs w:val="21"/>
                    </w:rPr>
                    <w:t>≤</w:t>
                  </w:r>
                  <w:r>
                    <w:rPr>
                      <w:sz w:val="21"/>
                      <w:szCs w:val="21"/>
                    </w:rPr>
                    <w:t>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r>
                    <w:rPr>
                      <w:sz w:val="21"/>
                      <w:szCs w:val="21"/>
                    </w:rPr>
                    <w:t>4</w:t>
                  </w:r>
                </w:p>
              </w:tc>
              <w:tc>
                <w:tcPr>
                  <w:tcW w:w="1341" w:type="pct"/>
                </w:tcPr>
                <w:p>
                  <w:pPr>
                    <w:jc w:val="center"/>
                    <w:rPr>
                      <w:sz w:val="21"/>
                      <w:szCs w:val="21"/>
                    </w:rPr>
                  </w:pPr>
                  <w:r>
                    <w:rPr>
                      <w:rFonts w:hint="eastAsia"/>
                      <w:sz w:val="21"/>
                      <w:szCs w:val="21"/>
                    </w:rPr>
                    <w:t>菌落总数</w:t>
                  </w:r>
                </w:p>
              </w:tc>
              <w:tc>
                <w:tcPr>
                  <w:tcW w:w="1125" w:type="pct"/>
                </w:tcPr>
                <w:p>
                  <w:pPr>
                    <w:jc w:val="center"/>
                    <w:rPr>
                      <w:sz w:val="21"/>
                      <w:szCs w:val="21"/>
                    </w:rPr>
                  </w:pPr>
                  <w:r>
                    <w:rPr>
                      <w:rFonts w:hint="eastAsia"/>
                      <w:sz w:val="21"/>
                      <w:szCs w:val="21"/>
                    </w:rPr>
                    <w:t>5</w:t>
                  </w:r>
                  <w:r>
                    <w:rPr>
                      <w:sz w:val="21"/>
                      <w:szCs w:val="21"/>
                    </w:rPr>
                    <w:t>6</w:t>
                  </w:r>
                </w:p>
              </w:tc>
              <w:tc>
                <w:tcPr>
                  <w:tcW w:w="1002" w:type="pct"/>
                </w:tcPr>
                <w:p>
                  <w:pPr>
                    <w:jc w:val="center"/>
                    <w:rPr>
                      <w:sz w:val="21"/>
                      <w:szCs w:val="21"/>
                    </w:rPr>
                  </w:pPr>
                  <w:r>
                    <w:rPr>
                      <w:sz w:val="21"/>
                      <w:szCs w:val="21"/>
                    </w:rPr>
                    <w:t>CFU</w:t>
                  </w:r>
                  <w:r>
                    <w:rPr>
                      <w:rFonts w:hint="eastAsia"/>
                      <w:sz w:val="21"/>
                      <w:szCs w:val="21"/>
                    </w:rPr>
                    <w:t>/</w:t>
                  </w:r>
                  <w:r>
                    <w:rPr>
                      <w:sz w:val="21"/>
                      <w:szCs w:val="21"/>
                    </w:rPr>
                    <w:t>ml</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r>
                    <w:rPr>
                      <w:sz w:val="21"/>
                      <w:szCs w:val="21"/>
                    </w:rPr>
                    <w:t>5</w:t>
                  </w:r>
                </w:p>
              </w:tc>
              <w:tc>
                <w:tcPr>
                  <w:tcW w:w="1341" w:type="pct"/>
                </w:tcPr>
                <w:p>
                  <w:pPr>
                    <w:jc w:val="center"/>
                    <w:rPr>
                      <w:sz w:val="21"/>
                      <w:szCs w:val="21"/>
                    </w:rPr>
                  </w:pPr>
                  <w:r>
                    <w:rPr>
                      <w:rFonts w:hint="eastAsia"/>
                      <w:sz w:val="21"/>
                      <w:szCs w:val="21"/>
                    </w:rPr>
                    <w:t>总大肠菌群</w:t>
                  </w:r>
                </w:p>
              </w:tc>
              <w:tc>
                <w:tcPr>
                  <w:tcW w:w="1125" w:type="pct"/>
                </w:tcPr>
                <w:p>
                  <w:pPr>
                    <w:jc w:val="center"/>
                    <w:rPr>
                      <w:sz w:val="21"/>
                      <w:szCs w:val="21"/>
                    </w:rPr>
                  </w:pPr>
                  <w:r>
                    <w:rPr>
                      <w:rFonts w:hint="eastAsia"/>
                      <w:sz w:val="21"/>
                      <w:szCs w:val="21"/>
                    </w:rPr>
                    <w:t>6</w:t>
                  </w:r>
                  <w:r>
                    <w:rPr>
                      <w:sz w:val="21"/>
                      <w:szCs w:val="21"/>
                    </w:rPr>
                    <w:t>9</w:t>
                  </w:r>
                </w:p>
              </w:tc>
              <w:tc>
                <w:tcPr>
                  <w:tcW w:w="1002" w:type="pct"/>
                </w:tcPr>
                <w:p>
                  <w:pPr>
                    <w:jc w:val="center"/>
                    <w:rPr>
                      <w:sz w:val="21"/>
                      <w:szCs w:val="21"/>
                    </w:rPr>
                  </w:pPr>
                  <w:r>
                    <w:rPr>
                      <w:sz w:val="21"/>
                      <w:szCs w:val="21"/>
                    </w:rPr>
                    <w:t>CFU</w:t>
                  </w:r>
                  <w:r>
                    <w:rPr>
                      <w:rFonts w:hint="eastAsia"/>
                      <w:sz w:val="21"/>
                      <w:szCs w:val="21"/>
                    </w:rPr>
                    <w:t>/</w:t>
                  </w:r>
                  <w:r>
                    <w:rPr>
                      <w:sz w:val="21"/>
                      <w:szCs w:val="21"/>
                    </w:rPr>
                    <w:t>100ml</w:t>
                  </w:r>
                </w:p>
              </w:tc>
              <w:tc>
                <w:tcPr>
                  <w:tcW w:w="1002" w:type="pct"/>
                </w:tcPr>
                <w:p>
                  <w:pPr>
                    <w:jc w:val="cente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r>
                    <w:rPr>
                      <w:sz w:val="21"/>
                      <w:szCs w:val="21"/>
                    </w:rPr>
                    <w:t>6</w:t>
                  </w:r>
                </w:p>
              </w:tc>
              <w:tc>
                <w:tcPr>
                  <w:tcW w:w="1341" w:type="pct"/>
                </w:tcPr>
                <w:p>
                  <w:pPr>
                    <w:jc w:val="center"/>
                    <w:rPr>
                      <w:sz w:val="21"/>
                      <w:szCs w:val="21"/>
                    </w:rPr>
                  </w:pPr>
                  <w:r>
                    <w:rPr>
                      <w:rFonts w:hint="eastAsia"/>
                      <w:sz w:val="21"/>
                      <w:szCs w:val="21"/>
                    </w:rPr>
                    <w:t>粪大肠菌群</w:t>
                  </w:r>
                </w:p>
              </w:tc>
              <w:tc>
                <w:tcPr>
                  <w:tcW w:w="1125" w:type="pct"/>
                </w:tcPr>
                <w:p>
                  <w:pPr>
                    <w:jc w:val="center"/>
                    <w:rPr>
                      <w:sz w:val="21"/>
                      <w:szCs w:val="21"/>
                    </w:rPr>
                  </w:pPr>
                  <w:r>
                    <w:rPr>
                      <w:rFonts w:hint="eastAsia"/>
                      <w:sz w:val="21"/>
                      <w:szCs w:val="21"/>
                    </w:rPr>
                    <w:t>/</w:t>
                  </w:r>
                </w:p>
              </w:tc>
              <w:tc>
                <w:tcPr>
                  <w:tcW w:w="1002" w:type="pct"/>
                </w:tcPr>
                <w:p>
                  <w:pPr>
                    <w:jc w:val="center"/>
                    <w:rPr>
                      <w:sz w:val="21"/>
                      <w:szCs w:val="21"/>
                    </w:rPr>
                  </w:pPr>
                  <w:r>
                    <w:rPr>
                      <w:sz w:val="21"/>
                      <w:szCs w:val="21"/>
                    </w:rPr>
                    <w:t>CFU</w:t>
                  </w:r>
                  <w:r>
                    <w:rPr>
                      <w:rFonts w:hint="eastAsia"/>
                      <w:sz w:val="21"/>
                      <w:szCs w:val="21"/>
                    </w:rPr>
                    <w:t>/</w:t>
                  </w:r>
                  <w:r>
                    <w:rPr>
                      <w:sz w:val="21"/>
                      <w:szCs w:val="21"/>
                    </w:rPr>
                    <w:t>100ml</w:t>
                  </w:r>
                </w:p>
              </w:tc>
              <w:tc>
                <w:tcPr>
                  <w:tcW w:w="1002" w:type="pct"/>
                </w:tcPr>
                <w:p>
                  <w:pPr>
                    <w:jc w:val="center"/>
                    <w:rPr>
                      <w:sz w:val="21"/>
                      <w:szCs w:val="21"/>
                    </w:rPr>
                  </w:pPr>
                  <w:r>
                    <w:rPr>
                      <w:rFonts w:hint="eastAsia"/>
                      <w:sz w:val="21"/>
                      <w:szCs w:val="21"/>
                    </w:rPr>
                    <w:t>≤</w:t>
                  </w:r>
                  <w:r>
                    <w:rPr>
                      <w:sz w:val="21"/>
                      <w:szCs w:val="21"/>
                    </w:rPr>
                    <w:t>10000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0" w:type="pct"/>
                </w:tcPr>
                <w:p>
                  <w:pPr>
                    <w:jc w:val="center"/>
                    <w:rPr>
                      <w:sz w:val="21"/>
                      <w:szCs w:val="21"/>
                    </w:rPr>
                  </w:pPr>
                  <w:r>
                    <w:rPr>
                      <w:rFonts w:hint="eastAsia"/>
                      <w:sz w:val="21"/>
                      <w:szCs w:val="21"/>
                    </w:rPr>
                    <w:t>3</w:t>
                  </w:r>
                  <w:r>
                    <w:rPr>
                      <w:sz w:val="21"/>
                      <w:szCs w:val="21"/>
                    </w:rPr>
                    <w:t>7</w:t>
                  </w:r>
                </w:p>
              </w:tc>
              <w:tc>
                <w:tcPr>
                  <w:tcW w:w="1341" w:type="pct"/>
                </w:tcPr>
                <w:p>
                  <w:pPr>
                    <w:jc w:val="center"/>
                    <w:rPr>
                      <w:sz w:val="21"/>
                      <w:szCs w:val="21"/>
                    </w:rPr>
                  </w:pPr>
                  <w:r>
                    <w:rPr>
                      <w:rFonts w:hint="eastAsia"/>
                      <w:sz w:val="21"/>
                      <w:szCs w:val="21"/>
                    </w:rPr>
                    <w:t>总磷</w:t>
                  </w:r>
                </w:p>
              </w:tc>
              <w:tc>
                <w:tcPr>
                  <w:tcW w:w="1125" w:type="pct"/>
                </w:tcPr>
                <w:p>
                  <w:pPr>
                    <w:jc w:val="center"/>
                    <w:rPr>
                      <w:sz w:val="21"/>
                      <w:szCs w:val="21"/>
                    </w:rPr>
                  </w:pPr>
                  <w:r>
                    <w:rPr>
                      <w:rFonts w:hint="eastAsia"/>
                      <w:sz w:val="21"/>
                      <w:szCs w:val="21"/>
                    </w:rPr>
                    <w:t>0</w:t>
                  </w:r>
                  <w:r>
                    <w:rPr>
                      <w:sz w:val="21"/>
                      <w:szCs w:val="21"/>
                    </w:rPr>
                    <w:t>.22</w:t>
                  </w:r>
                </w:p>
              </w:tc>
              <w:tc>
                <w:tcPr>
                  <w:tcW w:w="1002" w:type="pct"/>
                </w:tcPr>
                <w:p>
                  <w:pPr>
                    <w:jc w:val="center"/>
                    <w:rPr>
                      <w:sz w:val="21"/>
                      <w:szCs w:val="21"/>
                    </w:rPr>
                  </w:pPr>
                  <w:r>
                    <w:rPr>
                      <w:sz w:val="21"/>
                      <w:szCs w:val="21"/>
                    </w:rPr>
                    <w:t>mg/L</w:t>
                  </w:r>
                </w:p>
              </w:tc>
              <w:tc>
                <w:tcPr>
                  <w:tcW w:w="1002" w:type="pct"/>
                </w:tcPr>
                <w:p>
                  <w:pPr>
                    <w:jc w:val="center"/>
                    <w:rPr>
                      <w:sz w:val="21"/>
                      <w:szCs w:val="21"/>
                    </w:rPr>
                  </w:pPr>
                  <w:r>
                    <w:rPr>
                      <w:rFonts w:hint="eastAsia"/>
                      <w:sz w:val="21"/>
                      <w:szCs w:val="21"/>
                    </w:rPr>
                    <w:t>≤</w:t>
                  </w:r>
                  <w:r>
                    <w:rPr>
                      <w:sz w:val="21"/>
                      <w:szCs w:val="21"/>
                    </w:rPr>
                    <w:t>0.2</w:t>
                  </w:r>
                </w:p>
              </w:tc>
            </w:tr>
          </w:tbl>
          <w:p>
            <w:pPr>
              <w:spacing w:line="360" w:lineRule="auto"/>
              <w:ind w:firstLine="480" w:firstLineChars="200"/>
            </w:pPr>
            <w:r>
              <w:rPr>
                <w:rFonts w:hint="eastAsia"/>
              </w:rPr>
              <w:t>由上表可知，检测期间，项目取水口断面除总磷外其他水质均符合《地表水环境质量标准》（</w:t>
            </w:r>
            <w:r>
              <w:t>GB3030-2002</w:t>
            </w:r>
            <w:r>
              <w:rPr>
                <w:rFonts w:hint="eastAsia"/>
              </w:rPr>
              <w:t>）</w:t>
            </w:r>
            <w:r>
              <w:rPr>
                <w:rFonts w:hint="eastAsia" w:ascii="宋体" w:hAnsi="宋体" w:cs="宋体"/>
              </w:rPr>
              <w:t>Ⅱ</w:t>
            </w:r>
            <w:r>
              <w:rPr>
                <w:rFonts w:hint="eastAsia"/>
              </w:rPr>
              <w:t>类标准，本项目依托取水口洪水港取水口位于谭子坑取水口上游约3km处，说明该取水口水质现状好。</w:t>
            </w:r>
          </w:p>
          <w:p>
            <w:pPr>
              <w:spacing w:before="163" w:beforeLines="50"/>
              <w:ind w:firstLine="241" w:firstLineChars="100"/>
              <w:outlineLvl w:val="1"/>
              <w:rPr>
                <w:b/>
                <w:szCs w:val="28"/>
              </w:rPr>
            </w:pPr>
            <w:r>
              <w:rPr>
                <w:rFonts w:hint="eastAsia"/>
                <w:b/>
                <w:szCs w:val="28"/>
              </w:rPr>
              <w:t>4、地下水现状调查与评价</w:t>
            </w:r>
            <w:bookmarkEnd w:id="9"/>
          </w:p>
          <w:p>
            <w:pPr>
              <w:spacing w:before="163" w:beforeLines="50"/>
              <w:ind w:firstLine="241" w:firstLineChars="100"/>
              <w:outlineLvl w:val="2"/>
              <w:rPr>
                <w:b/>
              </w:rPr>
            </w:pPr>
            <w:bookmarkStart w:id="10" w:name="_Toc446403600"/>
            <w:bookmarkStart w:id="11" w:name="_Toc445191797"/>
            <w:r>
              <w:rPr>
                <w:rFonts w:hint="eastAsia"/>
                <w:b/>
              </w:rPr>
              <w:t>4</w:t>
            </w:r>
            <w:r>
              <w:rPr>
                <w:b/>
              </w:rPr>
              <w:t>.1</w:t>
            </w:r>
            <w:r>
              <w:rPr>
                <w:rFonts w:hint="eastAsia"/>
                <w:b/>
              </w:rPr>
              <w:t>地下水环境现状监测</w:t>
            </w:r>
            <w:bookmarkEnd w:id="10"/>
            <w:bookmarkEnd w:id="11"/>
          </w:p>
          <w:p>
            <w:pPr>
              <w:spacing w:line="360" w:lineRule="auto"/>
              <w:ind w:firstLine="480" w:firstLineChars="200"/>
            </w:pPr>
            <w:r>
              <w:rPr>
                <w:rFonts w:hint="eastAsia"/>
              </w:rPr>
              <w:t>1）监测布点</w:t>
            </w:r>
          </w:p>
          <w:p>
            <w:pPr>
              <w:spacing w:line="360" w:lineRule="auto"/>
              <w:ind w:right="240" w:rightChars="100" w:firstLine="480" w:firstLineChars="200"/>
              <w:rPr>
                <w:kern w:val="24"/>
              </w:rPr>
            </w:pPr>
            <w:r>
              <w:rPr>
                <w:rFonts w:hint="eastAsia"/>
                <w:kern w:val="24"/>
              </w:rPr>
              <w:t>本项目新迁取水泵站位于洪水港取水泵站，与</w:t>
            </w:r>
            <w:r>
              <w:rPr>
                <w:rFonts w:hint="eastAsia"/>
              </w:rPr>
              <w:t>《岳阳市长江补水工程（一期工程）环境影响报告书》中的取水泵站为同一取水泵站，因此本项目引用该项目中的地下水现状监测数据。</w:t>
            </w:r>
            <w:r>
              <w:rPr>
                <w:rFonts w:hint="eastAsia"/>
                <w:kern w:val="24"/>
              </w:rPr>
              <w:t>本项目地下水监测点主要选在洪水港取水泵站附近的居民点，</w:t>
            </w:r>
            <w:r>
              <w:rPr>
                <w:kern w:val="24"/>
              </w:rPr>
              <w:t>监测点位详见</w:t>
            </w:r>
            <w:r>
              <w:rPr>
                <w:rFonts w:hint="eastAsia"/>
                <w:kern w:val="24"/>
              </w:rPr>
              <w:t>下表</w:t>
            </w:r>
            <w:r>
              <w:rPr>
                <w:kern w:val="24"/>
              </w:rPr>
              <w:t>。</w:t>
            </w:r>
          </w:p>
          <w:p>
            <w:pPr>
              <w:spacing w:line="360" w:lineRule="auto"/>
              <w:jc w:val="center"/>
              <w:rPr>
                <w:b/>
                <w:bCs/>
                <w:sz w:val="21"/>
                <w:szCs w:val="21"/>
              </w:rPr>
            </w:pPr>
            <w:r>
              <w:rPr>
                <w:rFonts w:hAnsi="宋体"/>
                <w:b/>
                <w:bCs/>
                <w:sz w:val="21"/>
                <w:szCs w:val="21"/>
              </w:rPr>
              <w:t>表</w:t>
            </w:r>
            <w:r>
              <w:rPr>
                <w:b/>
                <w:bCs/>
                <w:sz w:val="21"/>
                <w:szCs w:val="21"/>
              </w:rPr>
              <w:t>3-</w:t>
            </w:r>
            <w:r>
              <w:rPr>
                <w:rFonts w:hint="eastAsia"/>
                <w:b/>
                <w:bCs/>
                <w:sz w:val="21"/>
                <w:szCs w:val="21"/>
                <w:lang w:val="en-US" w:eastAsia="zh-CN"/>
              </w:rPr>
              <w:t>7</w:t>
            </w:r>
            <w:r>
              <w:rPr>
                <w:rFonts w:hAnsi="宋体"/>
                <w:b/>
                <w:bCs/>
                <w:sz w:val="21"/>
                <w:szCs w:val="21"/>
              </w:rPr>
              <w:t>地下水水质水位监测点布设位置一览表</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49"/>
              <w:gridCol w:w="2461"/>
              <w:gridCol w:w="491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69" w:hRule="atLeast"/>
                <w:jc w:val="center"/>
              </w:trPr>
              <w:tc>
                <w:tcPr>
                  <w:tcW w:w="1149" w:type="dxa"/>
                  <w:vAlign w:val="center"/>
                </w:tcPr>
                <w:p>
                  <w:pPr>
                    <w:adjustRightInd w:val="0"/>
                    <w:snapToGrid w:val="0"/>
                    <w:spacing w:line="326" w:lineRule="exact"/>
                    <w:jc w:val="center"/>
                    <w:rPr>
                      <w:sz w:val="21"/>
                      <w:szCs w:val="21"/>
                    </w:rPr>
                  </w:pPr>
                  <w:r>
                    <w:rPr>
                      <w:sz w:val="21"/>
                      <w:szCs w:val="21"/>
                    </w:rPr>
                    <w:t>序号</w:t>
                  </w:r>
                </w:p>
              </w:tc>
              <w:tc>
                <w:tcPr>
                  <w:tcW w:w="2461" w:type="dxa"/>
                  <w:vAlign w:val="center"/>
                </w:tcPr>
                <w:p>
                  <w:pPr>
                    <w:adjustRightInd w:val="0"/>
                    <w:snapToGrid w:val="0"/>
                    <w:spacing w:line="326" w:lineRule="exact"/>
                    <w:jc w:val="center"/>
                    <w:rPr>
                      <w:sz w:val="21"/>
                      <w:szCs w:val="21"/>
                    </w:rPr>
                  </w:pPr>
                  <w:r>
                    <w:rPr>
                      <w:rFonts w:hint="eastAsia"/>
                      <w:sz w:val="21"/>
                      <w:szCs w:val="21"/>
                    </w:rPr>
                    <w:t>监测点位</w:t>
                  </w:r>
                </w:p>
              </w:tc>
              <w:tc>
                <w:tcPr>
                  <w:tcW w:w="4912" w:type="dxa"/>
                  <w:vAlign w:val="center"/>
                </w:tcPr>
                <w:p>
                  <w:pPr>
                    <w:adjustRightInd w:val="0"/>
                    <w:snapToGrid w:val="0"/>
                    <w:spacing w:line="326" w:lineRule="exact"/>
                    <w:jc w:val="center"/>
                    <w:rPr>
                      <w:sz w:val="21"/>
                      <w:szCs w:val="21"/>
                    </w:rPr>
                  </w:pPr>
                  <w:r>
                    <w:rPr>
                      <w:rFonts w:hint="eastAsia"/>
                      <w:sz w:val="21"/>
                      <w:szCs w:val="21"/>
                    </w:rPr>
                    <w:t>监测内容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14" w:hRule="atLeast"/>
                <w:jc w:val="center"/>
              </w:trPr>
              <w:tc>
                <w:tcPr>
                  <w:tcW w:w="1149" w:type="dxa"/>
                  <w:vAlign w:val="center"/>
                </w:tcPr>
                <w:p>
                  <w:pPr>
                    <w:adjustRightInd w:val="0"/>
                    <w:snapToGrid w:val="0"/>
                    <w:spacing w:line="326" w:lineRule="exact"/>
                    <w:jc w:val="center"/>
                    <w:rPr>
                      <w:sz w:val="21"/>
                      <w:szCs w:val="21"/>
                    </w:rPr>
                  </w:pPr>
                  <w:r>
                    <w:rPr>
                      <w:rFonts w:hint="eastAsia"/>
                      <w:sz w:val="21"/>
                      <w:szCs w:val="21"/>
                    </w:rPr>
                    <w:t>D</w:t>
                  </w:r>
                  <w:r>
                    <w:rPr>
                      <w:sz w:val="21"/>
                      <w:szCs w:val="21"/>
                    </w:rPr>
                    <w:t>1</w:t>
                  </w:r>
                </w:p>
              </w:tc>
              <w:tc>
                <w:tcPr>
                  <w:tcW w:w="2461" w:type="dxa"/>
                  <w:vAlign w:val="center"/>
                </w:tcPr>
                <w:p>
                  <w:pPr>
                    <w:adjustRightInd w:val="0"/>
                    <w:snapToGrid w:val="0"/>
                    <w:spacing w:line="326" w:lineRule="exact"/>
                    <w:jc w:val="center"/>
                    <w:rPr>
                      <w:sz w:val="21"/>
                      <w:szCs w:val="21"/>
                    </w:rPr>
                  </w:pPr>
                  <w:r>
                    <w:rPr>
                      <w:rFonts w:hint="eastAsia"/>
                      <w:sz w:val="21"/>
                      <w:szCs w:val="21"/>
                    </w:rPr>
                    <w:t xml:space="preserve">  君山区洪市村</w:t>
                  </w:r>
                </w:p>
              </w:tc>
              <w:tc>
                <w:tcPr>
                  <w:tcW w:w="4912" w:type="dxa"/>
                  <w:vAlign w:val="center"/>
                </w:tcPr>
                <w:p>
                  <w:pPr>
                    <w:adjustRightInd w:val="0"/>
                    <w:snapToGrid w:val="0"/>
                    <w:spacing w:line="326" w:lineRule="exact"/>
                    <w:jc w:val="center"/>
                    <w:rPr>
                      <w:sz w:val="21"/>
                      <w:szCs w:val="21"/>
                    </w:rPr>
                  </w:pPr>
                  <w:r>
                    <w:rPr>
                      <w:rFonts w:hint="eastAsia"/>
                      <w:sz w:val="21"/>
                      <w:szCs w:val="21"/>
                    </w:rPr>
                    <w:t>1个水质+2个水位</w:t>
                  </w:r>
                </w:p>
              </w:tc>
            </w:tr>
          </w:tbl>
          <w:p>
            <w:pPr>
              <w:spacing w:line="360" w:lineRule="auto"/>
              <w:ind w:firstLine="480" w:firstLineChars="200"/>
            </w:pPr>
            <w:r>
              <w:t>2</w:t>
            </w:r>
            <w:r>
              <w:rPr>
                <w:rFonts w:hint="eastAsia"/>
              </w:rPr>
              <w:t>）监测时间</w:t>
            </w:r>
          </w:p>
          <w:p>
            <w:pPr>
              <w:spacing w:line="360" w:lineRule="auto"/>
              <w:ind w:firstLine="480" w:firstLineChars="200"/>
            </w:pPr>
            <w:r>
              <w:rPr>
                <w:rFonts w:hint="eastAsia"/>
              </w:rPr>
              <w:t>于2018年11月22-24日，各监测点每天采样一次</w:t>
            </w:r>
          </w:p>
          <w:p>
            <w:pPr>
              <w:spacing w:line="360" w:lineRule="auto"/>
              <w:ind w:firstLine="480" w:firstLineChars="200"/>
            </w:pPr>
            <w:r>
              <w:t>3</w:t>
            </w:r>
            <w:r>
              <w:rPr>
                <w:rFonts w:hint="eastAsia"/>
              </w:rPr>
              <w:t>）</w:t>
            </w:r>
            <w:r>
              <w:t>监测项目</w:t>
            </w:r>
            <w:r>
              <w:rPr>
                <w:rFonts w:hint="eastAsia"/>
              </w:rPr>
              <w:t>及监测单位</w:t>
            </w:r>
          </w:p>
          <w:p>
            <w:pPr>
              <w:spacing w:line="360" w:lineRule="auto"/>
              <w:ind w:firstLine="480" w:firstLineChars="200"/>
            </w:pPr>
            <w:r>
              <w:rPr>
                <w:rFonts w:hint="eastAsia"/>
              </w:rPr>
              <w:t>水质</w:t>
            </w:r>
            <w:r>
              <w:t>监测项目为： pH</w:t>
            </w:r>
            <w:r>
              <w:rPr>
                <w:rFonts w:hint="eastAsia"/>
              </w:rPr>
              <w:t>、溶解性总固体、DO、总硬度、氨氮、总磷；</w:t>
            </w:r>
          </w:p>
          <w:p>
            <w:pPr>
              <w:spacing w:line="360" w:lineRule="auto"/>
              <w:ind w:firstLine="480" w:firstLineChars="200"/>
            </w:pPr>
            <w:r>
              <w:t>水位监测项目：水位</w:t>
            </w:r>
          </w:p>
          <w:p>
            <w:pPr>
              <w:spacing w:line="360" w:lineRule="auto"/>
              <w:ind w:firstLine="480" w:firstLineChars="200"/>
            </w:pPr>
            <w:r>
              <w:t>监测单位：</w:t>
            </w:r>
            <w:r>
              <w:rPr>
                <w:kern w:val="24"/>
              </w:rPr>
              <w:t>湖南永蓝检测技术</w:t>
            </w:r>
            <w:r>
              <w:rPr>
                <w:rFonts w:hint="eastAsia"/>
                <w:kern w:val="24"/>
              </w:rPr>
              <w:t>股份</w:t>
            </w:r>
            <w:r>
              <w:rPr>
                <w:kern w:val="24"/>
              </w:rPr>
              <w:t>有限公司</w:t>
            </w:r>
          </w:p>
          <w:p>
            <w:pPr>
              <w:spacing w:line="360" w:lineRule="auto"/>
              <w:ind w:firstLine="480" w:firstLineChars="200"/>
            </w:pPr>
            <w:r>
              <w:t>4</w:t>
            </w:r>
            <w:r>
              <w:rPr>
                <w:rFonts w:hint="eastAsia"/>
              </w:rPr>
              <w:t>）评价标准</w:t>
            </w:r>
          </w:p>
          <w:p>
            <w:pPr>
              <w:spacing w:line="360" w:lineRule="auto"/>
              <w:ind w:firstLine="480" w:firstLineChars="200"/>
            </w:pPr>
            <w:r>
              <w:t>本项目地下水环境质量标准采用《地下水环境质量标准》（GB/T14848-</w:t>
            </w:r>
            <w:r>
              <w:rPr>
                <w:rFonts w:hint="eastAsia"/>
              </w:rPr>
              <w:t>2017</w:t>
            </w:r>
            <w:r>
              <w:t>）中的</w:t>
            </w:r>
            <w:r>
              <w:rPr>
                <w:rFonts w:hint="eastAsia"/>
              </w:rPr>
              <w:t>Ⅲ</w:t>
            </w:r>
            <w:r>
              <w:t>类标准。</w:t>
            </w:r>
          </w:p>
          <w:p>
            <w:pPr>
              <w:spacing w:line="360" w:lineRule="auto"/>
              <w:ind w:firstLine="480" w:firstLineChars="200"/>
            </w:pPr>
            <w:r>
              <w:t>5</w:t>
            </w:r>
            <w:r>
              <w:rPr>
                <w:rFonts w:hint="eastAsia"/>
              </w:rPr>
              <w:t>）评价方法</w:t>
            </w:r>
          </w:p>
          <w:p>
            <w:pPr>
              <w:spacing w:line="360" w:lineRule="auto"/>
              <w:ind w:firstLine="480" w:firstLineChars="200"/>
            </w:pPr>
            <w:r>
              <w:rPr>
                <w:rFonts w:hint="eastAsia"/>
              </w:rPr>
              <w:t>采用超标率、最大超标倍数、标准指数法评价区域地下水环境质量。</w:t>
            </w:r>
          </w:p>
          <w:p>
            <w:pPr>
              <w:spacing w:line="360" w:lineRule="auto"/>
              <w:ind w:firstLine="480" w:firstLineChars="200"/>
            </w:pPr>
          </w:p>
          <w:p>
            <w:pPr>
              <w:spacing w:line="360" w:lineRule="auto"/>
              <w:ind w:firstLine="480" w:firstLineChars="200"/>
            </w:pPr>
            <w:r>
              <w:t>6</w:t>
            </w:r>
            <w:r>
              <w:rPr>
                <w:rFonts w:hint="eastAsia"/>
              </w:rPr>
              <w:t>）</w:t>
            </w:r>
            <w:r>
              <w:rPr>
                <w:rFonts w:hAnsi="宋体"/>
              </w:rPr>
              <w:t>监测结果统计分析</w:t>
            </w:r>
          </w:p>
          <w:p>
            <w:pPr>
              <w:spacing w:line="360" w:lineRule="auto"/>
              <w:ind w:firstLine="480" w:firstLineChars="200"/>
            </w:pPr>
            <w:r>
              <w:t>本项目地下水环境质量现状监测结果见</w:t>
            </w:r>
            <w:r>
              <w:rPr>
                <w:rFonts w:hint="eastAsia"/>
              </w:rPr>
              <w:t>下表</w:t>
            </w:r>
            <w:r>
              <w:t>。</w:t>
            </w:r>
          </w:p>
          <w:tbl>
            <w:tblPr>
              <w:tblStyle w:val="44"/>
              <w:tblpPr w:leftFromText="180" w:rightFromText="180" w:vertAnchor="text" w:horzAnchor="page" w:tblpXSpec="center" w:tblpY="599"/>
              <w:tblOverlap w:val="never"/>
              <w:tblW w:w="4996"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725"/>
              <w:gridCol w:w="1141"/>
              <w:gridCol w:w="1198"/>
              <w:gridCol w:w="1335"/>
              <w:gridCol w:w="869"/>
              <w:gridCol w:w="1754"/>
              <w:gridCol w:w="1154"/>
              <w:gridCol w:w="674"/>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409" w:type="pct"/>
                  <w:vMerge w:val="restart"/>
                  <w:vAlign w:val="center"/>
                </w:tcPr>
                <w:p>
                  <w:pPr>
                    <w:adjustRightInd w:val="0"/>
                    <w:snapToGrid w:val="0"/>
                    <w:spacing w:line="240" w:lineRule="exact"/>
                    <w:jc w:val="center"/>
                    <w:rPr>
                      <w:b/>
                      <w:sz w:val="21"/>
                      <w:szCs w:val="21"/>
                    </w:rPr>
                  </w:pPr>
                  <w:r>
                    <w:rPr>
                      <w:b/>
                      <w:sz w:val="21"/>
                      <w:szCs w:val="21"/>
                    </w:rPr>
                    <w:t>采样点位</w:t>
                  </w:r>
                </w:p>
              </w:tc>
              <w:tc>
                <w:tcPr>
                  <w:tcW w:w="644" w:type="pct"/>
                  <w:vMerge w:val="restart"/>
                  <w:vAlign w:val="center"/>
                </w:tcPr>
                <w:p>
                  <w:pPr>
                    <w:adjustRightInd w:val="0"/>
                    <w:snapToGrid w:val="0"/>
                    <w:spacing w:line="240" w:lineRule="exact"/>
                    <w:jc w:val="center"/>
                    <w:rPr>
                      <w:b/>
                      <w:sz w:val="21"/>
                      <w:szCs w:val="21"/>
                    </w:rPr>
                  </w:pPr>
                  <w:r>
                    <w:rPr>
                      <w:b/>
                      <w:sz w:val="21"/>
                      <w:szCs w:val="21"/>
                    </w:rPr>
                    <w:t>评价指标</w:t>
                  </w:r>
                </w:p>
              </w:tc>
              <w:tc>
                <w:tcPr>
                  <w:tcW w:w="3946" w:type="pct"/>
                  <w:gridSpan w:val="6"/>
                  <w:tcBorders>
                    <w:right w:val="nil"/>
                  </w:tcBorders>
                  <w:vAlign w:val="center"/>
                </w:tcPr>
                <w:p>
                  <w:pPr>
                    <w:spacing w:line="240" w:lineRule="exact"/>
                    <w:jc w:val="center"/>
                    <w:rPr>
                      <w:b/>
                      <w:sz w:val="21"/>
                      <w:szCs w:val="21"/>
                    </w:rPr>
                  </w:pPr>
                  <w:r>
                    <w:rPr>
                      <w:b/>
                      <w:sz w:val="21"/>
                      <w:szCs w:val="21"/>
                    </w:rPr>
                    <w:t>检测结果（mg/L；pH值：无量纲</w:t>
                  </w:r>
                  <w:r>
                    <w:rPr>
                      <w:rFonts w:hint="eastAsia"/>
                      <w:b/>
                      <w:sz w:val="21"/>
                      <w:szCs w:val="21"/>
                    </w:rPr>
                    <w:t>；水位单位：m</w:t>
                  </w:r>
                  <w:r>
                    <w:rPr>
                      <w:b/>
                      <w:sz w:val="21"/>
                      <w:szCs w:val="21"/>
                    </w:rPr>
                    <w:t>）</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409" w:type="pct"/>
                  <w:vMerge w:val="continue"/>
                  <w:vAlign w:val="center"/>
                </w:tcPr>
                <w:p>
                  <w:pPr>
                    <w:adjustRightInd w:val="0"/>
                    <w:snapToGrid w:val="0"/>
                    <w:spacing w:line="240" w:lineRule="exact"/>
                    <w:jc w:val="center"/>
                    <w:rPr>
                      <w:b/>
                      <w:sz w:val="21"/>
                      <w:szCs w:val="21"/>
                    </w:rPr>
                  </w:pPr>
                </w:p>
              </w:tc>
              <w:tc>
                <w:tcPr>
                  <w:tcW w:w="644" w:type="pct"/>
                  <w:vMerge w:val="continue"/>
                  <w:vAlign w:val="center"/>
                </w:tcPr>
                <w:p>
                  <w:pPr>
                    <w:adjustRightInd w:val="0"/>
                    <w:snapToGrid w:val="0"/>
                    <w:spacing w:line="240" w:lineRule="exact"/>
                    <w:jc w:val="center"/>
                    <w:rPr>
                      <w:b/>
                      <w:sz w:val="21"/>
                      <w:szCs w:val="21"/>
                    </w:rPr>
                  </w:pPr>
                </w:p>
              </w:tc>
              <w:tc>
                <w:tcPr>
                  <w:tcW w:w="677" w:type="pct"/>
                  <w:vAlign w:val="center"/>
                </w:tcPr>
                <w:p>
                  <w:pPr>
                    <w:spacing w:line="240" w:lineRule="exact"/>
                    <w:jc w:val="center"/>
                    <w:rPr>
                      <w:b/>
                      <w:sz w:val="21"/>
                      <w:szCs w:val="21"/>
                    </w:rPr>
                  </w:pPr>
                  <w:r>
                    <w:rPr>
                      <w:b/>
                      <w:sz w:val="21"/>
                      <w:szCs w:val="21"/>
                    </w:rPr>
                    <w:t>pH值</w:t>
                  </w:r>
                </w:p>
              </w:tc>
              <w:tc>
                <w:tcPr>
                  <w:tcW w:w="754" w:type="pct"/>
                  <w:vAlign w:val="center"/>
                </w:tcPr>
                <w:p>
                  <w:pPr>
                    <w:spacing w:line="240" w:lineRule="exact"/>
                    <w:jc w:val="center"/>
                    <w:rPr>
                      <w:b/>
                      <w:sz w:val="21"/>
                      <w:szCs w:val="21"/>
                    </w:rPr>
                  </w:pPr>
                  <w:r>
                    <w:rPr>
                      <w:b/>
                      <w:sz w:val="21"/>
                      <w:szCs w:val="21"/>
                    </w:rPr>
                    <w:t>NH</w:t>
                  </w:r>
                  <w:r>
                    <w:rPr>
                      <w:b/>
                      <w:sz w:val="21"/>
                      <w:szCs w:val="21"/>
                      <w:vertAlign w:val="subscript"/>
                    </w:rPr>
                    <w:t>3</w:t>
                  </w:r>
                  <w:r>
                    <w:rPr>
                      <w:b/>
                      <w:sz w:val="21"/>
                      <w:szCs w:val="21"/>
                    </w:rPr>
                    <w:t>-N</w:t>
                  </w:r>
                </w:p>
              </w:tc>
              <w:tc>
                <w:tcPr>
                  <w:tcW w:w="491" w:type="pct"/>
                  <w:vAlign w:val="center"/>
                </w:tcPr>
                <w:p>
                  <w:pPr>
                    <w:spacing w:line="240" w:lineRule="exact"/>
                    <w:jc w:val="center"/>
                    <w:rPr>
                      <w:b/>
                      <w:sz w:val="21"/>
                      <w:szCs w:val="21"/>
                    </w:rPr>
                  </w:pPr>
                  <w:r>
                    <w:rPr>
                      <w:b/>
                      <w:sz w:val="21"/>
                      <w:szCs w:val="21"/>
                    </w:rPr>
                    <w:t>TP</w:t>
                  </w:r>
                </w:p>
              </w:tc>
              <w:tc>
                <w:tcPr>
                  <w:tcW w:w="991" w:type="pct"/>
                  <w:vAlign w:val="center"/>
                </w:tcPr>
                <w:p>
                  <w:pPr>
                    <w:spacing w:line="240" w:lineRule="exact"/>
                    <w:jc w:val="center"/>
                    <w:rPr>
                      <w:b/>
                      <w:sz w:val="21"/>
                      <w:szCs w:val="21"/>
                    </w:rPr>
                  </w:pPr>
                  <w:r>
                    <w:rPr>
                      <w:rFonts w:hint="eastAsia"/>
                      <w:b/>
                      <w:sz w:val="21"/>
                      <w:szCs w:val="21"/>
                    </w:rPr>
                    <w:t>溶解性总固体</w:t>
                  </w:r>
                </w:p>
              </w:tc>
              <w:tc>
                <w:tcPr>
                  <w:tcW w:w="652" w:type="pct"/>
                  <w:vAlign w:val="center"/>
                </w:tcPr>
                <w:p>
                  <w:pPr>
                    <w:spacing w:line="240" w:lineRule="exact"/>
                    <w:jc w:val="center"/>
                    <w:rPr>
                      <w:b/>
                      <w:sz w:val="21"/>
                      <w:szCs w:val="21"/>
                    </w:rPr>
                  </w:pPr>
                  <w:r>
                    <w:rPr>
                      <w:rFonts w:hint="eastAsia"/>
                      <w:b/>
                      <w:sz w:val="21"/>
                      <w:szCs w:val="21"/>
                    </w:rPr>
                    <w:t>总硬度</w:t>
                  </w:r>
                </w:p>
              </w:tc>
              <w:tc>
                <w:tcPr>
                  <w:tcW w:w="378" w:type="pct"/>
                  <w:tcBorders>
                    <w:right w:val="nil"/>
                  </w:tcBorders>
                  <w:vAlign w:val="center"/>
                </w:tcPr>
                <w:p>
                  <w:pPr>
                    <w:spacing w:line="240" w:lineRule="exact"/>
                    <w:jc w:val="center"/>
                    <w:rPr>
                      <w:b/>
                      <w:sz w:val="21"/>
                      <w:szCs w:val="21"/>
                    </w:rPr>
                  </w:pPr>
                  <w:r>
                    <w:rPr>
                      <w:rFonts w:hint="eastAsia"/>
                      <w:b/>
                      <w:sz w:val="21"/>
                      <w:szCs w:val="21"/>
                    </w:rPr>
                    <w:t>水位</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409" w:type="pct"/>
                  <w:vMerge w:val="restart"/>
                  <w:vAlign w:val="center"/>
                </w:tcPr>
                <w:p>
                  <w:pPr>
                    <w:jc w:val="center"/>
                    <w:rPr>
                      <w:sz w:val="21"/>
                      <w:szCs w:val="21"/>
                    </w:rPr>
                  </w:pPr>
                  <w:r>
                    <w:rPr>
                      <w:rFonts w:hint="eastAsia"/>
                      <w:sz w:val="21"/>
                      <w:szCs w:val="21"/>
                    </w:rPr>
                    <w:t>D</w:t>
                  </w:r>
                  <w:r>
                    <w:rPr>
                      <w:sz w:val="21"/>
                      <w:szCs w:val="21"/>
                    </w:rPr>
                    <w:t>1</w:t>
                  </w:r>
                  <w:r>
                    <w:rPr>
                      <w:rFonts w:hint="eastAsia"/>
                      <w:sz w:val="21"/>
                      <w:szCs w:val="21"/>
                    </w:rPr>
                    <w:t>洪市村</w:t>
                  </w:r>
                </w:p>
              </w:tc>
              <w:tc>
                <w:tcPr>
                  <w:tcW w:w="644" w:type="pct"/>
                  <w:vAlign w:val="center"/>
                </w:tcPr>
                <w:p>
                  <w:pPr>
                    <w:adjustRightInd w:val="0"/>
                    <w:snapToGrid w:val="0"/>
                    <w:spacing w:line="240" w:lineRule="exact"/>
                    <w:jc w:val="center"/>
                    <w:rPr>
                      <w:sz w:val="21"/>
                      <w:szCs w:val="21"/>
                    </w:rPr>
                  </w:pPr>
                  <w:r>
                    <w:rPr>
                      <w:sz w:val="21"/>
                      <w:szCs w:val="21"/>
                    </w:rPr>
                    <w:t>范围</w:t>
                  </w:r>
                </w:p>
              </w:tc>
              <w:tc>
                <w:tcPr>
                  <w:tcW w:w="677" w:type="pct"/>
                  <w:vAlign w:val="center"/>
                </w:tcPr>
                <w:p>
                  <w:pPr>
                    <w:spacing w:line="240" w:lineRule="exact"/>
                    <w:jc w:val="center"/>
                    <w:textAlignment w:val="center"/>
                    <w:rPr>
                      <w:sz w:val="21"/>
                      <w:szCs w:val="21"/>
                    </w:rPr>
                  </w:pPr>
                  <w:r>
                    <w:rPr>
                      <w:rFonts w:hint="eastAsia"/>
                      <w:sz w:val="21"/>
                      <w:szCs w:val="21"/>
                    </w:rPr>
                    <w:t>6.85-6.89</w:t>
                  </w:r>
                </w:p>
              </w:tc>
              <w:tc>
                <w:tcPr>
                  <w:tcW w:w="754" w:type="pct"/>
                  <w:vAlign w:val="center"/>
                </w:tcPr>
                <w:p>
                  <w:pPr>
                    <w:jc w:val="center"/>
                    <w:rPr>
                      <w:sz w:val="21"/>
                      <w:szCs w:val="21"/>
                    </w:rPr>
                  </w:pPr>
                  <w:r>
                    <w:rPr>
                      <w:rFonts w:hint="eastAsia"/>
                      <w:sz w:val="21"/>
                      <w:szCs w:val="21"/>
                    </w:rPr>
                    <w:t>0.049-0.065</w:t>
                  </w:r>
                </w:p>
              </w:tc>
              <w:tc>
                <w:tcPr>
                  <w:tcW w:w="491" w:type="pct"/>
                  <w:vAlign w:val="center"/>
                </w:tcPr>
                <w:p>
                  <w:pPr>
                    <w:spacing w:line="240" w:lineRule="exact"/>
                    <w:jc w:val="center"/>
                    <w:textAlignment w:val="center"/>
                    <w:rPr>
                      <w:sz w:val="21"/>
                      <w:szCs w:val="21"/>
                    </w:rPr>
                  </w:pPr>
                  <w:r>
                    <w:rPr>
                      <w:rFonts w:hint="eastAsia"/>
                      <w:sz w:val="21"/>
                      <w:szCs w:val="21"/>
                    </w:rPr>
                    <w:t>ND</w:t>
                  </w:r>
                </w:p>
              </w:tc>
              <w:tc>
                <w:tcPr>
                  <w:tcW w:w="991" w:type="pct"/>
                  <w:vAlign w:val="center"/>
                </w:tcPr>
                <w:p>
                  <w:pPr>
                    <w:ind w:firstLine="315" w:firstLineChars="150"/>
                    <w:jc w:val="center"/>
                    <w:rPr>
                      <w:sz w:val="21"/>
                      <w:szCs w:val="21"/>
                    </w:rPr>
                  </w:pPr>
                  <w:r>
                    <w:rPr>
                      <w:rFonts w:hint="eastAsia"/>
                      <w:sz w:val="21"/>
                      <w:szCs w:val="21"/>
                    </w:rPr>
                    <w:t>276-285</w:t>
                  </w:r>
                </w:p>
              </w:tc>
              <w:tc>
                <w:tcPr>
                  <w:tcW w:w="652" w:type="pct"/>
                  <w:vAlign w:val="center"/>
                </w:tcPr>
                <w:p>
                  <w:pPr>
                    <w:spacing w:line="240" w:lineRule="exact"/>
                    <w:jc w:val="center"/>
                    <w:textAlignment w:val="center"/>
                    <w:rPr>
                      <w:sz w:val="21"/>
                      <w:szCs w:val="21"/>
                    </w:rPr>
                  </w:pPr>
                  <w:r>
                    <w:rPr>
                      <w:rFonts w:hint="eastAsia"/>
                      <w:sz w:val="21"/>
                      <w:szCs w:val="21"/>
                    </w:rPr>
                    <w:t>112-126</w:t>
                  </w:r>
                </w:p>
              </w:tc>
              <w:tc>
                <w:tcPr>
                  <w:tcW w:w="378" w:type="pct"/>
                  <w:vMerge w:val="restart"/>
                  <w:tcBorders>
                    <w:right w:val="nil"/>
                  </w:tcBorders>
                  <w:vAlign w:val="center"/>
                </w:tcPr>
                <w:p>
                  <w:pPr>
                    <w:spacing w:line="240" w:lineRule="exact"/>
                    <w:jc w:val="center"/>
                    <w:textAlignment w:val="center"/>
                    <w:rPr>
                      <w:sz w:val="21"/>
                      <w:szCs w:val="21"/>
                    </w:rPr>
                  </w:pPr>
                  <w:r>
                    <w:rPr>
                      <w:rFonts w:hint="eastAsia"/>
                      <w:sz w:val="21"/>
                      <w:szCs w:val="21"/>
                    </w:rPr>
                    <w:t>2.4</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409" w:type="pct"/>
                  <w:vMerge w:val="continue"/>
                  <w:vAlign w:val="center"/>
                </w:tcPr>
                <w:p>
                  <w:pPr>
                    <w:pStyle w:val="170"/>
                    <w:spacing w:line="240" w:lineRule="exact"/>
                    <w:rPr>
                      <w:spacing w:val="-2"/>
                    </w:rPr>
                  </w:pPr>
                </w:p>
              </w:tc>
              <w:tc>
                <w:tcPr>
                  <w:tcW w:w="644" w:type="pct"/>
                  <w:vAlign w:val="center"/>
                </w:tcPr>
                <w:p>
                  <w:pPr>
                    <w:adjustRightInd w:val="0"/>
                    <w:snapToGrid w:val="0"/>
                    <w:spacing w:line="240" w:lineRule="exact"/>
                    <w:jc w:val="center"/>
                    <w:rPr>
                      <w:sz w:val="21"/>
                      <w:szCs w:val="21"/>
                    </w:rPr>
                  </w:pPr>
                  <w:r>
                    <w:rPr>
                      <w:sz w:val="21"/>
                      <w:szCs w:val="21"/>
                    </w:rPr>
                    <w:t>平均值</w:t>
                  </w:r>
                </w:p>
              </w:tc>
              <w:tc>
                <w:tcPr>
                  <w:tcW w:w="677" w:type="pct"/>
                  <w:vAlign w:val="center"/>
                </w:tcPr>
                <w:p>
                  <w:pPr>
                    <w:jc w:val="center"/>
                    <w:rPr>
                      <w:sz w:val="21"/>
                      <w:szCs w:val="21"/>
                    </w:rPr>
                  </w:pPr>
                  <w:r>
                    <w:rPr>
                      <w:rFonts w:hint="eastAsia"/>
                      <w:sz w:val="21"/>
                      <w:szCs w:val="21"/>
                    </w:rPr>
                    <w:t>-</w:t>
                  </w:r>
                </w:p>
              </w:tc>
              <w:tc>
                <w:tcPr>
                  <w:tcW w:w="754" w:type="pct"/>
                  <w:vAlign w:val="center"/>
                </w:tcPr>
                <w:p>
                  <w:pPr>
                    <w:jc w:val="center"/>
                    <w:rPr>
                      <w:sz w:val="21"/>
                      <w:szCs w:val="21"/>
                    </w:rPr>
                  </w:pPr>
                  <w:r>
                    <w:rPr>
                      <w:rFonts w:hint="eastAsia"/>
                      <w:sz w:val="21"/>
                      <w:szCs w:val="21"/>
                    </w:rPr>
                    <w:t>0.059</w:t>
                  </w:r>
                </w:p>
              </w:tc>
              <w:tc>
                <w:tcPr>
                  <w:tcW w:w="491" w:type="pct"/>
                  <w:vAlign w:val="center"/>
                </w:tcPr>
                <w:p>
                  <w:pPr>
                    <w:jc w:val="center"/>
                    <w:rPr>
                      <w:sz w:val="21"/>
                      <w:szCs w:val="21"/>
                    </w:rPr>
                  </w:pPr>
                  <w:r>
                    <w:rPr>
                      <w:rFonts w:hint="eastAsia"/>
                      <w:sz w:val="21"/>
                      <w:szCs w:val="21"/>
                    </w:rPr>
                    <w:t>ND</w:t>
                  </w:r>
                </w:p>
              </w:tc>
              <w:tc>
                <w:tcPr>
                  <w:tcW w:w="991" w:type="pct"/>
                  <w:vAlign w:val="center"/>
                </w:tcPr>
                <w:p>
                  <w:pPr>
                    <w:ind w:firstLine="630" w:firstLineChars="300"/>
                    <w:jc w:val="center"/>
                    <w:rPr>
                      <w:sz w:val="21"/>
                      <w:szCs w:val="21"/>
                    </w:rPr>
                  </w:pPr>
                  <w:r>
                    <w:rPr>
                      <w:rFonts w:hint="eastAsia"/>
                      <w:sz w:val="21"/>
                      <w:szCs w:val="21"/>
                    </w:rPr>
                    <w:t>281</w:t>
                  </w:r>
                </w:p>
              </w:tc>
              <w:tc>
                <w:tcPr>
                  <w:tcW w:w="652" w:type="pct"/>
                  <w:vAlign w:val="center"/>
                </w:tcPr>
                <w:p>
                  <w:pPr>
                    <w:jc w:val="center"/>
                    <w:rPr>
                      <w:sz w:val="21"/>
                      <w:szCs w:val="21"/>
                    </w:rPr>
                  </w:pPr>
                  <w:r>
                    <w:rPr>
                      <w:rFonts w:hint="eastAsia"/>
                      <w:sz w:val="21"/>
                      <w:szCs w:val="21"/>
                    </w:rPr>
                    <w:t>119.6</w:t>
                  </w:r>
                </w:p>
              </w:tc>
              <w:tc>
                <w:tcPr>
                  <w:tcW w:w="378" w:type="pct"/>
                  <w:vMerge w:val="continue"/>
                  <w:tcBorders>
                    <w:right w:val="nil"/>
                  </w:tcBorders>
                  <w:vAlign w:val="center"/>
                </w:tcPr>
                <w:p>
                  <w:pPr>
                    <w:jc w:val="center"/>
                    <w:rPr>
                      <w:sz w:val="21"/>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409" w:type="pct"/>
                  <w:vMerge w:val="continue"/>
                  <w:vAlign w:val="center"/>
                </w:tcPr>
                <w:p>
                  <w:pPr>
                    <w:pStyle w:val="170"/>
                    <w:spacing w:line="240" w:lineRule="exact"/>
                    <w:rPr>
                      <w:spacing w:val="-2"/>
                    </w:rPr>
                  </w:pPr>
                </w:p>
              </w:tc>
              <w:tc>
                <w:tcPr>
                  <w:tcW w:w="644" w:type="pct"/>
                  <w:vAlign w:val="center"/>
                </w:tcPr>
                <w:p>
                  <w:pPr>
                    <w:adjustRightInd w:val="0"/>
                    <w:snapToGrid w:val="0"/>
                    <w:spacing w:line="240" w:lineRule="exact"/>
                    <w:jc w:val="center"/>
                    <w:rPr>
                      <w:sz w:val="21"/>
                      <w:szCs w:val="21"/>
                    </w:rPr>
                  </w:pPr>
                  <w:r>
                    <w:rPr>
                      <w:sz w:val="21"/>
                      <w:szCs w:val="21"/>
                    </w:rPr>
                    <w:t>标准值(</w:t>
                  </w:r>
                  <w:r>
                    <w:rPr>
                      <w:sz w:val="21"/>
                      <w:szCs w:val="21"/>
                    </w:rPr>
                    <w:fldChar w:fldCharType="begin"/>
                  </w:r>
                  <w:r>
                    <w:rPr>
                      <w:sz w:val="21"/>
                      <w:szCs w:val="21"/>
                    </w:rPr>
                    <w:instrText xml:space="preserve"> = 3 \* ROMAN </w:instrText>
                  </w:r>
                  <w:r>
                    <w:rPr>
                      <w:sz w:val="21"/>
                      <w:szCs w:val="21"/>
                    </w:rPr>
                    <w:fldChar w:fldCharType="separate"/>
                  </w:r>
                  <w:r>
                    <w:rPr>
                      <w:sz w:val="21"/>
                      <w:szCs w:val="21"/>
                    </w:rPr>
                    <w:t>III</w:t>
                  </w:r>
                  <w:r>
                    <w:rPr>
                      <w:sz w:val="21"/>
                      <w:szCs w:val="21"/>
                    </w:rPr>
                    <w:fldChar w:fldCharType="end"/>
                  </w:r>
                  <w:r>
                    <w:rPr>
                      <w:sz w:val="21"/>
                      <w:szCs w:val="21"/>
                    </w:rPr>
                    <w:t>类)</w:t>
                  </w:r>
                </w:p>
              </w:tc>
              <w:tc>
                <w:tcPr>
                  <w:tcW w:w="677" w:type="pct"/>
                  <w:vAlign w:val="center"/>
                </w:tcPr>
                <w:p>
                  <w:pPr>
                    <w:spacing w:line="240" w:lineRule="exact"/>
                    <w:jc w:val="center"/>
                    <w:textAlignment w:val="center"/>
                    <w:rPr>
                      <w:sz w:val="21"/>
                      <w:szCs w:val="21"/>
                    </w:rPr>
                  </w:pPr>
                  <w:r>
                    <w:rPr>
                      <w:sz w:val="21"/>
                      <w:szCs w:val="21"/>
                    </w:rPr>
                    <w:t>6</w:t>
                  </w:r>
                  <w:r>
                    <w:rPr>
                      <w:rFonts w:hint="eastAsia"/>
                      <w:sz w:val="21"/>
                      <w:szCs w:val="21"/>
                    </w:rPr>
                    <w:t>.5-8.5</w:t>
                  </w:r>
                </w:p>
              </w:tc>
              <w:tc>
                <w:tcPr>
                  <w:tcW w:w="754" w:type="pct"/>
                  <w:vAlign w:val="center"/>
                </w:tcPr>
                <w:p>
                  <w:pPr>
                    <w:spacing w:line="240" w:lineRule="exact"/>
                    <w:jc w:val="center"/>
                    <w:textAlignment w:val="center"/>
                    <w:rPr>
                      <w:sz w:val="21"/>
                      <w:szCs w:val="21"/>
                    </w:rPr>
                  </w:pPr>
                  <w:r>
                    <w:rPr>
                      <w:rFonts w:hint="eastAsia"/>
                      <w:sz w:val="21"/>
                      <w:szCs w:val="21"/>
                    </w:rPr>
                    <w:t>0.5</w:t>
                  </w:r>
                </w:p>
              </w:tc>
              <w:tc>
                <w:tcPr>
                  <w:tcW w:w="491" w:type="pct"/>
                  <w:vAlign w:val="center"/>
                </w:tcPr>
                <w:p>
                  <w:pPr>
                    <w:spacing w:line="240" w:lineRule="exact"/>
                    <w:jc w:val="center"/>
                    <w:textAlignment w:val="center"/>
                    <w:rPr>
                      <w:sz w:val="21"/>
                      <w:szCs w:val="21"/>
                    </w:rPr>
                  </w:pPr>
                  <w:r>
                    <w:rPr>
                      <w:rFonts w:hint="eastAsia"/>
                      <w:sz w:val="21"/>
                      <w:szCs w:val="21"/>
                    </w:rPr>
                    <w:t>-</w:t>
                  </w:r>
                </w:p>
              </w:tc>
              <w:tc>
                <w:tcPr>
                  <w:tcW w:w="991" w:type="pct"/>
                  <w:vAlign w:val="center"/>
                </w:tcPr>
                <w:p>
                  <w:pPr>
                    <w:spacing w:line="240" w:lineRule="exact"/>
                    <w:jc w:val="center"/>
                    <w:textAlignment w:val="center"/>
                    <w:rPr>
                      <w:sz w:val="21"/>
                      <w:szCs w:val="21"/>
                    </w:rPr>
                  </w:pPr>
                  <w:r>
                    <w:rPr>
                      <w:sz w:val="21"/>
                      <w:szCs w:val="21"/>
                    </w:rPr>
                    <w:t>1</w:t>
                  </w:r>
                  <w:r>
                    <w:rPr>
                      <w:rFonts w:hint="eastAsia"/>
                      <w:sz w:val="21"/>
                      <w:szCs w:val="21"/>
                    </w:rPr>
                    <w:t>000</w:t>
                  </w:r>
                </w:p>
              </w:tc>
              <w:tc>
                <w:tcPr>
                  <w:tcW w:w="652" w:type="pct"/>
                  <w:vAlign w:val="center"/>
                </w:tcPr>
                <w:p>
                  <w:pPr>
                    <w:spacing w:line="240" w:lineRule="exact"/>
                    <w:jc w:val="center"/>
                    <w:textAlignment w:val="center"/>
                    <w:rPr>
                      <w:sz w:val="21"/>
                      <w:szCs w:val="21"/>
                    </w:rPr>
                  </w:pPr>
                  <w:r>
                    <w:rPr>
                      <w:rFonts w:hint="eastAsia"/>
                      <w:sz w:val="21"/>
                      <w:szCs w:val="21"/>
                    </w:rPr>
                    <w:t>450</w:t>
                  </w:r>
                </w:p>
              </w:tc>
              <w:tc>
                <w:tcPr>
                  <w:tcW w:w="378" w:type="pct"/>
                  <w:vMerge w:val="continue"/>
                  <w:tcBorders>
                    <w:right w:val="nil"/>
                  </w:tcBorders>
                  <w:vAlign w:val="center"/>
                </w:tcPr>
                <w:p>
                  <w:pPr>
                    <w:spacing w:line="240" w:lineRule="exact"/>
                    <w:jc w:val="center"/>
                    <w:textAlignment w:val="center"/>
                    <w:rPr>
                      <w:sz w:val="21"/>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409" w:type="pct"/>
                  <w:vMerge w:val="continue"/>
                  <w:vAlign w:val="center"/>
                </w:tcPr>
                <w:p>
                  <w:pPr>
                    <w:pStyle w:val="170"/>
                    <w:spacing w:line="240" w:lineRule="exact"/>
                    <w:rPr>
                      <w:spacing w:val="-2"/>
                    </w:rPr>
                  </w:pPr>
                </w:p>
              </w:tc>
              <w:tc>
                <w:tcPr>
                  <w:tcW w:w="644" w:type="pct"/>
                  <w:vAlign w:val="center"/>
                </w:tcPr>
                <w:p>
                  <w:pPr>
                    <w:adjustRightInd w:val="0"/>
                    <w:snapToGrid w:val="0"/>
                    <w:spacing w:line="240" w:lineRule="exact"/>
                    <w:jc w:val="center"/>
                    <w:rPr>
                      <w:sz w:val="21"/>
                      <w:szCs w:val="21"/>
                    </w:rPr>
                  </w:pPr>
                  <w:r>
                    <w:rPr>
                      <w:sz w:val="21"/>
                      <w:szCs w:val="21"/>
                    </w:rPr>
                    <w:t>超标率</w:t>
                  </w:r>
                  <w:r>
                    <w:rPr>
                      <w:rFonts w:hint="eastAsia"/>
                      <w:sz w:val="21"/>
                      <w:szCs w:val="21"/>
                    </w:rPr>
                    <w:t>%</w:t>
                  </w:r>
                </w:p>
              </w:tc>
              <w:tc>
                <w:tcPr>
                  <w:tcW w:w="677" w:type="pct"/>
                  <w:vAlign w:val="center"/>
                </w:tcPr>
                <w:p>
                  <w:pPr>
                    <w:spacing w:line="240" w:lineRule="exact"/>
                    <w:jc w:val="center"/>
                    <w:textAlignment w:val="center"/>
                    <w:rPr>
                      <w:sz w:val="21"/>
                      <w:szCs w:val="21"/>
                    </w:rPr>
                  </w:pPr>
                  <w:r>
                    <w:rPr>
                      <w:sz w:val="21"/>
                      <w:szCs w:val="21"/>
                    </w:rPr>
                    <w:t>0</w:t>
                  </w:r>
                </w:p>
              </w:tc>
              <w:tc>
                <w:tcPr>
                  <w:tcW w:w="754" w:type="pct"/>
                  <w:vAlign w:val="center"/>
                </w:tcPr>
                <w:p>
                  <w:pPr>
                    <w:spacing w:line="240" w:lineRule="exact"/>
                    <w:jc w:val="center"/>
                    <w:textAlignment w:val="center"/>
                    <w:rPr>
                      <w:sz w:val="21"/>
                      <w:szCs w:val="21"/>
                    </w:rPr>
                  </w:pPr>
                  <w:r>
                    <w:rPr>
                      <w:sz w:val="21"/>
                      <w:szCs w:val="21"/>
                    </w:rPr>
                    <w:t>0</w:t>
                  </w:r>
                </w:p>
              </w:tc>
              <w:tc>
                <w:tcPr>
                  <w:tcW w:w="491" w:type="pct"/>
                  <w:vAlign w:val="center"/>
                </w:tcPr>
                <w:p>
                  <w:pPr>
                    <w:spacing w:line="240" w:lineRule="exact"/>
                    <w:jc w:val="center"/>
                    <w:textAlignment w:val="center"/>
                    <w:rPr>
                      <w:sz w:val="21"/>
                      <w:szCs w:val="21"/>
                    </w:rPr>
                  </w:pPr>
                  <w:r>
                    <w:rPr>
                      <w:rFonts w:hint="eastAsia"/>
                      <w:sz w:val="21"/>
                      <w:szCs w:val="21"/>
                    </w:rPr>
                    <w:t>-</w:t>
                  </w:r>
                </w:p>
              </w:tc>
              <w:tc>
                <w:tcPr>
                  <w:tcW w:w="991" w:type="pct"/>
                  <w:vAlign w:val="center"/>
                </w:tcPr>
                <w:p>
                  <w:pPr>
                    <w:spacing w:line="240" w:lineRule="exact"/>
                    <w:jc w:val="center"/>
                    <w:textAlignment w:val="center"/>
                    <w:rPr>
                      <w:sz w:val="21"/>
                      <w:szCs w:val="21"/>
                    </w:rPr>
                  </w:pPr>
                  <w:r>
                    <w:rPr>
                      <w:sz w:val="21"/>
                      <w:szCs w:val="21"/>
                    </w:rPr>
                    <w:t>0</w:t>
                  </w:r>
                </w:p>
              </w:tc>
              <w:tc>
                <w:tcPr>
                  <w:tcW w:w="652" w:type="pct"/>
                  <w:vAlign w:val="center"/>
                </w:tcPr>
                <w:p>
                  <w:pPr>
                    <w:spacing w:line="240" w:lineRule="exact"/>
                    <w:jc w:val="center"/>
                    <w:textAlignment w:val="center"/>
                    <w:rPr>
                      <w:sz w:val="21"/>
                      <w:szCs w:val="21"/>
                    </w:rPr>
                  </w:pPr>
                  <w:r>
                    <w:rPr>
                      <w:sz w:val="21"/>
                      <w:szCs w:val="21"/>
                    </w:rPr>
                    <w:t>0</w:t>
                  </w:r>
                </w:p>
              </w:tc>
              <w:tc>
                <w:tcPr>
                  <w:tcW w:w="378" w:type="pct"/>
                  <w:vMerge w:val="continue"/>
                  <w:tcBorders>
                    <w:right w:val="nil"/>
                  </w:tcBorders>
                  <w:vAlign w:val="center"/>
                </w:tcPr>
                <w:p>
                  <w:pPr>
                    <w:spacing w:line="240" w:lineRule="exact"/>
                    <w:jc w:val="center"/>
                    <w:textAlignment w:val="center"/>
                    <w:rPr>
                      <w:sz w:val="21"/>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409" w:type="pct"/>
                  <w:vMerge w:val="continue"/>
                  <w:vAlign w:val="center"/>
                </w:tcPr>
                <w:p>
                  <w:pPr>
                    <w:pStyle w:val="170"/>
                    <w:spacing w:line="240" w:lineRule="exact"/>
                    <w:rPr>
                      <w:spacing w:val="-2"/>
                    </w:rPr>
                  </w:pPr>
                </w:p>
              </w:tc>
              <w:tc>
                <w:tcPr>
                  <w:tcW w:w="644" w:type="pct"/>
                  <w:vAlign w:val="center"/>
                </w:tcPr>
                <w:p>
                  <w:pPr>
                    <w:adjustRightInd w:val="0"/>
                    <w:snapToGrid w:val="0"/>
                    <w:spacing w:line="240" w:lineRule="exact"/>
                    <w:jc w:val="center"/>
                    <w:rPr>
                      <w:sz w:val="21"/>
                      <w:szCs w:val="21"/>
                    </w:rPr>
                  </w:pPr>
                  <w:r>
                    <w:rPr>
                      <w:sz w:val="21"/>
                      <w:szCs w:val="21"/>
                    </w:rPr>
                    <w:t>最大超标倍数</w:t>
                  </w:r>
                </w:p>
              </w:tc>
              <w:tc>
                <w:tcPr>
                  <w:tcW w:w="677" w:type="pct"/>
                  <w:vAlign w:val="center"/>
                </w:tcPr>
                <w:p>
                  <w:pPr>
                    <w:spacing w:line="240" w:lineRule="exact"/>
                    <w:jc w:val="center"/>
                    <w:textAlignment w:val="center"/>
                    <w:rPr>
                      <w:sz w:val="21"/>
                      <w:szCs w:val="21"/>
                    </w:rPr>
                  </w:pPr>
                  <w:r>
                    <w:rPr>
                      <w:sz w:val="21"/>
                      <w:szCs w:val="21"/>
                    </w:rPr>
                    <w:t>0</w:t>
                  </w:r>
                </w:p>
              </w:tc>
              <w:tc>
                <w:tcPr>
                  <w:tcW w:w="754" w:type="pct"/>
                  <w:vAlign w:val="center"/>
                </w:tcPr>
                <w:p>
                  <w:pPr>
                    <w:spacing w:line="240" w:lineRule="exact"/>
                    <w:jc w:val="center"/>
                    <w:textAlignment w:val="center"/>
                    <w:rPr>
                      <w:sz w:val="21"/>
                      <w:szCs w:val="21"/>
                    </w:rPr>
                  </w:pPr>
                  <w:r>
                    <w:rPr>
                      <w:sz w:val="21"/>
                      <w:szCs w:val="21"/>
                    </w:rPr>
                    <w:t>0</w:t>
                  </w:r>
                </w:p>
              </w:tc>
              <w:tc>
                <w:tcPr>
                  <w:tcW w:w="491" w:type="pct"/>
                  <w:vAlign w:val="center"/>
                </w:tcPr>
                <w:p>
                  <w:pPr>
                    <w:spacing w:line="240" w:lineRule="exact"/>
                    <w:jc w:val="center"/>
                    <w:textAlignment w:val="center"/>
                    <w:rPr>
                      <w:sz w:val="21"/>
                      <w:szCs w:val="21"/>
                    </w:rPr>
                  </w:pPr>
                  <w:r>
                    <w:rPr>
                      <w:rFonts w:hint="eastAsia"/>
                      <w:sz w:val="21"/>
                      <w:szCs w:val="21"/>
                    </w:rPr>
                    <w:t>-</w:t>
                  </w:r>
                </w:p>
              </w:tc>
              <w:tc>
                <w:tcPr>
                  <w:tcW w:w="991" w:type="pct"/>
                  <w:vAlign w:val="center"/>
                </w:tcPr>
                <w:p>
                  <w:pPr>
                    <w:spacing w:line="240" w:lineRule="exact"/>
                    <w:jc w:val="center"/>
                    <w:textAlignment w:val="center"/>
                    <w:rPr>
                      <w:sz w:val="21"/>
                      <w:szCs w:val="21"/>
                    </w:rPr>
                  </w:pPr>
                  <w:r>
                    <w:rPr>
                      <w:sz w:val="21"/>
                      <w:szCs w:val="21"/>
                    </w:rPr>
                    <w:t>0</w:t>
                  </w:r>
                </w:p>
              </w:tc>
              <w:tc>
                <w:tcPr>
                  <w:tcW w:w="652" w:type="pct"/>
                  <w:vAlign w:val="center"/>
                </w:tcPr>
                <w:p>
                  <w:pPr>
                    <w:spacing w:line="240" w:lineRule="exact"/>
                    <w:jc w:val="center"/>
                    <w:textAlignment w:val="center"/>
                    <w:rPr>
                      <w:sz w:val="21"/>
                      <w:szCs w:val="21"/>
                    </w:rPr>
                  </w:pPr>
                  <w:r>
                    <w:rPr>
                      <w:sz w:val="21"/>
                      <w:szCs w:val="21"/>
                    </w:rPr>
                    <w:t>0</w:t>
                  </w:r>
                </w:p>
              </w:tc>
              <w:tc>
                <w:tcPr>
                  <w:tcW w:w="378" w:type="pct"/>
                  <w:vMerge w:val="continue"/>
                  <w:tcBorders>
                    <w:right w:val="nil"/>
                  </w:tcBorders>
                  <w:vAlign w:val="center"/>
                </w:tcPr>
                <w:p>
                  <w:pPr>
                    <w:spacing w:line="240" w:lineRule="exact"/>
                    <w:jc w:val="center"/>
                    <w:textAlignment w:val="center"/>
                    <w:rPr>
                      <w:sz w:val="21"/>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409" w:type="pct"/>
                  <w:vAlign w:val="center"/>
                </w:tcPr>
                <w:p>
                  <w:pPr>
                    <w:pStyle w:val="170"/>
                    <w:spacing w:line="240" w:lineRule="exact"/>
                    <w:rPr>
                      <w:spacing w:val="-2"/>
                    </w:rPr>
                  </w:pPr>
                </w:p>
              </w:tc>
              <w:tc>
                <w:tcPr>
                  <w:tcW w:w="644" w:type="pct"/>
                  <w:vAlign w:val="center"/>
                </w:tcPr>
                <w:p>
                  <w:pPr>
                    <w:adjustRightInd w:val="0"/>
                    <w:snapToGrid w:val="0"/>
                    <w:spacing w:line="240" w:lineRule="exact"/>
                    <w:jc w:val="center"/>
                    <w:rPr>
                      <w:sz w:val="21"/>
                      <w:szCs w:val="21"/>
                    </w:rPr>
                  </w:pPr>
                  <w:r>
                    <w:rPr>
                      <w:rFonts w:hint="eastAsia"/>
                      <w:sz w:val="21"/>
                      <w:szCs w:val="21"/>
                    </w:rPr>
                    <w:t>标准指数</w:t>
                  </w:r>
                </w:p>
              </w:tc>
              <w:tc>
                <w:tcPr>
                  <w:tcW w:w="677" w:type="pct"/>
                  <w:vAlign w:val="center"/>
                </w:tcPr>
                <w:p>
                  <w:pPr>
                    <w:spacing w:line="240" w:lineRule="exact"/>
                    <w:jc w:val="center"/>
                    <w:textAlignment w:val="center"/>
                    <w:rPr>
                      <w:sz w:val="21"/>
                      <w:szCs w:val="21"/>
                    </w:rPr>
                  </w:pPr>
                  <w:r>
                    <w:rPr>
                      <w:rFonts w:hint="eastAsia"/>
                      <w:sz w:val="21"/>
                      <w:szCs w:val="21"/>
                    </w:rPr>
                    <w:t>0.22-0.3</w:t>
                  </w:r>
                </w:p>
              </w:tc>
              <w:tc>
                <w:tcPr>
                  <w:tcW w:w="754" w:type="pct"/>
                  <w:vAlign w:val="center"/>
                </w:tcPr>
                <w:p>
                  <w:pPr>
                    <w:spacing w:line="240" w:lineRule="exact"/>
                    <w:jc w:val="center"/>
                    <w:textAlignment w:val="center"/>
                    <w:rPr>
                      <w:sz w:val="21"/>
                      <w:szCs w:val="21"/>
                    </w:rPr>
                  </w:pPr>
                  <w:r>
                    <w:rPr>
                      <w:rFonts w:hint="eastAsia"/>
                      <w:sz w:val="21"/>
                      <w:szCs w:val="21"/>
                    </w:rPr>
                    <w:t>0.118</w:t>
                  </w:r>
                </w:p>
              </w:tc>
              <w:tc>
                <w:tcPr>
                  <w:tcW w:w="491" w:type="pct"/>
                  <w:vAlign w:val="center"/>
                </w:tcPr>
                <w:p>
                  <w:pPr>
                    <w:spacing w:line="240" w:lineRule="exact"/>
                    <w:jc w:val="center"/>
                    <w:textAlignment w:val="center"/>
                    <w:rPr>
                      <w:sz w:val="21"/>
                      <w:szCs w:val="21"/>
                    </w:rPr>
                  </w:pPr>
                  <w:r>
                    <w:rPr>
                      <w:rFonts w:hint="eastAsia"/>
                      <w:sz w:val="21"/>
                      <w:szCs w:val="21"/>
                    </w:rPr>
                    <w:t>ND</w:t>
                  </w:r>
                </w:p>
              </w:tc>
              <w:tc>
                <w:tcPr>
                  <w:tcW w:w="991" w:type="pct"/>
                  <w:vAlign w:val="center"/>
                </w:tcPr>
                <w:p>
                  <w:pPr>
                    <w:spacing w:line="240" w:lineRule="exact"/>
                    <w:jc w:val="center"/>
                    <w:textAlignment w:val="center"/>
                    <w:rPr>
                      <w:sz w:val="21"/>
                      <w:szCs w:val="21"/>
                    </w:rPr>
                  </w:pPr>
                  <w:r>
                    <w:rPr>
                      <w:rFonts w:hint="eastAsia"/>
                      <w:sz w:val="21"/>
                      <w:szCs w:val="21"/>
                    </w:rPr>
                    <w:t>0.281</w:t>
                  </w:r>
                </w:p>
              </w:tc>
              <w:tc>
                <w:tcPr>
                  <w:tcW w:w="652" w:type="pct"/>
                  <w:vAlign w:val="center"/>
                </w:tcPr>
                <w:p>
                  <w:pPr>
                    <w:spacing w:line="240" w:lineRule="exact"/>
                    <w:jc w:val="center"/>
                    <w:textAlignment w:val="center"/>
                    <w:rPr>
                      <w:sz w:val="21"/>
                      <w:szCs w:val="21"/>
                    </w:rPr>
                  </w:pPr>
                  <w:r>
                    <w:rPr>
                      <w:rFonts w:hint="eastAsia"/>
                      <w:sz w:val="21"/>
                      <w:szCs w:val="21"/>
                    </w:rPr>
                    <w:t>0.27</w:t>
                  </w:r>
                </w:p>
              </w:tc>
              <w:tc>
                <w:tcPr>
                  <w:tcW w:w="378" w:type="pct"/>
                  <w:tcBorders>
                    <w:right w:val="nil"/>
                  </w:tcBorders>
                  <w:vAlign w:val="center"/>
                </w:tcPr>
                <w:p>
                  <w:pPr>
                    <w:spacing w:line="240" w:lineRule="exact"/>
                    <w:jc w:val="center"/>
                    <w:textAlignment w:val="center"/>
                    <w:rPr>
                      <w:sz w:val="21"/>
                      <w:szCs w:val="21"/>
                    </w:rPr>
                  </w:pPr>
                  <w:r>
                    <w:rPr>
                      <w:rFonts w:hint="eastAsia"/>
                      <w:sz w:val="21"/>
                      <w:szCs w:val="21"/>
                    </w:rPr>
                    <w:t>/</w:t>
                  </w:r>
                </w:p>
              </w:tc>
            </w:tr>
          </w:tbl>
          <w:p>
            <w:pPr>
              <w:tabs>
                <w:tab w:val="left" w:pos="1021"/>
              </w:tabs>
              <w:spacing w:line="460" w:lineRule="exact"/>
              <w:jc w:val="center"/>
              <w:rPr>
                <w:b/>
                <w:sz w:val="21"/>
                <w:szCs w:val="21"/>
              </w:rPr>
            </w:pPr>
            <w:r>
              <w:rPr>
                <w:b/>
                <w:sz w:val="21"/>
                <w:szCs w:val="21"/>
              </w:rPr>
              <w:t>表3-</w:t>
            </w:r>
            <w:r>
              <w:rPr>
                <w:rFonts w:hint="eastAsia"/>
                <w:b/>
                <w:sz w:val="21"/>
                <w:szCs w:val="21"/>
                <w:lang w:val="en-US" w:eastAsia="zh-CN"/>
              </w:rPr>
              <w:t>8</w:t>
            </w:r>
            <w:r>
              <w:rPr>
                <w:b/>
                <w:sz w:val="21"/>
                <w:szCs w:val="21"/>
              </w:rPr>
              <w:t xml:space="preserve">  </w:t>
            </w:r>
            <w:r>
              <w:rPr>
                <w:rFonts w:hint="eastAsia"/>
                <w:b/>
                <w:sz w:val="21"/>
                <w:szCs w:val="21"/>
              </w:rPr>
              <w:t xml:space="preserve"> 项目沿线地下水现状</w:t>
            </w:r>
            <w:r>
              <w:rPr>
                <w:b/>
                <w:sz w:val="21"/>
                <w:szCs w:val="21"/>
              </w:rPr>
              <w:t>水质</w:t>
            </w:r>
            <w:r>
              <w:rPr>
                <w:rFonts w:hint="eastAsia"/>
                <w:b/>
                <w:sz w:val="21"/>
                <w:szCs w:val="21"/>
              </w:rPr>
              <w:t>水位</w:t>
            </w:r>
            <w:r>
              <w:rPr>
                <w:b/>
                <w:sz w:val="21"/>
                <w:szCs w:val="21"/>
              </w:rPr>
              <w:t>监测结果</w:t>
            </w:r>
          </w:p>
          <w:p>
            <w:pPr>
              <w:spacing w:line="360" w:lineRule="auto"/>
              <w:ind w:firstLine="480" w:firstLineChars="200"/>
            </w:pPr>
            <w:r>
              <w:rPr>
                <w:rFonts w:hint="eastAsia"/>
              </w:rPr>
              <w:t>通过上表监测结果表明，该项目区域地下水质良好。</w:t>
            </w:r>
          </w:p>
          <w:p>
            <w:pPr>
              <w:spacing w:before="163" w:beforeLines="50" w:line="360" w:lineRule="auto"/>
              <w:ind w:firstLine="482" w:firstLineChars="200"/>
              <w:outlineLvl w:val="1"/>
              <w:rPr>
                <w:b/>
                <w:szCs w:val="28"/>
              </w:rPr>
            </w:pPr>
            <w:bookmarkStart w:id="12" w:name="_Toc20786"/>
            <w:r>
              <w:rPr>
                <w:b/>
                <w:szCs w:val="28"/>
              </w:rPr>
              <w:t>5</w:t>
            </w:r>
            <w:r>
              <w:rPr>
                <w:rFonts w:hint="eastAsia"/>
                <w:b/>
                <w:szCs w:val="28"/>
              </w:rPr>
              <w:t>、底泥及土壤环境现状调查与评价</w:t>
            </w:r>
            <w:bookmarkEnd w:id="12"/>
          </w:p>
          <w:p>
            <w:pPr>
              <w:spacing w:before="163" w:beforeLines="50" w:line="360" w:lineRule="auto"/>
              <w:ind w:firstLine="482" w:firstLineChars="200"/>
              <w:outlineLvl w:val="2"/>
              <w:rPr>
                <w:b/>
              </w:rPr>
            </w:pPr>
            <w:r>
              <w:rPr>
                <w:b/>
              </w:rPr>
              <w:t>5.1</w:t>
            </w:r>
            <w:r>
              <w:rPr>
                <w:rFonts w:hint="eastAsia"/>
                <w:b/>
              </w:rPr>
              <w:t>底泥及土壤环境现状监测</w:t>
            </w:r>
          </w:p>
          <w:p>
            <w:pPr>
              <w:spacing w:line="360" w:lineRule="auto"/>
              <w:ind w:firstLine="480" w:firstLineChars="200"/>
            </w:pPr>
            <w:r>
              <w:t>1</w:t>
            </w:r>
            <w:r>
              <w:rPr>
                <w:rFonts w:hint="eastAsia"/>
              </w:rPr>
              <w:t>）监测布点</w:t>
            </w:r>
          </w:p>
          <w:p>
            <w:pPr>
              <w:spacing w:line="360" w:lineRule="auto"/>
              <w:ind w:right="240" w:rightChars="100" w:firstLine="480" w:firstLineChars="200"/>
              <w:rPr>
                <w:kern w:val="24"/>
              </w:rPr>
            </w:pPr>
            <w:r>
              <w:rPr>
                <w:rFonts w:hint="eastAsia"/>
                <w:kern w:val="24"/>
              </w:rPr>
              <w:t>根据项目施工范围，本次底泥监测布点主要布点于西干渠沿线，本项目引用</w:t>
            </w:r>
            <w:r>
              <w:rPr>
                <w:rFonts w:hint="eastAsia"/>
              </w:rPr>
              <w:t>《岳阳市长江补水工程（一期工程）环境影响报告书》中底泥及土壤监测数据。</w:t>
            </w:r>
            <w:r>
              <w:rPr>
                <w:kern w:val="24"/>
              </w:rPr>
              <w:t>监测点位详见</w:t>
            </w:r>
            <w:r>
              <w:rPr>
                <w:rFonts w:hint="eastAsia"/>
                <w:kern w:val="24"/>
              </w:rPr>
              <w:t>下</w:t>
            </w:r>
            <w:r>
              <w:rPr>
                <w:kern w:val="24"/>
              </w:rPr>
              <w:t>表3-</w:t>
            </w:r>
            <w:r>
              <w:rPr>
                <w:rFonts w:hint="eastAsia"/>
                <w:kern w:val="24"/>
                <w:lang w:val="en-US" w:eastAsia="zh-CN"/>
              </w:rPr>
              <w:t>9</w:t>
            </w:r>
            <w:r>
              <w:rPr>
                <w:kern w:val="24"/>
              </w:rPr>
              <w:t>。</w:t>
            </w:r>
            <w:r>
              <w:rPr>
                <w:rFonts w:hint="eastAsia"/>
                <w:kern w:val="24"/>
              </w:rPr>
              <w:t>本次土壤监测布点主要布点于工程沿线土壤环境，</w:t>
            </w:r>
            <w:r>
              <w:rPr>
                <w:kern w:val="24"/>
              </w:rPr>
              <w:t>监测点位详见</w:t>
            </w:r>
            <w:r>
              <w:rPr>
                <w:rFonts w:hint="eastAsia"/>
                <w:kern w:val="24"/>
              </w:rPr>
              <w:t>表3</w:t>
            </w:r>
            <w:r>
              <w:rPr>
                <w:kern w:val="24"/>
              </w:rPr>
              <w:t>-1</w:t>
            </w:r>
            <w:r>
              <w:rPr>
                <w:rFonts w:hint="eastAsia"/>
                <w:kern w:val="24"/>
                <w:lang w:val="en-US" w:eastAsia="zh-CN"/>
              </w:rPr>
              <w:t>0</w:t>
            </w:r>
            <w:r>
              <w:rPr>
                <w:kern w:val="24"/>
              </w:rPr>
              <w:t>。</w:t>
            </w:r>
          </w:p>
          <w:p>
            <w:pPr>
              <w:spacing w:line="360" w:lineRule="auto"/>
              <w:jc w:val="center"/>
              <w:rPr>
                <w:rFonts w:hAnsi="宋体"/>
                <w:b/>
                <w:bCs/>
                <w:sz w:val="21"/>
                <w:szCs w:val="21"/>
              </w:rPr>
            </w:pPr>
            <w:r>
              <w:rPr>
                <w:rFonts w:hAnsi="宋体"/>
                <w:b/>
                <w:bCs/>
                <w:sz w:val="21"/>
                <w:szCs w:val="21"/>
              </w:rPr>
              <w:t>表3-</w:t>
            </w:r>
            <w:r>
              <w:rPr>
                <w:rFonts w:hint="eastAsia" w:hAnsi="宋体"/>
                <w:b/>
                <w:bCs/>
                <w:sz w:val="21"/>
                <w:szCs w:val="21"/>
                <w:lang w:val="en-US" w:eastAsia="zh-CN"/>
              </w:rPr>
              <w:t>9</w:t>
            </w:r>
            <w:r>
              <w:rPr>
                <w:rFonts w:hAnsi="宋体"/>
                <w:b/>
                <w:bCs/>
                <w:sz w:val="21"/>
                <w:szCs w:val="21"/>
              </w:rPr>
              <w:t xml:space="preserve"> </w:t>
            </w:r>
            <w:r>
              <w:rPr>
                <w:rFonts w:hint="eastAsia" w:hAnsi="宋体"/>
                <w:b/>
                <w:bCs/>
                <w:sz w:val="21"/>
                <w:szCs w:val="21"/>
              </w:rPr>
              <w:t>底泥</w:t>
            </w:r>
            <w:r>
              <w:rPr>
                <w:rFonts w:hAnsi="宋体"/>
                <w:b/>
                <w:bCs/>
                <w:sz w:val="21"/>
                <w:szCs w:val="21"/>
              </w:rPr>
              <w:t>监测点布设位置一览表</w:t>
            </w:r>
          </w:p>
          <w:tbl>
            <w:tblPr>
              <w:tblStyle w:val="44"/>
              <w:tblpPr w:leftFromText="180" w:rightFromText="180" w:vertAnchor="text" w:horzAnchor="margin" w:tblpY="32"/>
              <w:tblOverlap w:val="never"/>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011"/>
              <w:gridCol w:w="3534"/>
              <w:gridCol w:w="328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1139" w:type="pct"/>
                  <w:tcBorders>
                    <w:top w:val="single" w:color="auto" w:sz="12" w:space="0"/>
                    <w:left w:val="single" w:color="auto" w:sz="12" w:space="0"/>
                    <w:bottom w:val="single" w:color="auto" w:sz="12" w:space="0"/>
                  </w:tcBorders>
                  <w:vAlign w:val="center"/>
                </w:tcPr>
                <w:p>
                  <w:pPr>
                    <w:adjustRightInd w:val="0"/>
                    <w:snapToGrid w:val="0"/>
                    <w:spacing w:line="326" w:lineRule="exact"/>
                    <w:jc w:val="center"/>
                    <w:rPr>
                      <w:sz w:val="21"/>
                      <w:szCs w:val="21"/>
                    </w:rPr>
                  </w:pPr>
                  <w:r>
                    <w:rPr>
                      <w:sz w:val="21"/>
                      <w:szCs w:val="21"/>
                    </w:rPr>
                    <w:t>序号</w:t>
                  </w:r>
                </w:p>
              </w:tc>
              <w:tc>
                <w:tcPr>
                  <w:tcW w:w="2002" w:type="pct"/>
                  <w:tcBorders>
                    <w:top w:val="single" w:color="auto" w:sz="12" w:space="0"/>
                    <w:bottom w:val="single" w:color="auto" w:sz="12" w:space="0"/>
                    <w:right w:val="single" w:color="auto" w:sz="4" w:space="0"/>
                  </w:tcBorders>
                  <w:vAlign w:val="center"/>
                </w:tcPr>
                <w:p>
                  <w:pPr>
                    <w:adjustRightInd w:val="0"/>
                    <w:snapToGrid w:val="0"/>
                    <w:spacing w:line="326" w:lineRule="exact"/>
                    <w:jc w:val="center"/>
                    <w:rPr>
                      <w:sz w:val="21"/>
                      <w:szCs w:val="21"/>
                    </w:rPr>
                  </w:pPr>
                  <w:r>
                    <w:rPr>
                      <w:rFonts w:hint="eastAsia"/>
                      <w:sz w:val="21"/>
                      <w:szCs w:val="21"/>
                    </w:rPr>
                    <w:t>监测点位</w:t>
                  </w:r>
                </w:p>
              </w:tc>
              <w:tc>
                <w:tcPr>
                  <w:tcW w:w="1859" w:type="pct"/>
                  <w:tcBorders>
                    <w:top w:val="single" w:color="auto" w:sz="12" w:space="0"/>
                    <w:left w:val="single" w:color="auto" w:sz="4" w:space="0"/>
                    <w:bottom w:val="single" w:color="auto" w:sz="12" w:space="0"/>
                    <w:right w:val="single" w:color="auto" w:sz="12" w:space="0"/>
                  </w:tcBorders>
                  <w:vAlign w:val="center"/>
                </w:tcPr>
                <w:p>
                  <w:pPr>
                    <w:adjustRightInd w:val="0"/>
                    <w:snapToGrid w:val="0"/>
                    <w:spacing w:line="326" w:lineRule="exact"/>
                    <w:jc w:val="center"/>
                    <w:rPr>
                      <w:sz w:val="21"/>
                      <w:szCs w:val="21"/>
                    </w:rPr>
                  </w:pPr>
                  <w:r>
                    <w:rPr>
                      <w:rFonts w:hint="eastAsia"/>
                      <w:sz w:val="21"/>
                      <w:szCs w:val="21"/>
                    </w:rPr>
                    <w:t>说明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1139" w:type="pct"/>
                  <w:tcBorders>
                    <w:left w:val="single" w:color="auto" w:sz="12" w:space="0"/>
                  </w:tcBorders>
                  <w:vAlign w:val="center"/>
                </w:tcPr>
                <w:p>
                  <w:pPr>
                    <w:adjustRightInd w:val="0"/>
                    <w:snapToGrid w:val="0"/>
                    <w:spacing w:line="326" w:lineRule="exact"/>
                    <w:jc w:val="center"/>
                    <w:rPr>
                      <w:sz w:val="21"/>
                      <w:szCs w:val="21"/>
                    </w:rPr>
                  </w:pPr>
                  <w:r>
                    <w:rPr>
                      <w:rFonts w:hint="eastAsia"/>
                      <w:sz w:val="21"/>
                      <w:szCs w:val="21"/>
                    </w:rPr>
                    <w:t>Z1</w:t>
                  </w:r>
                </w:p>
              </w:tc>
              <w:tc>
                <w:tcPr>
                  <w:tcW w:w="2002" w:type="pct"/>
                  <w:tcBorders>
                    <w:right w:val="single" w:color="auto" w:sz="4" w:space="0"/>
                  </w:tcBorders>
                  <w:vAlign w:val="center"/>
                </w:tcPr>
                <w:p>
                  <w:pPr>
                    <w:adjustRightInd w:val="0"/>
                    <w:snapToGrid w:val="0"/>
                    <w:spacing w:line="326" w:lineRule="exact"/>
                    <w:jc w:val="center"/>
                    <w:rPr>
                      <w:sz w:val="21"/>
                      <w:szCs w:val="21"/>
                    </w:rPr>
                  </w:pPr>
                  <w:r>
                    <w:rPr>
                      <w:rFonts w:hint="eastAsia"/>
                      <w:sz w:val="21"/>
                      <w:szCs w:val="21"/>
                    </w:rPr>
                    <w:t>西干渠</w:t>
                  </w:r>
                </w:p>
              </w:tc>
              <w:tc>
                <w:tcPr>
                  <w:tcW w:w="1859" w:type="pct"/>
                  <w:tcBorders>
                    <w:left w:val="single" w:color="auto" w:sz="4" w:space="0"/>
                    <w:right w:val="single" w:color="auto" w:sz="12" w:space="0"/>
                  </w:tcBorders>
                  <w:vAlign w:val="center"/>
                </w:tcPr>
                <w:p>
                  <w:pPr>
                    <w:adjustRightInd w:val="0"/>
                    <w:snapToGrid w:val="0"/>
                    <w:spacing w:line="326" w:lineRule="exact"/>
                    <w:jc w:val="center"/>
                    <w:rPr>
                      <w:sz w:val="21"/>
                      <w:szCs w:val="21"/>
                    </w:rPr>
                  </w:pPr>
                  <w:r>
                    <w:rPr>
                      <w:rFonts w:hint="eastAsia"/>
                      <w:sz w:val="21"/>
                      <w:szCs w:val="21"/>
                    </w:rPr>
                    <w:t>西干渠与一支渠交汇处</w:t>
                  </w:r>
                </w:p>
              </w:tc>
            </w:tr>
          </w:tbl>
          <w:p>
            <w:pPr>
              <w:spacing w:line="360" w:lineRule="auto"/>
              <w:rPr>
                <w:rFonts w:hAnsi="宋体"/>
                <w:b/>
                <w:bCs/>
                <w:sz w:val="21"/>
                <w:szCs w:val="21"/>
              </w:rPr>
            </w:pPr>
          </w:p>
          <w:p>
            <w:pPr>
              <w:spacing w:line="360" w:lineRule="auto"/>
              <w:jc w:val="center"/>
              <w:rPr>
                <w:rFonts w:hAnsi="宋体"/>
                <w:b/>
                <w:bCs/>
                <w:sz w:val="21"/>
                <w:szCs w:val="21"/>
              </w:rPr>
            </w:pPr>
            <w:r>
              <w:rPr>
                <w:rFonts w:hAnsi="宋体"/>
                <w:b/>
                <w:bCs/>
                <w:sz w:val="21"/>
                <w:szCs w:val="21"/>
              </w:rPr>
              <w:t>表3-1</w:t>
            </w:r>
            <w:r>
              <w:rPr>
                <w:rFonts w:hint="eastAsia" w:hAnsi="宋体"/>
                <w:b/>
                <w:bCs/>
                <w:sz w:val="21"/>
                <w:szCs w:val="21"/>
                <w:lang w:val="en-US" w:eastAsia="zh-CN"/>
              </w:rPr>
              <w:t>0</w:t>
            </w:r>
            <w:r>
              <w:rPr>
                <w:rFonts w:hint="eastAsia" w:hAnsi="宋体"/>
                <w:b/>
                <w:bCs/>
                <w:sz w:val="21"/>
                <w:szCs w:val="21"/>
              </w:rPr>
              <w:t>土壤</w:t>
            </w:r>
            <w:r>
              <w:rPr>
                <w:rFonts w:hAnsi="宋体"/>
                <w:b/>
                <w:bCs/>
                <w:sz w:val="21"/>
                <w:szCs w:val="21"/>
              </w:rPr>
              <w:t>监测点布设位置一览表</w:t>
            </w:r>
          </w:p>
          <w:tbl>
            <w:tblPr>
              <w:tblStyle w:val="44"/>
              <w:tblpPr w:leftFromText="180" w:rightFromText="180" w:vertAnchor="text" w:horzAnchor="margin" w:tblpY="3"/>
              <w:tblOverlap w:val="never"/>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011"/>
              <w:gridCol w:w="3534"/>
              <w:gridCol w:w="328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1139" w:type="pct"/>
                  <w:tcBorders>
                    <w:top w:val="single" w:color="auto" w:sz="12" w:space="0"/>
                    <w:left w:val="single" w:color="auto" w:sz="12" w:space="0"/>
                    <w:bottom w:val="single" w:color="auto" w:sz="12" w:space="0"/>
                  </w:tcBorders>
                  <w:vAlign w:val="center"/>
                </w:tcPr>
                <w:p>
                  <w:pPr>
                    <w:adjustRightInd w:val="0"/>
                    <w:snapToGrid w:val="0"/>
                    <w:spacing w:line="326" w:lineRule="exact"/>
                    <w:jc w:val="center"/>
                    <w:rPr>
                      <w:sz w:val="21"/>
                      <w:szCs w:val="21"/>
                    </w:rPr>
                  </w:pPr>
                  <w:r>
                    <w:rPr>
                      <w:sz w:val="21"/>
                      <w:szCs w:val="21"/>
                    </w:rPr>
                    <w:t>序号</w:t>
                  </w:r>
                </w:p>
              </w:tc>
              <w:tc>
                <w:tcPr>
                  <w:tcW w:w="2002" w:type="pct"/>
                  <w:tcBorders>
                    <w:top w:val="single" w:color="auto" w:sz="12" w:space="0"/>
                    <w:bottom w:val="single" w:color="auto" w:sz="12" w:space="0"/>
                    <w:right w:val="single" w:color="auto" w:sz="4" w:space="0"/>
                  </w:tcBorders>
                  <w:vAlign w:val="center"/>
                </w:tcPr>
                <w:p>
                  <w:pPr>
                    <w:adjustRightInd w:val="0"/>
                    <w:snapToGrid w:val="0"/>
                    <w:spacing w:line="326" w:lineRule="exact"/>
                    <w:jc w:val="center"/>
                    <w:rPr>
                      <w:sz w:val="21"/>
                      <w:szCs w:val="21"/>
                    </w:rPr>
                  </w:pPr>
                  <w:r>
                    <w:rPr>
                      <w:rFonts w:hint="eastAsia"/>
                      <w:sz w:val="21"/>
                      <w:szCs w:val="21"/>
                    </w:rPr>
                    <w:t>监测点位</w:t>
                  </w:r>
                </w:p>
              </w:tc>
              <w:tc>
                <w:tcPr>
                  <w:tcW w:w="1859" w:type="pct"/>
                  <w:tcBorders>
                    <w:top w:val="single" w:color="auto" w:sz="12" w:space="0"/>
                    <w:left w:val="single" w:color="auto" w:sz="4" w:space="0"/>
                    <w:bottom w:val="single" w:color="auto" w:sz="12" w:space="0"/>
                    <w:right w:val="single" w:color="auto" w:sz="12" w:space="0"/>
                  </w:tcBorders>
                  <w:vAlign w:val="center"/>
                </w:tcPr>
                <w:p>
                  <w:pPr>
                    <w:adjustRightInd w:val="0"/>
                    <w:snapToGrid w:val="0"/>
                    <w:spacing w:line="326" w:lineRule="exact"/>
                    <w:jc w:val="center"/>
                    <w:rPr>
                      <w:sz w:val="21"/>
                      <w:szCs w:val="21"/>
                    </w:rPr>
                  </w:pPr>
                  <w:r>
                    <w:rPr>
                      <w:rFonts w:hint="eastAsia"/>
                      <w:sz w:val="21"/>
                      <w:szCs w:val="21"/>
                    </w:rPr>
                    <w:t>说明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1139" w:type="pct"/>
                  <w:tcBorders>
                    <w:left w:val="single" w:color="auto" w:sz="12" w:space="0"/>
                  </w:tcBorders>
                  <w:vAlign w:val="center"/>
                </w:tcPr>
                <w:p>
                  <w:pPr>
                    <w:adjustRightInd w:val="0"/>
                    <w:snapToGrid w:val="0"/>
                    <w:spacing w:line="326" w:lineRule="exact"/>
                    <w:jc w:val="center"/>
                    <w:rPr>
                      <w:sz w:val="21"/>
                      <w:szCs w:val="21"/>
                    </w:rPr>
                  </w:pPr>
                  <w:r>
                    <w:rPr>
                      <w:rFonts w:hint="eastAsia"/>
                      <w:sz w:val="21"/>
                      <w:szCs w:val="21"/>
                    </w:rPr>
                    <w:t>T1</w:t>
                  </w:r>
                </w:p>
              </w:tc>
              <w:tc>
                <w:tcPr>
                  <w:tcW w:w="2002" w:type="pct"/>
                  <w:tcBorders>
                    <w:right w:val="single" w:color="auto" w:sz="4" w:space="0"/>
                  </w:tcBorders>
                  <w:vAlign w:val="center"/>
                </w:tcPr>
                <w:p>
                  <w:pPr>
                    <w:adjustRightInd w:val="0"/>
                    <w:snapToGrid w:val="0"/>
                    <w:spacing w:line="326" w:lineRule="exact"/>
                    <w:jc w:val="center"/>
                    <w:rPr>
                      <w:sz w:val="21"/>
                      <w:szCs w:val="21"/>
                    </w:rPr>
                  </w:pPr>
                  <w:r>
                    <w:rPr>
                      <w:rFonts w:hint="eastAsia"/>
                      <w:sz w:val="21"/>
                      <w:szCs w:val="21"/>
                    </w:rPr>
                    <w:t>长江口</w:t>
                  </w:r>
                </w:p>
              </w:tc>
              <w:tc>
                <w:tcPr>
                  <w:tcW w:w="1859" w:type="pct"/>
                  <w:tcBorders>
                    <w:left w:val="single" w:color="auto" w:sz="4" w:space="0"/>
                    <w:right w:val="single" w:color="auto" w:sz="12" w:space="0"/>
                  </w:tcBorders>
                  <w:vAlign w:val="center"/>
                </w:tcPr>
                <w:p>
                  <w:pPr>
                    <w:adjustRightInd w:val="0"/>
                    <w:snapToGrid w:val="0"/>
                    <w:spacing w:line="326" w:lineRule="exact"/>
                    <w:jc w:val="center"/>
                    <w:rPr>
                      <w:sz w:val="21"/>
                      <w:szCs w:val="21"/>
                    </w:rPr>
                  </w:pPr>
                  <w:r>
                    <w:rPr>
                      <w:rFonts w:hint="eastAsia"/>
                      <w:sz w:val="21"/>
                      <w:szCs w:val="21"/>
                    </w:rPr>
                    <w:t>项目取水口处长江滩地</w:t>
                  </w:r>
                </w:p>
              </w:tc>
            </w:tr>
          </w:tbl>
          <w:p>
            <w:pPr>
              <w:spacing w:line="480" w:lineRule="exact"/>
              <w:ind w:firstLine="480" w:firstLineChars="200"/>
            </w:pPr>
            <w:r>
              <w:rPr>
                <w:rFonts w:hint="eastAsia"/>
              </w:rPr>
              <w:t>2）监测时间及频率</w:t>
            </w:r>
          </w:p>
          <w:p>
            <w:pPr>
              <w:spacing w:line="360" w:lineRule="auto"/>
              <w:ind w:firstLine="480" w:firstLineChars="200"/>
            </w:pPr>
            <w:r>
              <w:rPr>
                <w:rFonts w:hint="eastAsia"/>
              </w:rPr>
              <w:t>2018年11月22日，监测1天/1次；</w:t>
            </w:r>
          </w:p>
          <w:p>
            <w:pPr>
              <w:spacing w:line="360" w:lineRule="auto"/>
              <w:ind w:firstLine="480" w:firstLineChars="200"/>
            </w:pPr>
            <w:r>
              <w:t>监测单位：</w:t>
            </w:r>
            <w:r>
              <w:rPr>
                <w:kern w:val="24"/>
              </w:rPr>
              <w:t>湖南永蓝检测技术</w:t>
            </w:r>
            <w:r>
              <w:rPr>
                <w:rFonts w:hint="eastAsia"/>
                <w:kern w:val="24"/>
              </w:rPr>
              <w:t>股份</w:t>
            </w:r>
            <w:r>
              <w:rPr>
                <w:kern w:val="24"/>
              </w:rPr>
              <w:t>有限公司</w:t>
            </w:r>
          </w:p>
          <w:p>
            <w:pPr>
              <w:spacing w:line="480" w:lineRule="exact"/>
              <w:ind w:firstLine="480" w:firstLineChars="200"/>
            </w:pPr>
            <w:r>
              <w:t>3</w:t>
            </w:r>
            <w:r>
              <w:rPr>
                <w:rFonts w:hint="eastAsia"/>
              </w:rPr>
              <w:t>）监测项目</w:t>
            </w:r>
          </w:p>
          <w:p>
            <w:pPr>
              <w:spacing w:line="480" w:lineRule="exact"/>
              <w:ind w:firstLine="480" w:firstLineChars="200"/>
            </w:pPr>
            <w:r>
              <w:rPr>
                <w:rFonts w:hint="eastAsia"/>
              </w:rPr>
              <w:t>pH、铅（Pb）、砷（As）、汞（Hg）、铬（Cr）、锌（Zn）、镉（Cd）、铜（Cu）。</w:t>
            </w:r>
          </w:p>
          <w:p>
            <w:pPr>
              <w:spacing w:line="480" w:lineRule="exact"/>
              <w:ind w:firstLine="480" w:firstLineChars="200"/>
            </w:pPr>
            <w:r>
              <w:rPr>
                <w:rFonts w:hint="eastAsia"/>
              </w:rPr>
              <w:t>4）监测结果</w:t>
            </w:r>
          </w:p>
          <w:p>
            <w:pPr>
              <w:spacing w:line="480" w:lineRule="exact"/>
              <w:ind w:firstLine="480" w:firstLineChars="200"/>
            </w:pPr>
            <w:r>
              <w:rPr>
                <w:rFonts w:hint="eastAsia"/>
              </w:rPr>
              <w:t>底泥监测结果见表</w:t>
            </w:r>
            <w:r>
              <w:t>3-12</w:t>
            </w:r>
            <w:r>
              <w:rPr>
                <w:rFonts w:hint="eastAsia"/>
              </w:rPr>
              <w:t>，土壤监测结果见表</w:t>
            </w:r>
            <w:r>
              <w:t>3-13</w:t>
            </w:r>
            <w:r>
              <w:rPr>
                <w:rFonts w:hint="eastAsia"/>
              </w:rPr>
              <w:t>。</w:t>
            </w:r>
          </w:p>
          <w:p>
            <w:pPr>
              <w:spacing w:line="480" w:lineRule="exact"/>
              <w:ind w:firstLine="480" w:firstLineChars="200"/>
            </w:pPr>
            <w:r>
              <w:rPr>
                <w:rFonts w:hint="eastAsia"/>
              </w:rPr>
              <w:t>监测结果表明：项目各个监测点位底泥中铅（Pb）、砷（As）、汞（Hg）、铬（Cr）、锌（Zn）、镉（Cd）、铜（Cu）均符合《土壤环境质量 农用地土壤污染风险管控标准（试行）》（GB 15618-2018）标准要求。</w:t>
            </w:r>
          </w:p>
          <w:p>
            <w:pPr>
              <w:spacing w:line="480" w:lineRule="exact"/>
              <w:jc w:val="center"/>
              <w:rPr>
                <w:b/>
                <w:sz w:val="21"/>
                <w:szCs w:val="21"/>
              </w:rPr>
            </w:pPr>
            <w:r>
              <w:rPr>
                <w:rFonts w:hint="eastAsia"/>
                <w:b/>
                <w:sz w:val="21"/>
                <w:szCs w:val="21"/>
              </w:rPr>
              <w:t xml:space="preserve">  表</w:t>
            </w:r>
            <w:r>
              <w:rPr>
                <w:b/>
                <w:sz w:val="21"/>
                <w:szCs w:val="21"/>
              </w:rPr>
              <w:t>3-1</w:t>
            </w:r>
            <w:r>
              <w:rPr>
                <w:rFonts w:hint="eastAsia"/>
                <w:b/>
                <w:sz w:val="21"/>
                <w:szCs w:val="21"/>
                <w:lang w:val="en-US" w:eastAsia="zh-CN"/>
              </w:rPr>
              <w:t>1</w:t>
            </w:r>
            <w:r>
              <w:rPr>
                <w:rFonts w:hint="eastAsia"/>
                <w:b/>
                <w:sz w:val="21"/>
                <w:szCs w:val="21"/>
              </w:rPr>
              <w:t xml:space="preserve">     底泥现状监测结果</w:t>
            </w:r>
          </w:p>
          <w:tbl>
            <w:tblPr>
              <w:tblStyle w:val="44"/>
              <w:tblW w:w="4995" w:type="pct"/>
              <w:jc w:val="center"/>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6"/>
              <w:gridCol w:w="999"/>
              <w:gridCol w:w="1806"/>
              <w:gridCol w:w="2644"/>
              <w:gridCol w:w="2013"/>
            </w:tblGrid>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78" w:type="pct"/>
                  <w:vMerge w:val="restart"/>
                  <w:vAlign w:val="center"/>
                </w:tcPr>
                <w:p>
                  <w:pPr>
                    <w:spacing w:line="340" w:lineRule="exact"/>
                    <w:jc w:val="center"/>
                    <w:textAlignment w:val="center"/>
                    <w:rPr>
                      <w:sz w:val="21"/>
                      <w:szCs w:val="21"/>
                    </w:rPr>
                  </w:pPr>
                  <w:r>
                    <w:rPr>
                      <w:rFonts w:hint="eastAsia"/>
                      <w:sz w:val="21"/>
                      <w:szCs w:val="21"/>
                    </w:rPr>
                    <w:t>采样时间</w:t>
                  </w:r>
                </w:p>
              </w:tc>
              <w:tc>
                <w:tcPr>
                  <w:tcW w:w="565" w:type="pct"/>
                  <w:vMerge w:val="restart"/>
                  <w:vAlign w:val="center"/>
                </w:tcPr>
                <w:p>
                  <w:pPr>
                    <w:spacing w:line="340" w:lineRule="exact"/>
                    <w:jc w:val="center"/>
                    <w:textAlignment w:val="center"/>
                    <w:rPr>
                      <w:sz w:val="21"/>
                      <w:szCs w:val="21"/>
                    </w:rPr>
                  </w:pPr>
                  <w:r>
                    <w:rPr>
                      <w:sz w:val="21"/>
                      <w:szCs w:val="21"/>
                    </w:rPr>
                    <w:t>检测项目</w:t>
                  </w:r>
                </w:p>
              </w:tc>
              <w:tc>
                <w:tcPr>
                  <w:tcW w:w="1021" w:type="pct"/>
                  <w:vMerge w:val="restart"/>
                  <w:vAlign w:val="center"/>
                </w:tcPr>
                <w:p>
                  <w:pPr>
                    <w:spacing w:line="340" w:lineRule="exact"/>
                    <w:jc w:val="center"/>
                    <w:textAlignment w:val="center"/>
                    <w:rPr>
                      <w:sz w:val="21"/>
                      <w:szCs w:val="21"/>
                    </w:rPr>
                  </w:pPr>
                  <w:r>
                    <w:rPr>
                      <w:sz w:val="21"/>
                      <w:szCs w:val="21"/>
                    </w:rPr>
                    <w:t>单位</w:t>
                  </w:r>
                </w:p>
              </w:tc>
              <w:tc>
                <w:tcPr>
                  <w:tcW w:w="1495" w:type="pct"/>
                  <w:vAlign w:val="center"/>
                </w:tcPr>
                <w:p>
                  <w:pPr>
                    <w:spacing w:line="340" w:lineRule="exact"/>
                    <w:jc w:val="center"/>
                    <w:textAlignment w:val="center"/>
                    <w:rPr>
                      <w:sz w:val="21"/>
                      <w:szCs w:val="21"/>
                    </w:rPr>
                  </w:pPr>
                  <w:r>
                    <w:rPr>
                      <w:sz w:val="21"/>
                      <w:szCs w:val="21"/>
                    </w:rPr>
                    <w:t>检测结果</w:t>
                  </w:r>
                </w:p>
              </w:tc>
              <w:tc>
                <w:tcPr>
                  <w:tcW w:w="1138" w:type="pct"/>
                  <w:vMerge w:val="restart"/>
                </w:tcPr>
                <w:p>
                  <w:pPr>
                    <w:spacing w:line="340" w:lineRule="exact"/>
                    <w:jc w:val="center"/>
                    <w:textAlignment w:val="center"/>
                    <w:rPr>
                      <w:sz w:val="21"/>
                      <w:szCs w:val="21"/>
                    </w:rPr>
                  </w:pPr>
                  <w:r>
                    <w:rPr>
                      <w:rFonts w:hint="eastAsia"/>
                      <w:sz w:val="21"/>
                      <w:szCs w:val="21"/>
                    </w:rPr>
                    <w:t>标准值</w:t>
                  </w: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78" w:type="pct"/>
                  <w:vMerge w:val="continue"/>
                  <w:vAlign w:val="center"/>
                </w:tcPr>
                <w:p>
                  <w:pPr>
                    <w:spacing w:line="340" w:lineRule="exact"/>
                    <w:jc w:val="center"/>
                    <w:textAlignment w:val="center"/>
                    <w:rPr>
                      <w:sz w:val="21"/>
                      <w:szCs w:val="21"/>
                    </w:rPr>
                  </w:pPr>
                </w:p>
              </w:tc>
              <w:tc>
                <w:tcPr>
                  <w:tcW w:w="565" w:type="pct"/>
                  <w:vMerge w:val="continue"/>
                  <w:vAlign w:val="center"/>
                </w:tcPr>
                <w:p>
                  <w:pPr>
                    <w:spacing w:line="340" w:lineRule="exact"/>
                    <w:jc w:val="center"/>
                    <w:textAlignment w:val="center"/>
                    <w:rPr>
                      <w:sz w:val="21"/>
                      <w:szCs w:val="21"/>
                    </w:rPr>
                  </w:pPr>
                </w:p>
              </w:tc>
              <w:tc>
                <w:tcPr>
                  <w:tcW w:w="1021" w:type="pct"/>
                  <w:vMerge w:val="continue"/>
                  <w:vAlign w:val="center"/>
                </w:tcPr>
                <w:p>
                  <w:pPr>
                    <w:spacing w:line="340" w:lineRule="exact"/>
                    <w:jc w:val="center"/>
                    <w:textAlignment w:val="center"/>
                    <w:rPr>
                      <w:sz w:val="21"/>
                      <w:szCs w:val="21"/>
                    </w:rPr>
                  </w:pPr>
                </w:p>
              </w:tc>
              <w:tc>
                <w:tcPr>
                  <w:tcW w:w="1495" w:type="pct"/>
                  <w:vAlign w:val="center"/>
                </w:tcPr>
                <w:p>
                  <w:pPr>
                    <w:spacing w:line="340" w:lineRule="exact"/>
                    <w:jc w:val="center"/>
                    <w:textAlignment w:val="center"/>
                    <w:rPr>
                      <w:sz w:val="21"/>
                      <w:szCs w:val="21"/>
                    </w:rPr>
                  </w:pPr>
                  <w:r>
                    <w:rPr>
                      <w:rFonts w:hint="eastAsia"/>
                      <w:sz w:val="21"/>
                      <w:szCs w:val="21"/>
                    </w:rPr>
                    <w:t>Z1</w:t>
                  </w:r>
                </w:p>
              </w:tc>
              <w:tc>
                <w:tcPr>
                  <w:tcW w:w="1138" w:type="pct"/>
                  <w:vMerge w:val="continue"/>
                </w:tcPr>
                <w:p>
                  <w:pPr>
                    <w:spacing w:line="340" w:lineRule="exact"/>
                    <w:jc w:val="center"/>
                    <w:textAlignment w:val="center"/>
                    <w:rPr>
                      <w:sz w:val="21"/>
                      <w:szCs w:val="21"/>
                    </w:rPr>
                  </w:pP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78" w:type="pct"/>
                  <w:vMerge w:val="restart"/>
                  <w:vAlign w:val="center"/>
                </w:tcPr>
                <w:p>
                  <w:pPr>
                    <w:spacing w:line="340" w:lineRule="exact"/>
                    <w:jc w:val="center"/>
                    <w:textAlignment w:val="center"/>
                    <w:rPr>
                      <w:sz w:val="21"/>
                      <w:szCs w:val="21"/>
                    </w:rPr>
                  </w:pPr>
                  <w:r>
                    <w:rPr>
                      <w:rFonts w:hint="eastAsia"/>
                      <w:sz w:val="21"/>
                      <w:szCs w:val="21"/>
                    </w:rPr>
                    <w:t>11月22日</w:t>
                  </w:r>
                </w:p>
              </w:tc>
              <w:tc>
                <w:tcPr>
                  <w:tcW w:w="565" w:type="pct"/>
                  <w:vAlign w:val="center"/>
                </w:tcPr>
                <w:p>
                  <w:pPr>
                    <w:spacing w:line="340" w:lineRule="exact"/>
                    <w:jc w:val="center"/>
                    <w:textAlignment w:val="center"/>
                    <w:rPr>
                      <w:sz w:val="21"/>
                      <w:szCs w:val="21"/>
                    </w:rPr>
                  </w:pPr>
                  <w:r>
                    <w:rPr>
                      <w:rFonts w:hint="eastAsia"/>
                      <w:sz w:val="21"/>
                      <w:szCs w:val="21"/>
                    </w:rPr>
                    <w:t>pH</w:t>
                  </w:r>
                </w:p>
              </w:tc>
              <w:tc>
                <w:tcPr>
                  <w:tcW w:w="1021" w:type="pct"/>
                  <w:vAlign w:val="center"/>
                </w:tcPr>
                <w:p>
                  <w:pPr>
                    <w:spacing w:line="340" w:lineRule="exact"/>
                    <w:jc w:val="center"/>
                    <w:textAlignment w:val="center"/>
                    <w:rPr>
                      <w:sz w:val="21"/>
                      <w:szCs w:val="21"/>
                    </w:rPr>
                  </w:pPr>
                  <w:r>
                    <w:rPr>
                      <w:rFonts w:hint="eastAsia"/>
                      <w:sz w:val="21"/>
                      <w:szCs w:val="21"/>
                    </w:rPr>
                    <w:t>无量纲</w:t>
                  </w:r>
                </w:p>
              </w:tc>
              <w:tc>
                <w:tcPr>
                  <w:tcW w:w="1495" w:type="pct"/>
                  <w:vAlign w:val="center"/>
                </w:tcPr>
                <w:p>
                  <w:pPr>
                    <w:spacing w:line="340" w:lineRule="exact"/>
                    <w:jc w:val="center"/>
                    <w:textAlignment w:val="center"/>
                    <w:rPr>
                      <w:sz w:val="21"/>
                      <w:szCs w:val="21"/>
                    </w:rPr>
                  </w:pPr>
                  <w:r>
                    <w:rPr>
                      <w:rFonts w:hint="eastAsia"/>
                      <w:sz w:val="21"/>
                      <w:szCs w:val="21"/>
                    </w:rPr>
                    <w:t>7.22</w:t>
                  </w:r>
                </w:p>
              </w:tc>
              <w:tc>
                <w:tcPr>
                  <w:tcW w:w="1138" w:type="pct"/>
                </w:tcPr>
                <w:p>
                  <w:pPr>
                    <w:spacing w:line="340" w:lineRule="exact"/>
                    <w:jc w:val="center"/>
                    <w:textAlignment w:val="center"/>
                    <w:rPr>
                      <w:sz w:val="21"/>
                      <w:szCs w:val="21"/>
                    </w:rPr>
                  </w:pPr>
                  <w:r>
                    <w:rPr>
                      <w:sz w:val="21"/>
                      <w:szCs w:val="21"/>
                    </w:rPr>
                    <w:t>7.5</w:t>
                  </w:r>
                  <w:r>
                    <w:rPr>
                      <w:rFonts w:hAnsi="宋体"/>
                      <w:sz w:val="21"/>
                      <w:szCs w:val="21"/>
                    </w:rPr>
                    <w:t>≧</w:t>
                  </w:r>
                  <w:r>
                    <w:rPr>
                      <w:sz w:val="21"/>
                      <w:szCs w:val="21"/>
                    </w:rPr>
                    <w:t>pH&gt;6.5</w:t>
                  </w: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78" w:type="pct"/>
                  <w:vMerge w:val="continue"/>
                  <w:vAlign w:val="center"/>
                </w:tcPr>
                <w:p>
                  <w:pPr>
                    <w:spacing w:line="340" w:lineRule="exact"/>
                    <w:jc w:val="center"/>
                    <w:textAlignment w:val="center"/>
                    <w:rPr>
                      <w:sz w:val="21"/>
                      <w:szCs w:val="21"/>
                    </w:rPr>
                  </w:pPr>
                </w:p>
              </w:tc>
              <w:tc>
                <w:tcPr>
                  <w:tcW w:w="565" w:type="pct"/>
                  <w:vAlign w:val="center"/>
                </w:tcPr>
                <w:p>
                  <w:pPr>
                    <w:spacing w:line="340" w:lineRule="exact"/>
                    <w:jc w:val="center"/>
                    <w:textAlignment w:val="center"/>
                    <w:rPr>
                      <w:sz w:val="21"/>
                      <w:szCs w:val="21"/>
                    </w:rPr>
                  </w:pPr>
                  <w:r>
                    <w:rPr>
                      <w:rFonts w:hint="eastAsia"/>
                      <w:sz w:val="21"/>
                      <w:szCs w:val="21"/>
                    </w:rPr>
                    <w:t>铬</w:t>
                  </w:r>
                </w:p>
              </w:tc>
              <w:tc>
                <w:tcPr>
                  <w:tcW w:w="1021" w:type="pct"/>
                  <w:vAlign w:val="center"/>
                </w:tcPr>
                <w:p>
                  <w:pPr>
                    <w:spacing w:line="340" w:lineRule="exact"/>
                    <w:jc w:val="center"/>
                    <w:textAlignment w:val="center"/>
                    <w:rPr>
                      <w:sz w:val="21"/>
                      <w:szCs w:val="21"/>
                    </w:rPr>
                  </w:pPr>
                  <w:r>
                    <w:rPr>
                      <w:rFonts w:hint="eastAsia"/>
                      <w:sz w:val="21"/>
                      <w:szCs w:val="21"/>
                    </w:rPr>
                    <w:t>mg/kg</w:t>
                  </w:r>
                </w:p>
              </w:tc>
              <w:tc>
                <w:tcPr>
                  <w:tcW w:w="1495" w:type="pct"/>
                  <w:vAlign w:val="center"/>
                </w:tcPr>
                <w:p>
                  <w:pPr>
                    <w:spacing w:line="340" w:lineRule="exact"/>
                    <w:jc w:val="center"/>
                    <w:textAlignment w:val="center"/>
                    <w:rPr>
                      <w:sz w:val="21"/>
                      <w:szCs w:val="21"/>
                    </w:rPr>
                  </w:pPr>
                  <w:r>
                    <w:rPr>
                      <w:rFonts w:hint="eastAsia"/>
                      <w:sz w:val="21"/>
                      <w:szCs w:val="21"/>
                    </w:rPr>
                    <w:t>33</w:t>
                  </w:r>
                </w:p>
              </w:tc>
              <w:tc>
                <w:tcPr>
                  <w:tcW w:w="1138" w:type="pct"/>
                </w:tcPr>
                <w:p>
                  <w:pPr>
                    <w:spacing w:line="340" w:lineRule="exact"/>
                    <w:jc w:val="center"/>
                    <w:textAlignment w:val="center"/>
                    <w:rPr>
                      <w:sz w:val="21"/>
                      <w:szCs w:val="21"/>
                    </w:rPr>
                  </w:pPr>
                  <w:r>
                    <w:rPr>
                      <w:rFonts w:hint="eastAsia"/>
                      <w:sz w:val="21"/>
                      <w:szCs w:val="21"/>
                    </w:rPr>
                    <w:t>200</w:t>
                  </w: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78" w:type="pct"/>
                  <w:vMerge w:val="continue"/>
                  <w:vAlign w:val="center"/>
                </w:tcPr>
                <w:p>
                  <w:pPr>
                    <w:spacing w:line="340" w:lineRule="exact"/>
                    <w:jc w:val="center"/>
                    <w:textAlignment w:val="center"/>
                    <w:rPr>
                      <w:sz w:val="21"/>
                      <w:szCs w:val="21"/>
                    </w:rPr>
                  </w:pPr>
                </w:p>
              </w:tc>
              <w:tc>
                <w:tcPr>
                  <w:tcW w:w="565" w:type="pct"/>
                  <w:vAlign w:val="center"/>
                </w:tcPr>
                <w:p>
                  <w:pPr>
                    <w:spacing w:line="340" w:lineRule="exact"/>
                    <w:jc w:val="center"/>
                    <w:textAlignment w:val="center"/>
                    <w:rPr>
                      <w:sz w:val="21"/>
                      <w:szCs w:val="21"/>
                    </w:rPr>
                  </w:pPr>
                  <w:r>
                    <w:rPr>
                      <w:rFonts w:hint="eastAsia"/>
                      <w:sz w:val="21"/>
                      <w:szCs w:val="21"/>
                    </w:rPr>
                    <w:t>砷</w:t>
                  </w:r>
                </w:p>
              </w:tc>
              <w:tc>
                <w:tcPr>
                  <w:tcW w:w="1021" w:type="pct"/>
                  <w:vAlign w:val="center"/>
                </w:tcPr>
                <w:p>
                  <w:pPr>
                    <w:spacing w:line="340" w:lineRule="exact"/>
                    <w:jc w:val="center"/>
                    <w:textAlignment w:val="center"/>
                    <w:rPr>
                      <w:sz w:val="21"/>
                      <w:szCs w:val="21"/>
                    </w:rPr>
                  </w:pPr>
                  <w:r>
                    <w:rPr>
                      <w:rFonts w:hint="eastAsia"/>
                      <w:sz w:val="21"/>
                      <w:szCs w:val="21"/>
                    </w:rPr>
                    <w:t>mg/kg</w:t>
                  </w:r>
                </w:p>
              </w:tc>
              <w:tc>
                <w:tcPr>
                  <w:tcW w:w="1495" w:type="pct"/>
                  <w:vAlign w:val="center"/>
                </w:tcPr>
                <w:p>
                  <w:pPr>
                    <w:spacing w:line="340" w:lineRule="exact"/>
                    <w:jc w:val="center"/>
                    <w:textAlignment w:val="center"/>
                    <w:rPr>
                      <w:sz w:val="21"/>
                      <w:szCs w:val="21"/>
                    </w:rPr>
                  </w:pPr>
                  <w:r>
                    <w:rPr>
                      <w:rFonts w:hint="eastAsia"/>
                      <w:sz w:val="21"/>
                      <w:szCs w:val="21"/>
                    </w:rPr>
                    <w:t>2.65</w:t>
                  </w:r>
                </w:p>
              </w:tc>
              <w:tc>
                <w:tcPr>
                  <w:tcW w:w="1138" w:type="pct"/>
                </w:tcPr>
                <w:p>
                  <w:pPr>
                    <w:spacing w:line="340" w:lineRule="exact"/>
                    <w:jc w:val="center"/>
                    <w:textAlignment w:val="center"/>
                    <w:rPr>
                      <w:sz w:val="21"/>
                      <w:szCs w:val="21"/>
                    </w:rPr>
                  </w:pPr>
                  <w:r>
                    <w:rPr>
                      <w:rFonts w:hint="eastAsia"/>
                      <w:sz w:val="21"/>
                      <w:szCs w:val="21"/>
                    </w:rPr>
                    <w:t>30</w:t>
                  </w: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78" w:type="pct"/>
                  <w:vMerge w:val="continue"/>
                  <w:vAlign w:val="center"/>
                </w:tcPr>
                <w:p>
                  <w:pPr>
                    <w:spacing w:line="340" w:lineRule="exact"/>
                    <w:jc w:val="center"/>
                    <w:textAlignment w:val="center"/>
                    <w:rPr>
                      <w:sz w:val="21"/>
                      <w:szCs w:val="21"/>
                    </w:rPr>
                  </w:pPr>
                </w:p>
              </w:tc>
              <w:tc>
                <w:tcPr>
                  <w:tcW w:w="565" w:type="pct"/>
                  <w:vAlign w:val="center"/>
                </w:tcPr>
                <w:p>
                  <w:pPr>
                    <w:spacing w:line="340" w:lineRule="exact"/>
                    <w:jc w:val="center"/>
                    <w:textAlignment w:val="center"/>
                    <w:rPr>
                      <w:sz w:val="21"/>
                      <w:szCs w:val="21"/>
                    </w:rPr>
                  </w:pPr>
                  <w:r>
                    <w:rPr>
                      <w:rFonts w:hint="eastAsia"/>
                      <w:sz w:val="21"/>
                      <w:szCs w:val="21"/>
                    </w:rPr>
                    <w:t>镉</w:t>
                  </w:r>
                </w:p>
              </w:tc>
              <w:tc>
                <w:tcPr>
                  <w:tcW w:w="1021" w:type="pct"/>
                  <w:vAlign w:val="center"/>
                </w:tcPr>
                <w:p>
                  <w:pPr>
                    <w:spacing w:line="340" w:lineRule="exact"/>
                    <w:jc w:val="center"/>
                    <w:textAlignment w:val="center"/>
                    <w:rPr>
                      <w:sz w:val="21"/>
                      <w:szCs w:val="21"/>
                    </w:rPr>
                  </w:pPr>
                  <w:r>
                    <w:rPr>
                      <w:rFonts w:hint="eastAsia"/>
                      <w:sz w:val="21"/>
                      <w:szCs w:val="21"/>
                    </w:rPr>
                    <w:t>mg/kg</w:t>
                  </w:r>
                </w:p>
              </w:tc>
              <w:tc>
                <w:tcPr>
                  <w:tcW w:w="1495" w:type="pct"/>
                  <w:vAlign w:val="center"/>
                </w:tcPr>
                <w:p>
                  <w:pPr>
                    <w:spacing w:line="340" w:lineRule="exact"/>
                    <w:jc w:val="center"/>
                    <w:textAlignment w:val="center"/>
                    <w:rPr>
                      <w:sz w:val="21"/>
                      <w:szCs w:val="21"/>
                    </w:rPr>
                  </w:pPr>
                  <w:r>
                    <w:rPr>
                      <w:rFonts w:hint="eastAsia"/>
                      <w:sz w:val="21"/>
                      <w:szCs w:val="21"/>
                    </w:rPr>
                    <w:t>0.113</w:t>
                  </w:r>
                </w:p>
              </w:tc>
              <w:tc>
                <w:tcPr>
                  <w:tcW w:w="1138" w:type="pct"/>
                </w:tcPr>
                <w:p>
                  <w:pPr>
                    <w:spacing w:line="340" w:lineRule="exact"/>
                    <w:jc w:val="center"/>
                    <w:textAlignment w:val="center"/>
                    <w:rPr>
                      <w:sz w:val="21"/>
                      <w:szCs w:val="21"/>
                    </w:rPr>
                  </w:pPr>
                  <w:r>
                    <w:rPr>
                      <w:rFonts w:hint="eastAsia"/>
                      <w:sz w:val="21"/>
                      <w:szCs w:val="21"/>
                    </w:rPr>
                    <w:t>0.3</w:t>
                  </w: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78" w:type="pct"/>
                  <w:vMerge w:val="continue"/>
                  <w:vAlign w:val="center"/>
                </w:tcPr>
                <w:p>
                  <w:pPr>
                    <w:spacing w:line="340" w:lineRule="exact"/>
                    <w:jc w:val="center"/>
                    <w:textAlignment w:val="center"/>
                    <w:rPr>
                      <w:sz w:val="21"/>
                      <w:szCs w:val="21"/>
                    </w:rPr>
                  </w:pPr>
                </w:p>
              </w:tc>
              <w:tc>
                <w:tcPr>
                  <w:tcW w:w="565" w:type="pct"/>
                  <w:vAlign w:val="center"/>
                </w:tcPr>
                <w:p>
                  <w:pPr>
                    <w:spacing w:line="340" w:lineRule="exact"/>
                    <w:jc w:val="center"/>
                    <w:textAlignment w:val="center"/>
                    <w:rPr>
                      <w:sz w:val="21"/>
                      <w:szCs w:val="21"/>
                    </w:rPr>
                  </w:pPr>
                  <w:r>
                    <w:rPr>
                      <w:rFonts w:hint="eastAsia"/>
                      <w:sz w:val="21"/>
                      <w:szCs w:val="21"/>
                    </w:rPr>
                    <w:t>铅</w:t>
                  </w:r>
                </w:p>
              </w:tc>
              <w:tc>
                <w:tcPr>
                  <w:tcW w:w="1021" w:type="pct"/>
                  <w:vAlign w:val="center"/>
                </w:tcPr>
                <w:p>
                  <w:pPr>
                    <w:spacing w:line="340" w:lineRule="exact"/>
                    <w:jc w:val="center"/>
                    <w:textAlignment w:val="center"/>
                    <w:rPr>
                      <w:sz w:val="21"/>
                      <w:szCs w:val="21"/>
                    </w:rPr>
                  </w:pPr>
                  <w:r>
                    <w:rPr>
                      <w:rFonts w:hint="eastAsia"/>
                      <w:sz w:val="21"/>
                      <w:szCs w:val="21"/>
                    </w:rPr>
                    <w:t>mg/kg</w:t>
                  </w:r>
                </w:p>
              </w:tc>
              <w:tc>
                <w:tcPr>
                  <w:tcW w:w="1495" w:type="pct"/>
                  <w:vAlign w:val="center"/>
                </w:tcPr>
                <w:p>
                  <w:pPr>
                    <w:spacing w:line="340" w:lineRule="exact"/>
                    <w:jc w:val="center"/>
                    <w:textAlignment w:val="center"/>
                    <w:rPr>
                      <w:sz w:val="21"/>
                      <w:szCs w:val="21"/>
                    </w:rPr>
                  </w:pPr>
                  <w:r>
                    <w:rPr>
                      <w:rFonts w:hint="eastAsia"/>
                      <w:sz w:val="21"/>
                      <w:szCs w:val="21"/>
                    </w:rPr>
                    <w:t>7.26</w:t>
                  </w:r>
                </w:p>
              </w:tc>
              <w:tc>
                <w:tcPr>
                  <w:tcW w:w="1138" w:type="pct"/>
                </w:tcPr>
                <w:p>
                  <w:pPr>
                    <w:spacing w:line="340" w:lineRule="exact"/>
                    <w:jc w:val="center"/>
                    <w:textAlignment w:val="center"/>
                    <w:rPr>
                      <w:sz w:val="21"/>
                      <w:szCs w:val="21"/>
                    </w:rPr>
                  </w:pPr>
                  <w:r>
                    <w:rPr>
                      <w:rFonts w:hint="eastAsia"/>
                      <w:sz w:val="21"/>
                      <w:szCs w:val="21"/>
                    </w:rPr>
                    <w:t>120</w:t>
                  </w: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78" w:type="pct"/>
                  <w:vMerge w:val="continue"/>
                  <w:vAlign w:val="center"/>
                </w:tcPr>
                <w:p>
                  <w:pPr>
                    <w:spacing w:line="340" w:lineRule="exact"/>
                    <w:jc w:val="center"/>
                    <w:textAlignment w:val="center"/>
                    <w:rPr>
                      <w:sz w:val="21"/>
                      <w:szCs w:val="21"/>
                    </w:rPr>
                  </w:pPr>
                </w:p>
              </w:tc>
              <w:tc>
                <w:tcPr>
                  <w:tcW w:w="565" w:type="pct"/>
                  <w:vAlign w:val="center"/>
                </w:tcPr>
                <w:p>
                  <w:pPr>
                    <w:spacing w:line="340" w:lineRule="exact"/>
                    <w:jc w:val="center"/>
                    <w:textAlignment w:val="center"/>
                    <w:rPr>
                      <w:sz w:val="21"/>
                      <w:szCs w:val="21"/>
                    </w:rPr>
                  </w:pPr>
                  <w:r>
                    <w:rPr>
                      <w:rFonts w:hint="eastAsia"/>
                      <w:sz w:val="21"/>
                      <w:szCs w:val="21"/>
                    </w:rPr>
                    <w:t>铜</w:t>
                  </w:r>
                </w:p>
              </w:tc>
              <w:tc>
                <w:tcPr>
                  <w:tcW w:w="1021" w:type="pct"/>
                  <w:vAlign w:val="center"/>
                </w:tcPr>
                <w:p>
                  <w:pPr>
                    <w:spacing w:line="340" w:lineRule="exact"/>
                    <w:jc w:val="center"/>
                    <w:textAlignment w:val="center"/>
                    <w:rPr>
                      <w:sz w:val="21"/>
                      <w:szCs w:val="21"/>
                    </w:rPr>
                  </w:pPr>
                  <w:r>
                    <w:rPr>
                      <w:rFonts w:hint="eastAsia"/>
                      <w:sz w:val="21"/>
                      <w:szCs w:val="21"/>
                    </w:rPr>
                    <w:t>mg/kg</w:t>
                  </w:r>
                </w:p>
              </w:tc>
              <w:tc>
                <w:tcPr>
                  <w:tcW w:w="1495" w:type="pct"/>
                  <w:vAlign w:val="center"/>
                </w:tcPr>
                <w:p>
                  <w:pPr>
                    <w:spacing w:line="340" w:lineRule="exact"/>
                    <w:jc w:val="center"/>
                    <w:textAlignment w:val="center"/>
                    <w:rPr>
                      <w:sz w:val="21"/>
                      <w:szCs w:val="21"/>
                    </w:rPr>
                  </w:pPr>
                  <w:r>
                    <w:rPr>
                      <w:rFonts w:hint="eastAsia"/>
                      <w:sz w:val="21"/>
                      <w:szCs w:val="21"/>
                    </w:rPr>
                    <w:t>11.326</w:t>
                  </w:r>
                </w:p>
              </w:tc>
              <w:tc>
                <w:tcPr>
                  <w:tcW w:w="1138" w:type="pct"/>
                </w:tcPr>
                <w:p>
                  <w:pPr>
                    <w:spacing w:line="340" w:lineRule="exact"/>
                    <w:jc w:val="center"/>
                    <w:textAlignment w:val="center"/>
                    <w:rPr>
                      <w:sz w:val="21"/>
                      <w:szCs w:val="21"/>
                    </w:rPr>
                  </w:pPr>
                  <w:r>
                    <w:rPr>
                      <w:rFonts w:hint="eastAsia"/>
                      <w:sz w:val="21"/>
                      <w:szCs w:val="21"/>
                    </w:rPr>
                    <w:t>100</w:t>
                  </w: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78" w:type="pct"/>
                  <w:vMerge w:val="continue"/>
                  <w:vAlign w:val="center"/>
                </w:tcPr>
                <w:p>
                  <w:pPr>
                    <w:spacing w:line="340" w:lineRule="exact"/>
                    <w:jc w:val="center"/>
                    <w:textAlignment w:val="center"/>
                    <w:rPr>
                      <w:sz w:val="21"/>
                      <w:szCs w:val="21"/>
                    </w:rPr>
                  </w:pPr>
                </w:p>
              </w:tc>
              <w:tc>
                <w:tcPr>
                  <w:tcW w:w="565" w:type="pct"/>
                  <w:vAlign w:val="center"/>
                </w:tcPr>
                <w:p>
                  <w:pPr>
                    <w:spacing w:line="340" w:lineRule="exact"/>
                    <w:jc w:val="center"/>
                    <w:textAlignment w:val="center"/>
                    <w:rPr>
                      <w:sz w:val="21"/>
                      <w:szCs w:val="21"/>
                    </w:rPr>
                  </w:pPr>
                  <w:r>
                    <w:rPr>
                      <w:rFonts w:hint="eastAsia"/>
                      <w:sz w:val="21"/>
                      <w:szCs w:val="21"/>
                    </w:rPr>
                    <w:t>锌</w:t>
                  </w:r>
                </w:p>
              </w:tc>
              <w:tc>
                <w:tcPr>
                  <w:tcW w:w="1021" w:type="pct"/>
                  <w:vAlign w:val="center"/>
                </w:tcPr>
                <w:p>
                  <w:pPr>
                    <w:spacing w:line="340" w:lineRule="exact"/>
                    <w:jc w:val="center"/>
                    <w:textAlignment w:val="center"/>
                    <w:rPr>
                      <w:sz w:val="21"/>
                      <w:szCs w:val="21"/>
                    </w:rPr>
                  </w:pPr>
                  <w:r>
                    <w:rPr>
                      <w:rFonts w:hint="eastAsia"/>
                      <w:sz w:val="21"/>
                      <w:szCs w:val="21"/>
                    </w:rPr>
                    <w:t>mg/kg</w:t>
                  </w:r>
                </w:p>
              </w:tc>
              <w:tc>
                <w:tcPr>
                  <w:tcW w:w="1495" w:type="pct"/>
                  <w:vAlign w:val="center"/>
                </w:tcPr>
                <w:p>
                  <w:pPr>
                    <w:spacing w:line="340" w:lineRule="exact"/>
                    <w:jc w:val="center"/>
                    <w:textAlignment w:val="center"/>
                    <w:rPr>
                      <w:sz w:val="21"/>
                      <w:szCs w:val="21"/>
                    </w:rPr>
                  </w:pPr>
                  <w:r>
                    <w:rPr>
                      <w:rFonts w:hint="eastAsia"/>
                      <w:sz w:val="21"/>
                      <w:szCs w:val="21"/>
                    </w:rPr>
                    <w:t>13.26</w:t>
                  </w:r>
                </w:p>
              </w:tc>
              <w:tc>
                <w:tcPr>
                  <w:tcW w:w="1138" w:type="pct"/>
                </w:tcPr>
                <w:p>
                  <w:pPr>
                    <w:spacing w:line="340" w:lineRule="exact"/>
                    <w:jc w:val="center"/>
                    <w:textAlignment w:val="center"/>
                    <w:rPr>
                      <w:sz w:val="21"/>
                      <w:szCs w:val="21"/>
                    </w:rPr>
                  </w:pPr>
                  <w:r>
                    <w:rPr>
                      <w:rFonts w:hint="eastAsia"/>
                      <w:sz w:val="21"/>
                      <w:szCs w:val="21"/>
                    </w:rPr>
                    <w:t>250</w:t>
                  </w: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78" w:type="pct"/>
                  <w:vMerge w:val="continue"/>
                  <w:vAlign w:val="center"/>
                </w:tcPr>
                <w:p>
                  <w:pPr>
                    <w:spacing w:line="340" w:lineRule="exact"/>
                    <w:jc w:val="center"/>
                    <w:textAlignment w:val="center"/>
                    <w:rPr>
                      <w:sz w:val="21"/>
                      <w:szCs w:val="21"/>
                    </w:rPr>
                  </w:pPr>
                </w:p>
              </w:tc>
              <w:tc>
                <w:tcPr>
                  <w:tcW w:w="565" w:type="pct"/>
                  <w:vAlign w:val="center"/>
                </w:tcPr>
                <w:p>
                  <w:pPr>
                    <w:spacing w:line="340" w:lineRule="exact"/>
                    <w:jc w:val="center"/>
                    <w:textAlignment w:val="center"/>
                    <w:rPr>
                      <w:sz w:val="21"/>
                      <w:szCs w:val="21"/>
                    </w:rPr>
                  </w:pPr>
                  <w:r>
                    <w:rPr>
                      <w:rFonts w:hint="eastAsia"/>
                      <w:sz w:val="21"/>
                      <w:szCs w:val="21"/>
                    </w:rPr>
                    <w:t>汞</w:t>
                  </w:r>
                </w:p>
              </w:tc>
              <w:tc>
                <w:tcPr>
                  <w:tcW w:w="1021" w:type="pct"/>
                  <w:vAlign w:val="center"/>
                </w:tcPr>
                <w:p>
                  <w:pPr>
                    <w:spacing w:line="340" w:lineRule="exact"/>
                    <w:jc w:val="center"/>
                    <w:textAlignment w:val="center"/>
                    <w:rPr>
                      <w:sz w:val="21"/>
                      <w:szCs w:val="21"/>
                    </w:rPr>
                  </w:pPr>
                  <w:r>
                    <w:rPr>
                      <w:rFonts w:hint="eastAsia"/>
                      <w:sz w:val="21"/>
                      <w:szCs w:val="21"/>
                    </w:rPr>
                    <w:t>mg/kg</w:t>
                  </w:r>
                </w:p>
              </w:tc>
              <w:tc>
                <w:tcPr>
                  <w:tcW w:w="1495" w:type="pct"/>
                  <w:vAlign w:val="center"/>
                </w:tcPr>
                <w:p>
                  <w:pPr>
                    <w:spacing w:line="340" w:lineRule="exact"/>
                    <w:jc w:val="center"/>
                    <w:textAlignment w:val="center"/>
                    <w:rPr>
                      <w:sz w:val="21"/>
                      <w:szCs w:val="21"/>
                    </w:rPr>
                  </w:pPr>
                  <w:r>
                    <w:rPr>
                      <w:rFonts w:hint="eastAsia"/>
                      <w:sz w:val="21"/>
                      <w:szCs w:val="21"/>
                    </w:rPr>
                    <w:t>0.043</w:t>
                  </w:r>
                </w:p>
              </w:tc>
              <w:tc>
                <w:tcPr>
                  <w:tcW w:w="1138" w:type="pct"/>
                </w:tcPr>
                <w:p>
                  <w:pPr>
                    <w:spacing w:line="340" w:lineRule="exact"/>
                    <w:jc w:val="center"/>
                    <w:textAlignment w:val="center"/>
                    <w:rPr>
                      <w:sz w:val="21"/>
                      <w:szCs w:val="21"/>
                    </w:rPr>
                  </w:pPr>
                  <w:r>
                    <w:rPr>
                      <w:rFonts w:hint="eastAsia"/>
                      <w:sz w:val="21"/>
                      <w:szCs w:val="21"/>
                    </w:rPr>
                    <w:t>2.4</w:t>
                  </w:r>
                </w:p>
              </w:tc>
            </w:tr>
          </w:tbl>
          <w:p>
            <w:pPr>
              <w:spacing w:line="480" w:lineRule="exact"/>
              <w:jc w:val="center"/>
              <w:rPr>
                <w:b/>
                <w:sz w:val="21"/>
                <w:szCs w:val="21"/>
              </w:rPr>
            </w:pPr>
            <w:r>
              <w:rPr>
                <w:rFonts w:hint="eastAsia"/>
                <w:b/>
                <w:sz w:val="21"/>
                <w:szCs w:val="21"/>
              </w:rPr>
              <w:t>表</w:t>
            </w:r>
            <w:r>
              <w:rPr>
                <w:b/>
                <w:sz w:val="21"/>
                <w:szCs w:val="21"/>
              </w:rPr>
              <w:t>3-1</w:t>
            </w:r>
            <w:r>
              <w:rPr>
                <w:rFonts w:hint="eastAsia"/>
                <w:b/>
                <w:sz w:val="21"/>
                <w:szCs w:val="21"/>
                <w:lang w:val="en-US" w:eastAsia="zh-CN"/>
              </w:rPr>
              <w:t>2</w:t>
            </w:r>
            <w:r>
              <w:rPr>
                <w:rFonts w:hint="eastAsia"/>
                <w:b/>
                <w:sz w:val="21"/>
                <w:szCs w:val="21"/>
              </w:rPr>
              <w:t xml:space="preserve">     土壤现状监测结果</w:t>
            </w:r>
          </w:p>
          <w:tbl>
            <w:tblPr>
              <w:tblStyle w:val="44"/>
              <w:tblW w:w="4995" w:type="pct"/>
              <w:jc w:val="center"/>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3"/>
              <w:gridCol w:w="1620"/>
              <w:gridCol w:w="1325"/>
              <w:gridCol w:w="1793"/>
              <w:gridCol w:w="1550"/>
              <w:gridCol w:w="1287"/>
            </w:tblGrid>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4" w:type="pct"/>
                  <w:vMerge w:val="restart"/>
                  <w:vAlign w:val="center"/>
                </w:tcPr>
                <w:p>
                  <w:pPr>
                    <w:spacing w:line="340" w:lineRule="exact"/>
                    <w:jc w:val="center"/>
                    <w:textAlignment w:val="center"/>
                    <w:rPr>
                      <w:sz w:val="21"/>
                      <w:szCs w:val="21"/>
                    </w:rPr>
                  </w:pPr>
                  <w:r>
                    <w:rPr>
                      <w:rFonts w:hint="eastAsia"/>
                      <w:sz w:val="21"/>
                      <w:szCs w:val="21"/>
                    </w:rPr>
                    <w:t>采样时间</w:t>
                  </w:r>
                </w:p>
              </w:tc>
              <w:tc>
                <w:tcPr>
                  <w:tcW w:w="916" w:type="pct"/>
                  <w:vMerge w:val="restart"/>
                  <w:vAlign w:val="center"/>
                </w:tcPr>
                <w:p>
                  <w:pPr>
                    <w:spacing w:line="340" w:lineRule="exact"/>
                    <w:jc w:val="center"/>
                    <w:textAlignment w:val="center"/>
                    <w:rPr>
                      <w:sz w:val="21"/>
                      <w:szCs w:val="21"/>
                    </w:rPr>
                  </w:pPr>
                  <w:r>
                    <w:rPr>
                      <w:sz w:val="21"/>
                      <w:szCs w:val="21"/>
                    </w:rPr>
                    <w:t>检测项目</w:t>
                  </w:r>
                </w:p>
              </w:tc>
              <w:tc>
                <w:tcPr>
                  <w:tcW w:w="749" w:type="pct"/>
                  <w:vMerge w:val="restart"/>
                  <w:vAlign w:val="center"/>
                </w:tcPr>
                <w:p>
                  <w:pPr>
                    <w:spacing w:line="340" w:lineRule="exact"/>
                    <w:jc w:val="center"/>
                    <w:textAlignment w:val="center"/>
                    <w:rPr>
                      <w:sz w:val="21"/>
                      <w:szCs w:val="21"/>
                    </w:rPr>
                  </w:pPr>
                  <w:r>
                    <w:rPr>
                      <w:sz w:val="21"/>
                      <w:szCs w:val="21"/>
                    </w:rPr>
                    <w:t>单位</w:t>
                  </w:r>
                </w:p>
              </w:tc>
              <w:tc>
                <w:tcPr>
                  <w:tcW w:w="1014" w:type="pct"/>
                  <w:vAlign w:val="center"/>
                </w:tcPr>
                <w:p>
                  <w:pPr>
                    <w:spacing w:line="340" w:lineRule="exact"/>
                    <w:jc w:val="center"/>
                    <w:textAlignment w:val="center"/>
                    <w:rPr>
                      <w:sz w:val="21"/>
                      <w:szCs w:val="21"/>
                    </w:rPr>
                  </w:pPr>
                  <w:r>
                    <w:rPr>
                      <w:sz w:val="21"/>
                      <w:szCs w:val="21"/>
                    </w:rPr>
                    <w:t>检测结果</w:t>
                  </w:r>
                </w:p>
              </w:tc>
              <w:tc>
                <w:tcPr>
                  <w:tcW w:w="1605" w:type="pct"/>
                  <w:gridSpan w:val="2"/>
                  <w:vMerge w:val="restart"/>
                </w:tcPr>
                <w:p>
                  <w:pPr>
                    <w:spacing w:line="340" w:lineRule="exact"/>
                    <w:jc w:val="center"/>
                    <w:textAlignment w:val="center"/>
                    <w:rPr>
                      <w:sz w:val="21"/>
                      <w:szCs w:val="21"/>
                    </w:rPr>
                  </w:pPr>
                  <w:r>
                    <w:rPr>
                      <w:rFonts w:hint="eastAsia"/>
                      <w:sz w:val="21"/>
                      <w:szCs w:val="21"/>
                    </w:rPr>
                    <w:t>标准值</w:t>
                  </w: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4" w:type="pct"/>
                  <w:vMerge w:val="continue"/>
                  <w:vAlign w:val="center"/>
                </w:tcPr>
                <w:p>
                  <w:pPr>
                    <w:spacing w:line="340" w:lineRule="exact"/>
                    <w:jc w:val="center"/>
                    <w:textAlignment w:val="center"/>
                    <w:rPr>
                      <w:sz w:val="21"/>
                      <w:szCs w:val="21"/>
                    </w:rPr>
                  </w:pPr>
                </w:p>
              </w:tc>
              <w:tc>
                <w:tcPr>
                  <w:tcW w:w="916" w:type="pct"/>
                  <w:vMerge w:val="continue"/>
                  <w:vAlign w:val="center"/>
                </w:tcPr>
                <w:p>
                  <w:pPr>
                    <w:spacing w:line="340" w:lineRule="exact"/>
                    <w:jc w:val="center"/>
                    <w:textAlignment w:val="center"/>
                    <w:rPr>
                      <w:sz w:val="21"/>
                      <w:szCs w:val="21"/>
                    </w:rPr>
                  </w:pPr>
                </w:p>
              </w:tc>
              <w:tc>
                <w:tcPr>
                  <w:tcW w:w="749" w:type="pct"/>
                  <w:vMerge w:val="continue"/>
                  <w:vAlign w:val="center"/>
                </w:tcPr>
                <w:p>
                  <w:pPr>
                    <w:spacing w:line="340" w:lineRule="exact"/>
                    <w:jc w:val="center"/>
                    <w:textAlignment w:val="center"/>
                    <w:rPr>
                      <w:sz w:val="21"/>
                      <w:szCs w:val="21"/>
                    </w:rPr>
                  </w:pPr>
                </w:p>
              </w:tc>
              <w:tc>
                <w:tcPr>
                  <w:tcW w:w="1014" w:type="pct"/>
                  <w:vAlign w:val="center"/>
                </w:tcPr>
                <w:p>
                  <w:pPr>
                    <w:spacing w:line="340" w:lineRule="exact"/>
                    <w:jc w:val="center"/>
                    <w:textAlignment w:val="center"/>
                    <w:rPr>
                      <w:sz w:val="21"/>
                      <w:szCs w:val="21"/>
                    </w:rPr>
                  </w:pPr>
                  <w:r>
                    <w:rPr>
                      <w:rFonts w:hint="eastAsia"/>
                      <w:sz w:val="21"/>
                      <w:szCs w:val="21"/>
                    </w:rPr>
                    <w:t>T1</w:t>
                  </w:r>
                </w:p>
              </w:tc>
              <w:tc>
                <w:tcPr>
                  <w:tcW w:w="1605" w:type="pct"/>
                  <w:gridSpan w:val="2"/>
                  <w:vMerge w:val="continue"/>
                </w:tcPr>
                <w:p>
                  <w:pPr>
                    <w:spacing w:line="340" w:lineRule="exact"/>
                    <w:jc w:val="center"/>
                    <w:textAlignment w:val="center"/>
                    <w:rPr>
                      <w:sz w:val="21"/>
                      <w:szCs w:val="21"/>
                    </w:rPr>
                  </w:pP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4" w:type="pct"/>
                  <w:vMerge w:val="restart"/>
                  <w:vAlign w:val="center"/>
                </w:tcPr>
                <w:p>
                  <w:pPr>
                    <w:spacing w:line="340" w:lineRule="exact"/>
                    <w:jc w:val="center"/>
                    <w:textAlignment w:val="center"/>
                    <w:rPr>
                      <w:sz w:val="21"/>
                      <w:szCs w:val="21"/>
                    </w:rPr>
                  </w:pPr>
                  <w:r>
                    <w:rPr>
                      <w:rFonts w:hint="eastAsia"/>
                      <w:sz w:val="21"/>
                      <w:szCs w:val="21"/>
                    </w:rPr>
                    <w:t>11月22日</w:t>
                  </w:r>
                </w:p>
              </w:tc>
              <w:tc>
                <w:tcPr>
                  <w:tcW w:w="916" w:type="pct"/>
                  <w:vAlign w:val="center"/>
                </w:tcPr>
                <w:p>
                  <w:pPr>
                    <w:spacing w:line="340" w:lineRule="exact"/>
                    <w:jc w:val="center"/>
                    <w:textAlignment w:val="center"/>
                    <w:rPr>
                      <w:sz w:val="21"/>
                      <w:szCs w:val="21"/>
                    </w:rPr>
                  </w:pPr>
                  <w:r>
                    <w:rPr>
                      <w:rFonts w:hint="eastAsia"/>
                      <w:sz w:val="21"/>
                      <w:szCs w:val="21"/>
                    </w:rPr>
                    <w:t>pH</w:t>
                  </w:r>
                </w:p>
              </w:tc>
              <w:tc>
                <w:tcPr>
                  <w:tcW w:w="749" w:type="pct"/>
                  <w:vAlign w:val="center"/>
                </w:tcPr>
                <w:p>
                  <w:pPr>
                    <w:spacing w:line="340" w:lineRule="exact"/>
                    <w:jc w:val="center"/>
                    <w:textAlignment w:val="center"/>
                    <w:rPr>
                      <w:sz w:val="21"/>
                      <w:szCs w:val="21"/>
                    </w:rPr>
                  </w:pPr>
                  <w:r>
                    <w:rPr>
                      <w:rFonts w:hint="eastAsia"/>
                      <w:sz w:val="21"/>
                      <w:szCs w:val="21"/>
                    </w:rPr>
                    <w:t>无量纲</w:t>
                  </w:r>
                </w:p>
              </w:tc>
              <w:tc>
                <w:tcPr>
                  <w:tcW w:w="1014" w:type="pct"/>
                  <w:vAlign w:val="center"/>
                </w:tcPr>
                <w:p>
                  <w:pPr>
                    <w:spacing w:line="340" w:lineRule="exact"/>
                    <w:jc w:val="center"/>
                    <w:textAlignment w:val="center"/>
                    <w:rPr>
                      <w:sz w:val="21"/>
                      <w:szCs w:val="21"/>
                    </w:rPr>
                  </w:pPr>
                  <w:r>
                    <w:rPr>
                      <w:rFonts w:hint="eastAsia"/>
                      <w:sz w:val="21"/>
                      <w:szCs w:val="21"/>
                    </w:rPr>
                    <w:t>7.54</w:t>
                  </w:r>
                </w:p>
              </w:tc>
              <w:tc>
                <w:tcPr>
                  <w:tcW w:w="877" w:type="pct"/>
                </w:tcPr>
                <w:p>
                  <w:pPr>
                    <w:spacing w:line="340" w:lineRule="exact"/>
                    <w:textAlignment w:val="center"/>
                    <w:rPr>
                      <w:sz w:val="21"/>
                      <w:szCs w:val="21"/>
                    </w:rPr>
                  </w:pPr>
                  <w:r>
                    <w:rPr>
                      <w:sz w:val="21"/>
                      <w:szCs w:val="21"/>
                    </w:rPr>
                    <w:t>7.5</w:t>
                  </w:r>
                  <w:r>
                    <w:rPr>
                      <w:rFonts w:hAnsi="宋体"/>
                      <w:sz w:val="21"/>
                      <w:szCs w:val="21"/>
                    </w:rPr>
                    <w:t>≧</w:t>
                  </w:r>
                  <w:r>
                    <w:rPr>
                      <w:sz w:val="21"/>
                      <w:szCs w:val="21"/>
                    </w:rPr>
                    <w:t>pH&gt;6.5</w:t>
                  </w:r>
                </w:p>
              </w:tc>
              <w:tc>
                <w:tcPr>
                  <w:tcW w:w="727" w:type="pct"/>
                </w:tcPr>
                <w:p>
                  <w:pPr>
                    <w:spacing w:line="340" w:lineRule="exact"/>
                    <w:jc w:val="center"/>
                    <w:textAlignment w:val="center"/>
                    <w:rPr>
                      <w:sz w:val="21"/>
                      <w:szCs w:val="21"/>
                    </w:rPr>
                  </w:pPr>
                  <w:r>
                    <w:rPr>
                      <w:rFonts w:hint="eastAsia" w:ascii="宋体" w:hAnsi="宋体"/>
                      <w:sz w:val="21"/>
                      <w:szCs w:val="21"/>
                    </w:rPr>
                    <w:t>&gt;</w:t>
                  </w:r>
                  <w:r>
                    <w:rPr>
                      <w:rFonts w:hint="eastAsia"/>
                      <w:sz w:val="21"/>
                      <w:szCs w:val="21"/>
                    </w:rPr>
                    <w:t>7.5</w:t>
                  </w: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4" w:type="pct"/>
                  <w:vMerge w:val="continue"/>
                  <w:vAlign w:val="center"/>
                </w:tcPr>
                <w:p>
                  <w:pPr>
                    <w:spacing w:line="340" w:lineRule="exact"/>
                    <w:jc w:val="center"/>
                    <w:textAlignment w:val="center"/>
                    <w:rPr>
                      <w:sz w:val="21"/>
                      <w:szCs w:val="21"/>
                    </w:rPr>
                  </w:pPr>
                </w:p>
              </w:tc>
              <w:tc>
                <w:tcPr>
                  <w:tcW w:w="916" w:type="pct"/>
                  <w:vAlign w:val="center"/>
                </w:tcPr>
                <w:p>
                  <w:pPr>
                    <w:spacing w:line="340" w:lineRule="exact"/>
                    <w:jc w:val="center"/>
                    <w:textAlignment w:val="center"/>
                    <w:rPr>
                      <w:sz w:val="21"/>
                      <w:szCs w:val="21"/>
                    </w:rPr>
                  </w:pPr>
                  <w:r>
                    <w:rPr>
                      <w:rFonts w:hint="eastAsia"/>
                      <w:sz w:val="21"/>
                      <w:szCs w:val="21"/>
                    </w:rPr>
                    <w:t>铬</w:t>
                  </w:r>
                </w:p>
              </w:tc>
              <w:tc>
                <w:tcPr>
                  <w:tcW w:w="749" w:type="pct"/>
                  <w:vAlign w:val="center"/>
                </w:tcPr>
                <w:p>
                  <w:pPr>
                    <w:spacing w:line="340" w:lineRule="exact"/>
                    <w:jc w:val="center"/>
                    <w:textAlignment w:val="center"/>
                    <w:rPr>
                      <w:sz w:val="21"/>
                      <w:szCs w:val="21"/>
                    </w:rPr>
                  </w:pPr>
                  <w:r>
                    <w:rPr>
                      <w:rFonts w:hint="eastAsia"/>
                      <w:sz w:val="21"/>
                      <w:szCs w:val="21"/>
                    </w:rPr>
                    <w:t>mg/kg</w:t>
                  </w:r>
                </w:p>
              </w:tc>
              <w:tc>
                <w:tcPr>
                  <w:tcW w:w="1014" w:type="pct"/>
                  <w:vAlign w:val="center"/>
                </w:tcPr>
                <w:p>
                  <w:pPr>
                    <w:spacing w:line="340" w:lineRule="exact"/>
                    <w:jc w:val="center"/>
                    <w:textAlignment w:val="center"/>
                    <w:rPr>
                      <w:sz w:val="21"/>
                      <w:szCs w:val="21"/>
                    </w:rPr>
                  </w:pPr>
                  <w:r>
                    <w:rPr>
                      <w:rFonts w:hint="eastAsia"/>
                      <w:sz w:val="21"/>
                      <w:szCs w:val="21"/>
                    </w:rPr>
                    <w:t>13</w:t>
                  </w:r>
                </w:p>
              </w:tc>
              <w:tc>
                <w:tcPr>
                  <w:tcW w:w="877" w:type="pct"/>
                </w:tcPr>
                <w:p>
                  <w:pPr>
                    <w:spacing w:line="340" w:lineRule="exact"/>
                    <w:jc w:val="center"/>
                    <w:textAlignment w:val="center"/>
                    <w:rPr>
                      <w:sz w:val="21"/>
                      <w:szCs w:val="21"/>
                    </w:rPr>
                  </w:pPr>
                  <w:r>
                    <w:rPr>
                      <w:rFonts w:hint="eastAsia"/>
                      <w:sz w:val="21"/>
                      <w:szCs w:val="21"/>
                    </w:rPr>
                    <w:t>200</w:t>
                  </w:r>
                </w:p>
              </w:tc>
              <w:tc>
                <w:tcPr>
                  <w:tcW w:w="727" w:type="pct"/>
                </w:tcPr>
                <w:p>
                  <w:pPr>
                    <w:spacing w:line="340" w:lineRule="exact"/>
                    <w:jc w:val="center"/>
                    <w:textAlignment w:val="center"/>
                    <w:rPr>
                      <w:sz w:val="21"/>
                      <w:szCs w:val="21"/>
                    </w:rPr>
                  </w:pPr>
                  <w:r>
                    <w:rPr>
                      <w:rFonts w:hint="eastAsia"/>
                      <w:sz w:val="21"/>
                      <w:szCs w:val="21"/>
                    </w:rPr>
                    <w:t>250</w:t>
                  </w: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4" w:type="pct"/>
                  <w:vMerge w:val="continue"/>
                  <w:vAlign w:val="center"/>
                </w:tcPr>
                <w:p>
                  <w:pPr>
                    <w:spacing w:line="340" w:lineRule="exact"/>
                    <w:jc w:val="center"/>
                    <w:textAlignment w:val="center"/>
                    <w:rPr>
                      <w:sz w:val="21"/>
                      <w:szCs w:val="21"/>
                    </w:rPr>
                  </w:pPr>
                </w:p>
              </w:tc>
              <w:tc>
                <w:tcPr>
                  <w:tcW w:w="916" w:type="pct"/>
                  <w:vAlign w:val="center"/>
                </w:tcPr>
                <w:p>
                  <w:pPr>
                    <w:spacing w:line="340" w:lineRule="exact"/>
                    <w:jc w:val="center"/>
                    <w:textAlignment w:val="center"/>
                    <w:rPr>
                      <w:sz w:val="21"/>
                      <w:szCs w:val="21"/>
                    </w:rPr>
                  </w:pPr>
                  <w:r>
                    <w:rPr>
                      <w:rFonts w:hint="eastAsia"/>
                      <w:sz w:val="21"/>
                      <w:szCs w:val="21"/>
                    </w:rPr>
                    <w:t>砷</w:t>
                  </w:r>
                </w:p>
              </w:tc>
              <w:tc>
                <w:tcPr>
                  <w:tcW w:w="749" w:type="pct"/>
                  <w:vAlign w:val="center"/>
                </w:tcPr>
                <w:p>
                  <w:pPr>
                    <w:spacing w:line="340" w:lineRule="exact"/>
                    <w:jc w:val="center"/>
                    <w:textAlignment w:val="center"/>
                    <w:rPr>
                      <w:sz w:val="21"/>
                      <w:szCs w:val="21"/>
                    </w:rPr>
                  </w:pPr>
                  <w:r>
                    <w:rPr>
                      <w:rFonts w:hint="eastAsia"/>
                      <w:sz w:val="21"/>
                      <w:szCs w:val="21"/>
                    </w:rPr>
                    <w:t>mg/kg</w:t>
                  </w:r>
                </w:p>
              </w:tc>
              <w:tc>
                <w:tcPr>
                  <w:tcW w:w="1014" w:type="pct"/>
                  <w:vAlign w:val="center"/>
                </w:tcPr>
                <w:p>
                  <w:pPr>
                    <w:spacing w:line="340" w:lineRule="exact"/>
                    <w:jc w:val="center"/>
                    <w:textAlignment w:val="center"/>
                    <w:rPr>
                      <w:sz w:val="21"/>
                      <w:szCs w:val="21"/>
                    </w:rPr>
                  </w:pPr>
                  <w:r>
                    <w:rPr>
                      <w:rFonts w:hint="eastAsia"/>
                      <w:sz w:val="21"/>
                      <w:szCs w:val="21"/>
                    </w:rPr>
                    <w:t>0.31</w:t>
                  </w:r>
                </w:p>
              </w:tc>
              <w:tc>
                <w:tcPr>
                  <w:tcW w:w="877" w:type="pct"/>
                </w:tcPr>
                <w:p>
                  <w:pPr>
                    <w:spacing w:line="340" w:lineRule="exact"/>
                    <w:jc w:val="center"/>
                    <w:textAlignment w:val="center"/>
                    <w:rPr>
                      <w:sz w:val="21"/>
                      <w:szCs w:val="21"/>
                    </w:rPr>
                  </w:pPr>
                  <w:r>
                    <w:rPr>
                      <w:rFonts w:hint="eastAsia"/>
                      <w:sz w:val="21"/>
                      <w:szCs w:val="21"/>
                    </w:rPr>
                    <w:t>30</w:t>
                  </w:r>
                </w:p>
              </w:tc>
              <w:tc>
                <w:tcPr>
                  <w:tcW w:w="727" w:type="pct"/>
                </w:tcPr>
                <w:p>
                  <w:pPr>
                    <w:spacing w:line="340" w:lineRule="exact"/>
                    <w:jc w:val="center"/>
                    <w:textAlignment w:val="center"/>
                    <w:rPr>
                      <w:sz w:val="21"/>
                      <w:szCs w:val="21"/>
                    </w:rPr>
                  </w:pPr>
                  <w:r>
                    <w:rPr>
                      <w:rFonts w:hint="eastAsia"/>
                      <w:sz w:val="21"/>
                      <w:szCs w:val="21"/>
                    </w:rPr>
                    <w:t>25</w:t>
                  </w: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4" w:type="pct"/>
                  <w:vMerge w:val="continue"/>
                  <w:vAlign w:val="center"/>
                </w:tcPr>
                <w:p>
                  <w:pPr>
                    <w:spacing w:line="340" w:lineRule="exact"/>
                    <w:jc w:val="center"/>
                    <w:textAlignment w:val="center"/>
                    <w:rPr>
                      <w:sz w:val="21"/>
                      <w:szCs w:val="21"/>
                    </w:rPr>
                  </w:pPr>
                </w:p>
              </w:tc>
              <w:tc>
                <w:tcPr>
                  <w:tcW w:w="916" w:type="pct"/>
                  <w:vAlign w:val="center"/>
                </w:tcPr>
                <w:p>
                  <w:pPr>
                    <w:spacing w:line="340" w:lineRule="exact"/>
                    <w:jc w:val="center"/>
                    <w:textAlignment w:val="center"/>
                    <w:rPr>
                      <w:sz w:val="21"/>
                      <w:szCs w:val="21"/>
                    </w:rPr>
                  </w:pPr>
                  <w:r>
                    <w:rPr>
                      <w:rFonts w:hint="eastAsia"/>
                      <w:sz w:val="21"/>
                      <w:szCs w:val="21"/>
                    </w:rPr>
                    <w:t>镉</w:t>
                  </w:r>
                </w:p>
              </w:tc>
              <w:tc>
                <w:tcPr>
                  <w:tcW w:w="749" w:type="pct"/>
                  <w:vAlign w:val="center"/>
                </w:tcPr>
                <w:p>
                  <w:pPr>
                    <w:spacing w:line="340" w:lineRule="exact"/>
                    <w:jc w:val="center"/>
                    <w:textAlignment w:val="center"/>
                    <w:rPr>
                      <w:sz w:val="21"/>
                      <w:szCs w:val="21"/>
                    </w:rPr>
                  </w:pPr>
                  <w:r>
                    <w:rPr>
                      <w:rFonts w:hint="eastAsia"/>
                      <w:sz w:val="21"/>
                      <w:szCs w:val="21"/>
                    </w:rPr>
                    <w:t>mg/kg</w:t>
                  </w:r>
                </w:p>
              </w:tc>
              <w:tc>
                <w:tcPr>
                  <w:tcW w:w="1014" w:type="pct"/>
                  <w:vAlign w:val="center"/>
                </w:tcPr>
                <w:p>
                  <w:pPr>
                    <w:spacing w:line="340" w:lineRule="exact"/>
                    <w:jc w:val="center"/>
                    <w:textAlignment w:val="center"/>
                    <w:rPr>
                      <w:sz w:val="21"/>
                      <w:szCs w:val="21"/>
                    </w:rPr>
                  </w:pPr>
                  <w:r>
                    <w:rPr>
                      <w:rFonts w:hint="eastAsia"/>
                      <w:sz w:val="21"/>
                      <w:szCs w:val="21"/>
                    </w:rPr>
                    <w:t>ND</w:t>
                  </w:r>
                </w:p>
              </w:tc>
              <w:tc>
                <w:tcPr>
                  <w:tcW w:w="877" w:type="pct"/>
                </w:tcPr>
                <w:p>
                  <w:pPr>
                    <w:spacing w:line="340" w:lineRule="exact"/>
                    <w:jc w:val="center"/>
                    <w:textAlignment w:val="center"/>
                    <w:rPr>
                      <w:sz w:val="21"/>
                      <w:szCs w:val="21"/>
                    </w:rPr>
                  </w:pPr>
                  <w:r>
                    <w:rPr>
                      <w:rFonts w:hint="eastAsia"/>
                      <w:sz w:val="21"/>
                      <w:szCs w:val="21"/>
                    </w:rPr>
                    <w:t>0.3</w:t>
                  </w:r>
                </w:p>
              </w:tc>
              <w:tc>
                <w:tcPr>
                  <w:tcW w:w="727" w:type="pct"/>
                </w:tcPr>
                <w:p>
                  <w:pPr>
                    <w:spacing w:line="340" w:lineRule="exact"/>
                    <w:jc w:val="center"/>
                    <w:textAlignment w:val="center"/>
                    <w:rPr>
                      <w:sz w:val="21"/>
                      <w:szCs w:val="21"/>
                    </w:rPr>
                  </w:pPr>
                  <w:r>
                    <w:rPr>
                      <w:rFonts w:hint="eastAsia"/>
                      <w:sz w:val="21"/>
                      <w:szCs w:val="21"/>
                    </w:rPr>
                    <w:t>0.6</w:t>
                  </w: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4" w:type="pct"/>
                  <w:vMerge w:val="continue"/>
                  <w:vAlign w:val="center"/>
                </w:tcPr>
                <w:p>
                  <w:pPr>
                    <w:spacing w:line="340" w:lineRule="exact"/>
                    <w:jc w:val="center"/>
                    <w:textAlignment w:val="center"/>
                    <w:rPr>
                      <w:sz w:val="21"/>
                      <w:szCs w:val="21"/>
                    </w:rPr>
                  </w:pPr>
                </w:p>
              </w:tc>
              <w:tc>
                <w:tcPr>
                  <w:tcW w:w="916" w:type="pct"/>
                  <w:vAlign w:val="center"/>
                </w:tcPr>
                <w:p>
                  <w:pPr>
                    <w:spacing w:line="340" w:lineRule="exact"/>
                    <w:jc w:val="center"/>
                    <w:textAlignment w:val="center"/>
                    <w:rPr>
                      <w:sz w:val="21"/>
                      <w:szCs w:val="21"/>
                    </w:rPr>
                  </w:pPr>
                  <w:r>
                    <w:rPr>
                      <w:rFonts w:hint="eastAsia"/>
                      <w:sz w:val="21"/>
                      <w:szCs w:val="21"/>
                    </w:rPr>
                    <w:t>铅</w:t>
                  </w:r>
                </w:p>
              </w:tc>
              <w:tc>
                <w:tcPr>
                  <w:tcW w:w="749" w:type="pct"/>
                  <w:vAlign w:val="center"/>
                </w:tcPr>
                <w:p>
                  <w:pPr>
                    <w:spacing w:line="340" w:lineRule="exact"/>
                    <w:jc w:val="center"/>
                    <w:textAlignment w:val="center"/>
                    <w:rPr>
                      <w:sz w:val="21"/>
                      <w:szCs w:val="21"/>
                    </w:rPr>
                  </w:pPr>
                  <w:r>
                    <w:rPr>
                      <w:rFonts w:hint="eastAsia"/>
                      <w:sz w:val="21"/>
                      <w:szCs w:val="21"/>
                    </w:rPr>
                    <w:t>mg/kg</w:t>
                  </w:r>
                </w:p>
              </w:tc>
              <w:tc>
                <w:tcPr>
                  <w:tcW w:w="1014" w:type="pct"/>
                  <w:vAlign w:val="center"/>
                </w:tcPr>
                <w:p>
                  <w:pPr>
                    <w:spacing w:line="340" w:lineRule="exact"/>
                    <w:jc w:val="center"/>
                    <w:textAlignment w:val="center"/>
                    <w:rPr>
                      <w:sz w:val="21"/>
                      <w:szCs w:val="21"/>
                    </w:rPr>
                  </w:pPr>
                  <w:r>
                    <w:rPr>
                      <w:rFonts w:hint="eastAsia"/>
                      <w:sz w:val="21"/>
                      <w:szCs w:val="21"/>
                    </w:rPr>
                    <w:t>1.36</w:t>
                  </w:r>
                </w:p>
              </w:tc>
              <w:tc>
                <w:tcPr>
                  <w:tcW w:w="877" w:type="pct"/>
                </w:tcPr>
                <w:p>
                  <w:pPr>
                    <w:spacing w:line="340" w:lineRule="exact"/>
                    <w:jc w:val="center"/>
                    <w:textAlignment w:val="center"/>
                    <w:rPr>
                      <w:sz w:val="21"/>
                      <w:szCs w:val="21"/>
                    </w:rPr>
                  </w:pPr>
                  <w:r>
                    <w:rPr>
                      <w:rFonts w:hint="eastAsia"/>
                      <w:sz w:val="21"/>
                      <w:szCs w:val="21"/>
                    </w:rPr>
                    <w:t>120</w:t>
                  </w:r>
                </w:p>
              </w:tc>
              <w:tc>
                <w:tcPr>
                  <w:tcW w:w="727" w:type="pct"/>
                </w:tcPr>
                <w:p>
                  <w:pPr>
                    <w:spacing w:line="340" w:lineRule="exact"/>
                    <w:jc w:val="center"/>
                    <w:textAlignment w:val="center"/>
                    <w:rPr>
                      <w:sz w:val="21"/>
                      <w:szCs w:val="21"/>
                    </w:rPr>
                  </w:pPr>
                  <w:r>
                    <w:rPr>
                      <w:rFonts w:hint="eastAsia"/>
                      <w:sz w:val="21"/>
                      <w:szCs w:val="21"/>
                    </w:rPr>
                    <w:t>170</w:t>
                  </w: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4" w:type="pct"/>
                  <w:vMerge w:val="continue"/>
                  <w:vAlign w:val="center"/>
                </w:tcPr>
                <w:p>
                  <w:pPr>
                    <w:spacing w:line="340" w:lineRule="exact"/>
                    <w:jc w:val="center"/>
                    <w:textAlignment w:val="center"/>
                    <w:rPr>
                      <w:sz w:val="21"/>
                      <w:szCs w:val="21"/>
                    </w:rPr>
                  </w:pPr>
                </w:p>
              </w:tc>
              <w:tc>
                <w:tcPr>
                  <w:tcW w:w="916" w:type="pct"/>
                  <w:vAlign w:val="center"/>
                </w:tcPr>
                <w:p>
                  <w:pPr>
                    <w:spacing w:line="340" w:lineRule="exact"/>
                    <w:jc w:val="center"/>
                    <w:textAlignment w:val="center"/>
                    <w:rPr>
                      <w:sz w:val="21"/>
                      <w:szCs w:val="21"/>
                    </w:rPr>
                  </w:pPr>
                  <w:r>
                    <w:rPr>
                      <w:rFonts w:hint="eastAsia"/>
                      <w:sz w:val="21"/>
                      <w:szCs w:val="21"/>
                    </w:rPr>
                    <w:t>铜</w:t>
                  </w:r>
                </w:p>
              </w:tc>
              <w:tc>
                <w:tcPr>
                  <w:tcW w:w="749" w:type="pct"/>
                  <w:vAlign w:val="center"/>
                </w:tcPr>
                <w:p>
                  <w:pPr>
                    <w:spacing w:line="340" w:lineRule="exact"/>
                    <w:jc w:val="center"/>
                    <w:textAlignment w:val="center"/>
                    <w:rPr>
                      <w:sz w:val="21"/>
                      <w:szCs w:val="21"/>
                    </w:rPr>
                  </w:pPr>
                  <w:r>
                    <w:rPr>
                      <w:rFonts w:hint="eastAsia"/>
                      <w:sz w:val="21"/>
                      <w:szCs w:val="21"/>
                    </w:rPr>
                    <w:t>mg/kg</w:t>
                  </w:r>
                </w:p>
              </w:tc>
              <w:tc>
                <w:tcPr>
                  <w:tcW w:w="1014" w:type="pct"/>
                  <w:vAlign w:val="center"/>
                </w:tcPr>
                <w:p>
                  <w:pPr>
                    <w:spacing w:line="340" w:lineRule="exact"/>
                    <w:jc w:val="center"/>
                    <w:textAlignment w:val="center"/>
                    <w:rPr>
                      <w:sz w:val="21"/>
                      <w:szCs w:val="21"/>
                    </w:rPr>
                  </w:pPr>
                  <w:r>
                    <w:rPr>
                      <w:rFonts w:hint="eastAsia"/>
                      <w:sz w:val="21"/>
                      <w:szCs w:val="21"/>
                    </w:rPr>
                    <w:t>2.264</w:t>
                  </w:r>
                </w:p>
              </w:tc>
              <w:tc>
                <w:tcPr>
                  <w:tcW w:w="877" w:type="pct"/>
                </w:tcPr>
                <w:p>
                  <w:pPr>
                    <w:spacing w:line="340" w:lineRule="exact"/>
                    <w:jc w:val="center"/>
                    <w:textAlignment w:val="center"/>
                    <w:rPr>
                      <w:sz w:val="21"/>
                      <w:szCs w:val="21"/>
                    </w:rPr>
                  </w:pPr>
                  <w:r>
                    <w:rPr>
                      <w:rFonts w:hint="eastAsia"/>
                      <w:sz w:val="21"/>
                      <w:szCs w:val="21"/>
                    </w:rPr>
                    <w:t>100</w:t>
                  </w:r>
                </w:p>
              </w:tc>
              <w:tc>
                <w:tcPr>
                  <w:tcW w:w="727" w:type="pct"/>
                </w:tcPr>
                <w:p>
                  <w:pPr>
                    <w:spacing w:line="340" w:lineRule="exact"/>
                    <w:jc w:val="center"/>
                    <w:textAlignment w:val="center"/>
                    <w:rPr>
                      <w:sz w:val="21"/>
                      <w:szCs w:val="21"/>
                    </w:rPr>
                  </w:pPr>
                  <w:r>
                    <w:rPr>
                      <w:rFonts w:hint="eastAsia"/>
                      <w:sz w:val="21"/>
                      <w:szCs w:val="21"/>
                    </w:rPr>
                    <w:t>100</w:t>
                  </w: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4" w:type="pct"/>
                  <w:vMerge w:val="continue"/>
                  <w:vAlign w:val="center"/>
                </w:tcPr>
                <w:p>
                  <w:pPr>
                    <w:spacing w:line="340" w:lineRule="exact"/>
                    <w:jc w:val="center"/>
                    <w:textAlignment w:val="center"/>
                    <w:rPr>
                      <w:sz w:val="21"/>
                      <w:szCs w:val="21"/>
                    </w:rPr>
                  </w:pPr>
                </w:p>
              </w:tc>
              <w:tc>
                <w:tcPr>
                  <w:tcW w:w="916" w:type="pct"/>
                  <w:vAlign w:val="center"/>
                </w:tcPr>
                <w:p>
                  <w:pPr>
                    <w:spacing w:line="340" w:lineRule="exact"/>
                    <w:jc w:val="center"/>
                    <w:textAlignment w:val="center"/>
                    <w:rPr>
                      <w:sz w:val="21"/>
                      <w:szCs w:val="21"/>
                    </w:rPr>
                  </w:pPr>
                  <w:r>
                    <w:rPr>
                      <w:rFonts w:hint="eastAsia"/>
                      <w:sz w:val="21"/>
                      <w:szCs w:val="21"/>
                    </w:rPr>
                    <w:t>锌</w:t>
                  </w:r>
                </w:p>
              </w:tc>
              <w:tc>
                <w:tcPr>
                  <w:tcW w:w="749" w:type="pct"/>
                  <w:vAlign w:val="center"/>
                </w:tcPr>
                <w:p>
                  <w:pPr>
                    <w:spacing w:line="340" w:lineRule="exact"/>
                    <w:jc w:val="center"/>
                    <w:textAlignment w:val="center"/>
                    <w:rPr>
                      <w:sz w:val="21"/>
                      <w:szCs w:val="21"/>
                    </w:rPr>
                  </w:pPr>
                  <w:r>
                    <w:rPr>
                      <w:rFonts w:hint="eastAsia"/>
                      <w:sz w:val="21"/>
                      <w:szCs w:val="21"/>
                    </w:rPr>
                    <w:t>mg/kg</w:t>
                  </w:r>
                </w:p>
              </w:tc>
              <w:tc>
                <w:tcPr>
                  <w:tcW w:w="1014" w:type="pct"/>
                  <w:vAlign w:val="center"/>
                </w:tcPr>
                <w:p>
                  <w:pPr>
                    <w:spacing w:line="340" w:lineRule="exact"/>
                    <w:jc w:val="center"/>
                    <w:textAlignment w:val="center"/>
                    <w:rPr>
                      <w:sz w:val="21"/>
                      <w:szCs w:val="21"/>
                    </w:rPr>
                  </w:pPr>
                  <w:r>
                    <w:rPr>
                      <w:rFonts w:hint="eastAsia"/>
                      <w:sz w:val="21"/>
                      <w:szCs w:val="21"/>
                    </w:rPr>
                    <w:t>7.88</w:t>
                  </w:r>
                </w:p>
              </w:tc>
              <w:tc>
                <w:tcPr>
                  <w:tcW w:w="877" w:type="pct"/>
                </w:tcPr>
                <w:p>
                  <w:pPr>
                    <w:spacing w:line="340" w:lineRule="exact"/>
                    <w:jc w:val="center"/>
                    <w:textAlignment w:val="center"/>
                    <w:rPr>
                      <w:sz w:val="21"/>
                      <w:szCs w:val="21"/>
                    </w:rPr>
                  </w:pPr>
                  <w:r>
                    <w:rPr>
                      <w:rFonts w:hint="eastAsia"/>
                      <w:sz w:val="21"/>
                      <w:szCs w:val="21"/>
                    </w:rPr>
                    <w:t>250</w:t>
                  </w:r>
                </w:p>
              </w:tc>
              <w:tc>
                <w:tcPr>
                  <w:tcW w:w="727" w:type="pct"/>
                </w:tcPr>
                <w:p>
                  <w:pPr>
                    <w:spacing w:line="340" w:lineRule="exact"/>
                    <w:jc w:val="center"/>
                    <w:textAlignment w:val="center"/>
                    <w:rPr>
                      <w:sz w:val="21"/>
                      <w:szCs w:val="21"/>
                    </w:rPr>
                  </w:pPr>
                  <w:r>
                    <w:rPr>
                      <w:rFonts w:hint="eastAsia"/>
                      <w:sz w:val="21"/>
                      <w:szCs w:val="21"/>
                    </w:rPr>
                    <w:t>300</w:t>
                  </w:r>
                </w:p>
              </w:tc>
            </w:tr>
            <w:tr>
              <w:tblPrEx>
                <w:tblBorders>
                  <w:top w:val="single" w:color="auto" w:sz="12" w:space="0"/>
                  <w:left w:val="single" w:color="auto" w:sz="4"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4" w:type="pct"/>
                  <w:vMerge w:val="continue"/>
                  <w:vAlign w:val="center"/>
                </w:tcPr>
                <w:p>
                  <w:pPr>
                    <w:spacing w:line="340" w:lineRule="exact"/>
                    <w:jc w:val="center"/>
                    <w:textAlignment w:val="center"/>
                    <w:rPr>
                      <w:sz w:val="21"/>
                      <w:szCs w:val="21"/>
                    </w:rPr>
                  </w:pPr>
                </w:p>
              </w:tc>
              <w:tc>
                <w:tcPr>
                  <w:tcW w:w="916" w:type="pct"/>
                  <w:vAlign w:val="center"/>
                </w:tcPr>
                <w:p>
                  <w:pPr>
                    <w:spacing w:line="340" w:lineRule="exact"/>
                    <w:jc w:val="center"/>
                    <w:textAlignment w:val="center"/>
                    <w:rPr>
                      <w:sz w:val="21"/>
                      <w:szCs w:val="21"/>
                    </w:rPr>
                  </w:pPr>
                  <w:r>
                    <w:rPr>
                      <w:rFonts w:hint="eastAsia"/>
                      <w:sz w:val="21"/>
                      <w:szCs w:val="21"/>
                    </w:rPr>
                    <w:t>汞</w:t>
                  </w:r>
                </w:p>
              </w:tc>
              <w:tc>
                <w:tcPr>
                  <w:tcW w:w="749" w:type="pct"/>
                  <w:vAlign w:val="center"/>
                </w:tcPr>
                <w:p>
                  <w:pPr>
                    <w:spacing w:line="340" w:lineRule="exact"/>
                    <w:jc w:val="center"/>
                    <w:textAlignment w:val="center"/>
                    <w:rPr>
                      <w:sz w:val="21"/>
                      <w:szCs w:val="21"/>
                    </w:rPr>
                  </w:pPr>
                  <w:r>
                    <w:rPr>
                      <w:rFonts w:hint="eastAsia"/>
                      <w:sz w:val="21"/>
                      <w:szCs w:val="21"/>
                    </w:rPr>
                    <w:t>mg/kg</w:t>
                  </w:r>
                </w:p>
              </w:tc>
              <w:tc>
                <w:tcPr>
                  <w:tcW w:w="1014" w:type="pct"/>
                  <w:vAlign w:val="center"/>
                </w:tcPr>
                <w:p>
                  <w:pPr>
                    <w:spacing w:line="340" w:lineRule="exact"/>
                    <w:jc w:val="center"/>
                    <w:textAlignment w:val="center"/>
                    <w:rPr>
                      <w:sz w:val="21"/>
                      <w:szCs w:val="21"/>
                    </w:rPr>
                  </w:pPr>
                  <w:r>
                    <w:rPr>
                      <w:rFonts w:hint="eastAsia"/>
                      <w:sz w:val="21"/>
                      <w:szCs w:val="21"/>
                    </w:rPr>
                    <w:t>ND</w:t>
                  </w:r>
                </w:p>
              </w:tc>
              <w:tc>
                <w:tcPr>
                  <w:tcW w:w="877" w:type="pct"/>
                </w:tcPr>
                <w:p>
                  <w:pPr>
                    <w:spacing w:line="340" w:lineRule="exact"/>
                    <w:jc w:val="center"/>
                    <w:textAlignment w:val="center"/>
                    <w:rPr>
                      <w:sz w:val="21"/>
                      <w:szCs w:val="21"/>
                    </w:rPr>
                  </w:pPr>
                  <w:r>
                    <w:rPr>
                      <w:rFonts w:hint="eastAsia"/>
                      <w:sz w:val="21"/>
                      <w:szCs w:val="21"/>
                    </w:rPr>
                    <w:t>2.4</w:t>
                  </w:r>
                </w:p>
              </w:tc>
              <w:tc>
                <w:tcPr>
                  <w:tcW w:w="727" w:type="pct"/>
                </w:tcPr>
                <w:p>
                  <w:pPr>
                    <w:spacing w:line="340" w:lineRule="exact"/>
                    <w:jc w:val="center"/>
                    <w:textAlignment w:val="center"/>
                    <w:rPr>
                      <w:sz w:val="21"/>
                      <w:szCs w:val="21"/>
                    </w:rPr>
                  </w:pPr>
                  <w:r>
                    <w:rPr>
                      <w:rFonts w:hint="eastAsia"/>
                      <w:sz w:val="21"/>
                      <w:szCs w:val="21"/>
                    </w:rPr>
                    <w:t>3.4</w:t>
                  </w:r>
                </w:p>
              </w:tc>
            </w:tr>
          </w:tbl>
          <w:p>
            <w:pPr>
              <w:spacing w:before="163" w:beforeLines="50" w:line="360" w:lineRule="auto"/>
              <w:outlineLvl w:val="2"/>
              <w:rPr>
                <w:b/>
              </w:rPr>
            </w:pPr>
            <w:r>
              <w:rPr>
                <w:b/>
              </w:rPr>
              <w:t>5.2</w:t>
            </w:r>
            <w:r>
              <w:rPr>
                <w:rFonts w:hint="eastAsia"/>
                <w:b/>
              </w:rPr>
              <w:t>底泥及土壤环境现状评价</w:t>
            </w:r>
          </w:p>
          <w:p>
            <w:pPr>
              <w:spacing w:line="480" w:lineRule="exact"/>
              <w:ind w:firstLine="480" w:firstLineChars="200"/>
            </w:pPr>
            <w:r>
              <w:rPr>
                <w:rFonts w:hint="eastAsia"/>
              </w:rPr>
              <w:t>根据上表监测数据可知，工程范围内的土壤环境和水域内的底泥各项监测因子均符合《土壤环境质量 农用地土壤污染风险管控标准（试行）》（GB 15618-2018）标准要求，区域土壤和底泥环境质量较好。</w:t>
            </w:r>
          </w:p>
          <w:p>
            <w:pPr>
              <w:spacing w:before="163" w:beforeLines="50" w:line="360" w:lineRule="auto"/>
              <w:outlineLvl w:val="2"/>
              <w:rPr>
                <w:b/>
              </w:rPr>
            </w:pPr>
            <w:r>
              <w:rPr>
                <w:b/>
              </w:rPr>
              <w:t>5.3</w:t>
            </w:r>
            <w:r>
              <w:rPr>
                <w:rFonts w:hint="eastAsia"/>
                <w:b/>
              </w:rPr>
              <w:t>长江底泥引用数据环境现状评价</w:t>
            </w:r>
          </w:p>
          <w:p>
            <w:pPr>
              <w:spacing w:line="480" w:lineRule="exact"/>
              <w:ind w:firstLine="480" w:firstLineChars="200"/>
            </w:pPr>
            <w:r>
              <w:rPr>
                <w:rFonts w:hint="eastAsia"/>
              </w:rPr>
              <w:t>本工程依托洪水港取水口位于谭子坑取水口上游约3km处，该段底泥数据引用《</w:t>
            </w:r>
            <w:r>
              <w:rPr>
                <w:rStyle w:val="253"/>
                <w:rFonts w:hint="default" w:ascii="Times New Roman" w:hAnsi="宋体" w:eastAsia="宋体"/>
              </w:rPr>
              <w:t>三峡后续工作长江中下游影响处理湖南段二期河道治理工程环境影响报告书</w:t>
            </w:r>
            <w:r>
              <w:rPr>
                <w:rFonts w:hint="eastAsia"/>
              </w:rPr>
              <w:t>》于2018年5月3日对谭子坑取水口（本项目取水工程下游3km）长江底泥的监测数据。详见下表</w:t>
            </w:r>
            <w:r>
              <w:t>3</w:t>
            </w:r>
            <w:r>
              <w:rPr>
                <w:rFonts w:hint="eastAsia"/>
              </w:rPr>
              <w:t>-</w:t>
            </w:r>
            <w:r>
              <w:t>1</w:t>
            </w:r>
            <w:r>
              <w:rPr>
                <w:rFonts w:hint="eastAsia"/>
                <w:lang w:val="en-US" w:eastAsia="zh-CN"/>
              </w:rPr>
              <w:t>3</w:t>
            </w:r>
            <w:r>
              <w:rPr>
                <w:rFonts w:hint="eastAsia"/>
              </w:rPr>
              <w:t>。</w:t>
            </w:r>
          </w:p>
          <w:p>
            <w:pPr>
              <w:spacing w:line="480" w:lineRule="exact"/>
              <w:jc w:val="center"/>
              <w:rPr>
                <w:b/>
                <w:sz w:val="21"/>
                <w:szCs w:val="21"/>
              </w:rPr>
            </w:pPr>
            <w:r>
              <w:rPr>
                <w:rFonts w:hint="eastAsia"/>
                <w:b/>
                <w:sz w:val="21"/>
                <w:szCs w:val="21"/>
              </w:rPr>
              <w:t>表</w:t>
            </w:r>
            <w:r>
              <w:rPr>
                <w:b/>
                <w:sz w:val="21"/>
                <w:szCs w:val="21"/>
              </w:rPr>
              <w:t>3-1</w:t>
            </w:r>
            <w:r>
              <w:rPr>
                <w:rFonts w:hint="eastAsia"/>
                <w:b/>
                <w:sz w:val="21"/>
                <w:szCs w:val="21"/>
                <w:lang w:val="en-US" w:eastAsia="zh-CN"/>
              </w:rPr>
              <w:t>3</w:t>
            </w:r>
            <w:r>
              <w:rPr>
                <w:rFonts w:hint="eastAsia"/>
                <w:b/>
                <w:sz w:val="21"/>
                <w:szCs w:val="21"/>
              </w:rPr>
              <w:t xml:space="preserve">  长江底泥历史监测结果</w:t>
            </w:r>
          </w:p>
          <w:tbl>
            <w:tblPr>
              <w:tblStyle w:val="44"/>
              <w:tblW w:w="0" w:type="auto"/>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1668"/>
              <w:gridCol w:w="1134"/>
              <w:gridCol w:w="832"/>
              <w:gridCol w:w="833"/>
              <w:gridCol w:w="833"/>
              <w:gridCol w:w="833"/>
              <w:gridCol w:w="832"/>
              <w:gridCol w:w="833"/>
              <w:gridCol w:w="833"/>
              <w:gridCol w:w="833"/>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blHeader/>
              </w:trPr>
              <w:tc>
                <w:tcPr>
                  <w:tcW w:w="1668" w:type="dxa"/>
                  <w:vMerge w:val="restart"/>
                  <w:vAlign w:val="center"/>
                </w:tcPr>
                <w:p>
                  <w:pPr>
                    <w:adjustRightInd w:val="0"/>
                    <w:snapToGrid w:val="0"/>
                    <w:spacing w:line="320" w:lineRule="exact"/>
                    <w:jc w:val="center"/>
                    <w:rPr>
                      <w:b/>
                      <w:sz w:val="21"/>
                      <w:szCs w:val="21"/>
                    </w:rPr>
                  </w:pPr>
                  <w:r>
                    <w:rPr>
                      <w:b/>
                      <w:sz w:val="21"/>
                      <w:szCs w:val="21"/>
                    </w:rPr>
                    <w:t>采样点位</w:t>
                  </w:r>
                </w:p>
              </w:tc>
              <w:tc>
                <w:tcPr>
                  <w:tcW w:w="1134" w:type="dxa"/>
                  <w:vMerge w:val="restart"/>
                  <w:vAlign w:val="center"/>
                </w:tcPr>
                <w:p>
                  <w:pPr>
                    <w:adjustRightInd w:val="0"/>
                    <w:snapToGrid w:val="0"/>
                    <w:spacing w:line="320" w:lineRule="exact"/>
                    <w:jc w:val="center"/>
                    <w:rPr>
                      <w:b/>
                      <w:sz w:val="21"/>
                      <w:szCs w:val="21"/>
                    </w:rPr>
                  </w:pPr>
                  <w:r>
                    <w:rPr>
                      <w:rFonts w:hint="eastAsia"/>
                      <w:b/>
                      <w:sz w:val="21"/>
                      <w:szCs w:val="21"/>
                    </w:rPr>
                    <w:t>取样时间</w:t>
                  </w:r>
                </w:p>
              </w:tc>
              <w:tc>
                <w:tcPr>
                  <w:tcW w:w="6662" w:type="dxa"/>
                  <w:gridSpan w:val="8"/>
                  <w:tcBorders>
                    <w:right w:val="nil"/>
                  </w:tcBorders>
                  <w:vAlign w:val="center"/>
                </w:tcPr>
                <w:p>
                  <w:pPr>
                    <w:spacing w:line="320" w:lineRule="exact"/>
                    <w:jc w:val="center"/>
                    <w:rPr>
                      <w:b/>
                      <w:sz w:val="21"/>
                      <w:szCs w:val="21"/>
                    </w:rPr>
                  </w:pPr>
                  <w:r>
                    <w:rPr>
                      <w:b/>
                      <w:sz w:val="21"/>
                      <w:szCs w:val="21"/>
                    </w:rPr>
                    <w:t>检测结果（mg/</w:t>
                  </w:r>
                  <w:r>
                    <w:rPr>
                      <w:rFonts w:hint="eastAsia"/>
                      <w:b/>
                      <w:sz w:val="21"/>
                      <w:szCs w:val="21"/>
                    </w:rPr>
                    <w:t>kg</w:t>
                  </w:r>
                  <w:r>
                    <w:rPr>
                      <w:b/>
                      <w:sz w:val="21"/>
                      <w:szCs w:val="21"/>
                    </w:rPr>
                    <w:t>）</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blHeader/>
              </w:trPr>
              <w:tc>
                <w:tcPr>
                  <w:tcW w:w="1668" w:type="dxa"/>
                  <w:vMerge w:val="continue"/>
                  <w:vAlign w:val="center"/>
                </w:tcPr>
                <w:p>
                  <w:pPr>
                    <w:adjustRightInd w:val="0"/>
                    <w:snapToGrid w:val="0"/>
                    <w:spacing w:line="320" w:lineRule="exact"/>
                    <w:jc w:val="center"/>
                    <w:rPr>
                      <w:b/>
                      <w:sz w:val="21"/>
                      <w:szCs w:val="21"/>
                    </w:rPr>
                  </w:pPr>
                </w:p>
              </w:tc>
              <w:tc>
                <w:tcPr>
                  <w:tcW w:w="1134" w:type="dxa"/>
                  <w:vMerge w:val="continue"/>
                  <w:vAlign w:val="center"/>
                </w:tcPr>
                <w:p>
                  <w:pPr>
                    <w:adjustRightInd w:val="0"/>
                    <w:snapToGrid w:val="0"/>
                    <w:spacing w:line="320" w:lineRule="exact"/>
                    <w:jc w:val="center"/>
                    <w:rPr>
                      <w:b/>
                      <w:sz w:val="21"/>
                      <w:szCs w:val="21"/>
                    </w:rPr>
                  </w:pPr>
                </w:p>
              </w:tc>
              <w:tc>
                <w:tcPr>
                  <w:tcW w:w="832" w:type="dxa"/>
                  <w:tcBorders>
                    <w:right w:val="single" w:color="auto" w:sz="4" w:space="0"/>
                  </w:tcBorders>
                  <w:vAlign w:val="center"/>
                </w:tcPr>
                <w:p>
                  <w:pPr>
                    <w:spacing w:line="320" w:lineRule="exact"/>
                    <w:jc w:val="center"/>
                    <w:rPr>
                      <w:b/>
                      <w:sz w:val="21"/>
                      <w:szCs w:val="21"/>
                    </w:rPr>
                  </w:pPr>
                  <w:r>
                    <w:rPr>
                      <w:rFonts w:hint="eastAsia"/>
                      <w:b/>
                      <w:sz w:val="21"/>
                      <w:szCs w:val="21"/>
                    </w:rPr>
                    <w:t>pH</w:t>
                  </w:r>
                </w:p>
              </w:tc>
              <w:tc>
                <w:tcPr>
                  <w:tcW w:w="833" w:type="dxa"/>
                  <w:tcBorders>
                    <w:left w:val="single" w:color="auto" w:sz="4" w:space="0"/>
                    <w:right w:val="single" w:color="auto" w:sz="4" w:space="0"/>
                  </w:tcBorders>
                  <w:vAlign w:val="center"/>
                </w:tcPr>
                <w:p>
                  <w:pPr>
                    <w:spacing w:line="320" w:lineRule="exact"/>
                    <w:jc w:val="center"/>
                    <w:rPr>
                      <w:b/>
                      <w:sz w:val="21"/>
                      <w:szCs w:val="21"/>
                    </w:rPr>
                  </w:pPr>
                  <w:r>
                    <w:rPr>
                      <w:rFonts w:hint="eastAsia"/>
                      <w:b/>
                      <w:sz w:val="21"/>
                      <w:szCs w:val="21"/>
                    </w:rPr>
                    <w:t>Pb</w:t>
                  </w:r>
                </w:p>
              </w:tc>
              <w:tc>
                <w:tcPr>
                  <w:tcW w:w="833" w:type="dxa"/>
                  <w:tcBorders>
                    <w:left w:val="single" w:color="auto" w:sz="4" w:space="0"/>
                    <w:right w:val="single" w:color="auto" w:sz="4" w:space="0"/>
                  </w:tcBorders>
                  <w:vAlign w:val="center"/>
                </w:tcPr>
                <w:p>
                  <w:pPr>
                    <w:spacing w:line="320" w:lineRule="exact"/>
                    <w:jc w:val="center"/>
                    <w:rPr>
                      <w:b/>
                      <w:sz w:val="21"/>
                      <w:szCs w:val="21"/>
                    </w:rPr>
                  </w:pPr>
                  <w:r>
                    <w:rPr>
                      <w:rFonts w:hint="eastAsia"/>
                      <w:b/>
                      <w:sz w:val="21"/>
                      <w:szCs w:val="21"/>
                    </w:rPr>
                    <w:t>As</w:t>
                  </w:r>
                </w:p>
              </w:tc>
              <w:tc>
                <w:tcPr>
                  <w:tcW w:w="833" w:type="dxa"/>
                  <w:tcBorders>
                    <w:left w:val="single" w:color="auto" w:sz="4" w:space="0"/>
                  </w:tcBorders>
                  <w:vAlign w:val="center"/>
                </w:tcPr>
                <w:p>
                  <w:pPr>
                    <w:spacing w:line="320" w:lineRule="exact"/>
                    <w:jc w:val="center"/>
                    <w:rPr>
                      <w:b/>
                      <w:sz w:val="21"/>
                      <w:szCs w:val="21"/>
                    </w:rPr>
                  </w:pPr>
                  <w:r>
                    <w:rPr>
                      <w:rFonts w:hint="eastAsia"/>
                      <w:b/>
                      <w:sz w:val="21"/>
                      <w:szCs w:val="21"/>
                    </w:rPr>
                    <w:t>Hg</w:t>
                  </w:r>
                </w:p>
              </w:tc>
              <w:tc>
                <w:tcPr>
                  <w:tcW w:w="832" w:type="dxa"/>
                  <w:vAlign w:val="center"/>
                </w:tcPr>
                <w:p>
                  <w:pPr>
                    <w:spacing w:line="320" w:lineRule="exact"/>
                    <w:jc w:val="center"/>
                    <w:rPr>
                      <w:b/>
                      <w:sz w:val="21"/>
                      <w:szCs w:val="21"/>
                    </w:rPr>
                  </w:pPr>
                  <w:r>
                    <w:rPr>
                      <w:rFonts w:hint="eastAsia"/>
                      <w:b/>
                      <w:sz w:val="21"/>
                      <w:szCs w:val="21"/>
                    </w:rPr>
                    <w:t>Cr</w:t>
                  </w:r>
                </w:p>
              </w:tc>
              <w:tc>
                <w:tcPr>
                  <w:tcW w:w="833" w:type="dxa"/>
                  <w:vAlign w:val="center"/>
                </w:tcPr>
                <w:p>
                  <w:pPr>
                    <w:spacing w:line="320" w:lineRule="exact"/>
                    <w:jc w:val="center"/>
                    <w:rPr>
                      <w:b/>
                      <w:spacing w:val="-10"/>
                      <w:sz w:val="21"/>
                      <w:szCs w:val="21"/>
                    </w:rPr>
                  </w:pPr>
                  <w:r>
                    <w:rPr>
                      <w:rFonts w:hint="eastAsia"/>
                      <w:b/>
                      <w:sz w:val="21"/>
                      <w:szCs w:val="21"/>
                    </w:rPr>
                    <w:t>Zn</w:t>
                  </w:r>
                </w:p>
              </w:tc>
              <w:tc>
                <w:tcPr>
                  <w:tcW w:w="833" w:type="dxa"/>
                  <w:vAlign w:val="center"/>
                </w:tcPr>
                <w:p>
                  <w:pPr>
                    <w:spacing w:line="320" w:lineRule="exact"/>
                    <w:jc w:val="center"/>
                    <w:rPr>
                      <w:b/>
                      <w:sz w:val="21"/>
                      <w:szCs w:val="21"/>
                    </w:rPr>
                  </w:pPr>
                  <w:r>
                    <w:rPr>
                      <w:rFonts w:hint="eastAsia"/>
                      <w:b/>
                      <w:sz w:val="21"/>
                      <w:szCs w:val="21"/>
                    </w:rPr>
                    <w:t>Cd</w:t>
                  </w:r>
                </w:p>
              </w:tc>
              <w:tc>
                <w:tcPr>
                  <w:tcW w:w="833" w:type="dxa"/>
                  <w:vAlign w:val="center"/>
                </w:tcPr>
                <w:p>
                  <w:pPr>
                    <w:spacing w:line="320" w:lineRule="exact"/>
                    <w:jc w:val="center"/>
                    <w:rPr>
                      <w:b/>
                      <w:sz w:val="21"/>
                      <w:szCs w:val="21"/>
                    </w:rPr>
                  </w:pPr>
                  <w:r>
                    <w:rPr>
                      <w:rFonts w:hint="eastAsia"/>
                      <w:b/>
                      <w:sz w:val="21"/>
                      <w:szCs w:val="21"/>
                    </w:rPr>
                    <w:t>Cu</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c>
                <w:tcPr>
                  <w:tcW w:w="1668" w:type="dxa"/>
                  <w:vAlign w:val="center"/>
                </w:tcPr>
                <w:p>
                  <w:pPr>
                    <w:spacing w:line="320" w:lineRule="exact"/>
                    <w:jc w:val="center"/>
                    <w:rPr>
                      <w:sz w:val="21"/>
                      <w:szCs w:val="21"/>
                    </w:rPr>
                  </w:pPr>
                  <w:r>
                    <w:rPr>
                      <w:rFonts w:hint="eastAsia" w:cs="宋体"/>
                      <w:kern w:val="13"/>
                      <w:sz w:val="21"/>
                      <w:szCs w:val="21"/>
                      <w:lang w:bidi="ar"/>
                    </w:rPr>
                    <w:t>潭子坑取水口</w:t>
                  </w:r>
                </w:p>
              </w:tc>
              <w:tc>
                <w:tcPr>
                  <w:tcW w:w="1134" w:type="dxa"/>
                  <w:vAlign w:val="center"/>
                </w:tcPr>
                <w:p>
                  <w:pPr>
                    <w:adjustRightInd w:val="0"/>
                    <w:snapToGrid w:val="0"/>
                    <w:spacing w:line="340" w:lineRule="exact"/>
                    <w:jc w:val="center"/>
                    <w:rPr>
                      <w:sz w:val="21"/>
                      <w:szCs w:val="21"/>
                    </w:rPr>
                  </w:pPr>
                  <w:r>
                    <w:rPr>
                      <w:rFonts w:hint="eastAsia"/>
                      <w:sz w:val="21"/>
                      <w:szCs w:val="21"/>
                    </w:rPr>
                    <w:t>2018.5.3</w:t>
                  </w:r>
                </w:p>
              </w:tc>
              <w:tc>
                <w:tcPr>
                  <w:tcW w:w="832" w:type="dxa"/>
                  <w:tcBorders>
                    <w:right w:val="single" w:color="auto" w:sz="4" w:space="0"/>
                  </w:tcBorders>
                  <w:vAlign w:val="center"/>
                </w:tcPr>
                <w:p>
                  <w:pPr>
                    <w:spacing w:line="340" w:lineRule="exact"/>
                    <w:jc w:val="center"/>
                    <w:textAlignment w:val="center"/>
                    <w:rPr>
                      <w:sz w:val="21"/>
                      <w:szCs w:val="21"/>
                    </w:rPr>
                  </w:pPr>
                  <w:r>
                    <w:rPr>
                      <w:rFonts w:hint="eastAsia"/>
                      <w:sz w:val="21"/>
                      <w:szCs w:val="21"/>
                    </w:rPr>
                    <w:t>7.62</w:t>
                  </w:r>
                </w:p>
              </w:tc>
              <w:tc>
                <w:tcPr>
                  <w:tcW w:w="833" w:type="dxa"/>
                  <w:tcBorders>
                    <w:left w:val="single" w:color="auto" w:sz="4" w:space="0"/>
                    <w:right w:val="single" w:color="auto" w:sz="4" w:space="0"/>
                  </w:tcBorders>
                  <w:vAlign w:val="center"/>
                </w:tcPr>
                <w:p>
                  <w:pPr>
                    <w:spacing w:line="340" w:lineRule="exact"/>
                    <w:jc w:val="center"/>
                    <w:textAlignment w:val="center"/>
                    <w:rPr>
                      <w:sz w:val="21"/>
                      <w:szCs w:val="21"/>
                    </w:rPr>
                  </w:pPr>
                  <w:r>
                    <w:rPr>
                      <w:rFonts w:hint="eastAsia"/>
                      <w:sz w:val="21"/>
                      <w:szCs w:val="21"/>
                    </w:rPr>
                    <w:t>11.99</w:t>
                  </w:r>
                </w:p>
              </w:tc>
              <w:tc>
                <w:tcPr>
                  <w:tcW w:w="833" w:type="dxa"/>
                  <w:tcBorders>
                    <w:left w:val="single" w:color="auto" w:sz="4" w:space="0"/>
                    <w:right w:val="single" w:color="auto" w:sz="4" w:space="0"/>
                  </w:tcBorders>
                  <w:vAlign w:val="center"/>
                </w:tcPr>
                <w:p>
                  <w:pPr>
                    <w:spacing w:line="340" w:lineRule="exact"/>
                    <w:jc w:val="center"/>
                    <w:textAlignment w:val="center"/>
                    <w:rPr>
                      <w:sz w:val="21"/>
                      <w:szCs w:val="21"/>
                    </w:rPr>
                  </w:pPr>
                  <w:r>
                    <w:rPr>
                      <w:rFonts w:hint="eastAsia"/>
                      <w:sz w:val="21"/>
                      <w:szCs w:val="21"/>
                    </w:rPr>
                    <w:t>4.93</w:t>
                  </w:r>
                </w:p>
              </w:tc>
              <w:tc>
                <w:tcPr>
                  <w:tcW w:w="833" w:type="dxa"/>
                  <w:tcBorders>
                    <w:left w:val="single" w:color="auto" w:sz="4" w:space="0"/>
                  </w:tcBorders>
                  <w:vAlign w:val="center"/>
                </w:tcPr>
                <w:p>
                  <w:pPr>
                    <w:spacing w:line="340" w:lineRule="exact"/>
                    <w:jc w:val="center"/>
                    <w:textAlignment w:val="center"/>
                    <w:rPr>
                      <w:sz w:val="21"/>
                      <w:szCs w:val="21"/>
                    </w:rPr>
                  </w:pPr>
                  <w:r>
                    <w:rPr>
                      <w:rFonts w:hint="eastAsia"/>
                      <w:sz w:val="21"/>
                      <w:szCs w:val="21"/>
                    </w:rPr>
                    <w:t>0.065</w:t>
                  </w:r>
                </w:p>
              </w:tc>
              <w:tc>
                <w:tcPr>
                  <w:tcW w:w="832" w:type="dxa"/>
                  <w:vAlign w:val="center"/>
                </w:tcPr>
                <w:p>
                  <w:pPr>
                    <w:spacing w:line="340" w:lineRule="exact"/>
                    <w:jc w:val="center"/>
                    <w:textAlignment w:val="center"/>
                    <w:rPr>
                      <w:sz w:val="21"/>
                      <w:szCs w:val="21"/>
                    </w:rPr>
                  </w:pPr>
                  <w:r>
                    <w:rPr>
                      <w:rFonts w:hint="eastAsia"/>
                      <w:sz w:val="21"/>
                      <w:szCs w:val="21"/>
                    </w:rPr>
                    <w:t>68</w:t>
                  </w:r>
                </w:p>
              </w:tc>
              <w:tc>
                <w:tcPr>
                  <w:tcW w:w="833" w:type="dxa"/>
                  <w:vAlign w:val="center"/>
                </w:tcPr>
                <w:p>
                  <w:pPr>
                    <w:spacing w:line="340" w:lineRule="exact"/>
                    <w:jc w:val="center"/>
                    <w:textAlignment w:val="center"/>
                    <w:rPr>
                      <w:sz w:val="21"/>
                      <w:szCs w:val="21"/>
                    </w:rPr>
                  </w:pPr>
                  <w:r>
                    <w:rPr>
                      <w:rFonts w:hint="eastAsia"/>
                      <w:sz w:val="21"/>
                      <w:szCs w:val="21"/>
                    </w:rPr>
                    <w:t>38.14</w:t>
                  </w:r>
                </w:p>
              </w:tc>
              <w:tc>
                <w:tcPr>
                  <w:tcW w:w="833" w:type="dxa"/>
                  <w:vAlign w:val="center"/>
                </w:tcPr>
                <w:p>
                  <w:pPr>
                    <w:spacing w:line="340" w:lineRule="exact"/>
                    <w:jc w:val="center"/>
                    <w:rPr>
                      <w:sz w:val="21"/>
                      <w:szCs w:val="21"/>
                    </w:rPr>
                  </w:pPr>
                  <w:r>
                    <w:rPr>
                      <w:rFonts w:hint="eastAsia"/>
                      <w:sz w:val="21"/>
                      <w:szCs w:val="21"/>
                    </w:rPr>
                    <w:t>0.154</w:t>
                  </w:r>
                </w:p>
              </w:tc>
              <w:tc>
                <w:tcPr>
                  <w:tcW w:w="833" w:type="dxa"/>
                  <w:vAlign w:val="center"/>
                </w:tcPr>
                <w:p>
                  <w:pPr>
                    <w:spacing w:line="320" w:lineRule="exact"/>
                    <w:jc w:val="center"/>
                    <w:textAlignment w:val="center"/>
                    <w:rPr>
                      <w:sz w:val="21"/>
                      <w:szCs w:val="21"/>
                    </w:rPr>
                  </w:pPr>
                  <w:r>
                    <w:rPr>
                      <w:rFonts w:hint="eastAsia"/>
                      <w:sz w:val="21"/>
                      <w:szCs w:val="21"/>
                    </w:rPr>
                    <w:t>20.195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c>
                <w:tcPr>
                  <w:tcW w:w="2802" w:type="dxa"/>
                  <w:gridSpan w:val="2"/>
                  <w:vAlign w:val="center"/>
                </w:tcPr>
                <w:p>
                  <w:pPr>
                    <w:adjustRightInd w:val="0"/>
                    <w:snapToGrid w:val="0"/>
                    <w:spacing w:line="340" w:lineRule="exact"/>
                    <w:jc w:val="center"/>
                    <w:rPr>
                      <w:sz w:val="21"/>
                      <w:szCs w:val="21"/>
                    </w:rPr>
                  </w:pPr>
                  <w:r>
                    <w:rPr>
                      <w:rFonts w:hint="eastAsia"/>
                      <w:sz w:val="21"/>
                      <w:szCs w:val="21"/>
                    </w:rPr>
                    <w:t>标准值</w:t>
                  </w:r>
                </w:p>
              </w:tc>
              <w:tc>
                <w:tcPr>
                  <w:tcW w:w="832" w:type="dxa"/>
                  <w:tcBorders>
                    <w:right w:val="single" w:color="auto" w:sz="4" w:space="0"/>
                  </w:tcBorders>
                  <w:vAlign w:val="center"/>
                </w:tcPr>
                <w:p>
                  <w:pPr>
                    <w:spacing w:line="340" w:lineRule="exact"/>
                    <w:jc w:val="center"/>
                    <w:textAlignment w:val="center"/>
                    <w:rPr>
                      <w:sz w:val="21"/>
                      <w:szCs w:val="21"/>
                    </w:rPr>
                  </w:pPr>
                  <w:r>
                    <w:rPr>
                      <w:rFonts w:hint="eastAsia" w:ascii="宋体" w:hAnsi="宋体"/>
                      <w:sz w:val="21"/>
                      <w:szCs w:val="21"/>
                    </w:rPr>
                    <w:t>&gt;</w:t>
                  </w:r>
                  <w:r>
                    <w:rPr>
                      <w:rFonts w:hint="eastAsia"/>
                      <w:sz w:val="21"/>
                      <w:szCs w:val="21"/>
                    </w:rPr>
                    <w:t>7.5</w:t>
                  </w:r>
                </w:p>
              </w:tc>
              <w:tc>
                <w:tcPr>
                  <w:tcW w:w="833" w:type="dxa"/>
                  <w:tcBorders>
                    <w:left w:val="single" w:color="auto" w:sz="4" w:space="0"/>
                    <w:right w:val="single" w:color="auto" w:sz="4" w:space="0"/>
                  </w:tcBorders>
                  <w:vAlign w:val="center"/>
                </w:tcPr>
                <w:p>
                  <w:pPr>
                    <w:spacing w:line="340" w:lineRule="exact"/>
                    <w:jc w:val="center"/>
                    <w:textAlignment w:val="center"/>
                    <w:rPr>
                      <w:sz w:val="21"/>
                      <w:szCs w:val="21"/>
                    </w:rPr>
                  </w:pPr>
                  <w:r>
                    <w:rPr>
                      <w:rFonts w:hint="eastAsia"/>
                      <w:sz w:val="21"/>
                      <w:szCs w:val="21"/>
                    </w:rPr>
                    <w:t>170</w:t>
                  </w:r>
                </w:p>
              </w:tc>
              <w:tc>
                <w:tcPr>
                  <w:tcW w:w="833" w:type="dxa"/>
                  <w:tcBorders>
                    <w:left w:val="single" w:color="auto" w:sz="4" w:space="0"/>
                    <w:right w:val="single" w:color="auto" w:sz="4" w:space="0"/>
                  </w:tcBorders>
                  <w:vAlign w:val="center"/>
                </w:tcPr>
                <w:p>
                  <w:pPr>
                    <w:spacing w:line="340" w:lineRule="exact"/>
                    <w:jc w:val="center"/>
                    <w:textAlignment w:val="center"/>
                    <w:rPr>
                      <w:sz w:val="21"/>
                      <w:szCs w:val="21"/>
                    </w:rPr>
                  </w:pPr>
                  <w:r>
                    <w:rPr>
                      <w:rFonts w:hint="eastAsia"/>
                      <w:sz w:val="21"/>
                      <w:szCs w:val="21"/>
                    </w:rPr>
                    <w:t>25</w:t>
                  </w:r>
                </w:p>
              </w:tc>
              <w:tc>
                <w:tcPr>
                  <w:tcW w:w="833" w:type="dxa"/>
                  <w:tcBorders>
                    <w:left w:val="single" w:color="auto" w:sz="4" w:space="0"/>
                  </w:tcBorders>
                  <w:vAlign w:val="center"/>
                </w:tcPr>
                <w:p>
                  <w:pPr>
                    <w:spacing w:line="340" w:lineRule="exact"/>
                    <w:jc w:val="center"/>
                    <w:textAlignment w:val="center"/>
                    <w:rPr>
                      <w:sz w:val="21"/>
                      <w:szCs w:val="21"/>
                    </w:rPr>
                  </w:pPr>
                  <w:r>
                    <w:rPr>
                      <w:rFonts w:hint="eastAsia"/>
                      <w:sz w:val="21"/>
                      <w:szCs w:val="21"/>
                    </w:rPr>
                    <w:t>3.4</w:t>
                  </w:r>
                </w:p>
              </w:tc>
              <w:tc>
                <w:tcPr>
                  <w:tcW w:w="832" w:type="dxa"/>
                  <w:vAlign w:val="center"/>
                </w:tcPr>
                <w:p>
                  <w:pPr>
                    <w:spacing w:line="340" w:lineRule="exact"/>
                    <w:jc w:val="center"/>
                    <w:textAlignment w:val="center"/>
                    <w:rPr>
                      <w:sz w:val="21"/>
                      <w:szCs w:val="21"/>
                    </w:rPr>
                  </w:pPr>
                  <w:r>
                    <w:rPr>
                      <w:rFonts w:hint="eastAsia"/>
                      <w:sz w:val="21"/>
                      <w:szCs w:val="21"/>
                    </w:rPr>
                    <w:t>250</w:t>
                  </w:r>
                </w:p>
              </w:tc>
              <w:tc>
                <w:tcPr>
                  <w:tcW w:w="833" w:type="dxa"/>
                  <w:vAlign w:val="center"/>
                </w:tcPr>
                <w:p>
                  <w:pPr>
                    <w:spacing w:line="340" w:lineRule="exact"/>
                    <w:jc w:val="center"/>
                    <w:textAlignment w:val="center"/>
                    <w:rPr>
                      <w:sz w:val="21"/>
                      <w:szCs w:val="21"/>
                    </w:rPr>
                  </w:pPr>
                  <w:r>
                    <w:rPr>
                      <w:rFonts w:hint="eastAsia"/>
                      <w:sz w:val="21"/>
                      <w:szCs w:val="21"/>
                    </w:rPr>
                    <w:t>300</w:t>
                  </w:r>
                </w:p>
              </w:tc>
              <w:tc>
                <w:tcPr>
                  <w:tcW w:w="833" w:type="dxa"/>
                  <w:vAlign w:val="center"/>
                </w:tcPr>
                <w:p>
                  <w:pPr>
                    <w:spacing w:line="340" w:lineRule="exact"/>
                    <w:jc w:val="center"/>
                    <w:textAlignment w:val="center"/>
                    <w:rPr>
                      <w:sz w:val="21"/>
                      <w:szCs w:val="21"/>
                    </w:rPr>
                  </w:pPr>
                  <w:r>
                    <w:rPr>
                      <w:rFonts w:hint="eastAsia"/>
                      <w:sz w:val="21"/>
                      <w:szCs w:val="21"/>
                    </w:rPr>
                    <w:t>0.6</w:t>
                  </w:r>
                </w:p>
              </w:tc>
              <w:tc>
                <w:tcPr>
                  <w:tcW w:w="833" w:type="dxa"/>
                  <w:vAlign w:val="center"/>
                </w:tcPr>
                <w:p>
                  <w:pPr>
                    <w:spacing w:line="320" w:lineRule="exact"/>
                    <w:jc w:val="center"/>
                    <w:textAlignment w:val="center"/>
                    <w:rPr>
                      <w:sz w:val="21"/>
                      <w:szCs w:val="21"/>
                    </w:rPr>
                  </w:pPr>
                  <w:r>
                    <w:rPr>
                      <w:rFonts w:hint="eastAsia"/>
                      <w:sz w:val="21"/>
                      <w:szCs w:val="21"/>
                    </w:rPr>
                    <w:t>100</w:t>
                  </w:r>
                </w:p>
              </w:tc>
            </w:tr>
          </w:tbl>
          <w:p>
            <w:pPr>
              <w:spacing w:line="480" w:lineRule="exact"/>
              <w:ind w:firstLine="480" w:firstLineChars="200"/>
            </w:pPr>
            <w:r>
              <w:rPr>
                <w:rFonts w:hint="eastAsia"/>
              </w:rPr>
              <w:t>监测结果表明：谭子坑取水口长江底泥中的各监测因子均符合《土壤环境质量 农用地土壤污染风险管控标准（试行）》（GB 15618-2018）标准要求。</w:t>
            </w:r>
          </w:p>
          <w:p>
            <w:pPr>
              <w:spacing w:before="163" w:beforeLines="50" w:line="360" w:lineRule="auto"/>
              <w:outlineLvl w:val="1"/>
              <w:rPr>
                <w:b/>
                <w:szCs w:val="28"/>
              </w:rPr>
            </w:pPr>
            <w:bookmarkStart w:id="13" w:name="_Toc15457"/>
            <w:r>
              <w:rPr>
                <w:b/>
                <w:szCs w:val="28"/>
              </w:rPr>
              <w:t>6</w:t>
            </w:r>
            <w:r>
              <w:rPr>
                <w:rFonts w:hint="eastAsia"/>
                <w:b/>
                <w:szCs w:val="28"/>
              </w:rPr>
              <w:t>、生态环境现状调查与评价</w:t>
            </w:r>
            <w:bookmarkEnd w:id="13"/>
          </w:p>
          <w:p>
            <w:pPr>
              <w:pStyle w:val="6"/>
              <w:spacing w:before="100" w:after="100" w:line="440" w:lineRule="exact"/>
              <w:rPr>
                <w:sz w:val="24"/>
                <w:szCs w:val="24"/>
              </w:rPr>
            </w:pPr>
            <w:r>
              <w:rPr>
                <w:sz w:val="24"/>
                <w:szCs w:val="24"/>
              </w:rPr>
              <w:t>6.</w:t>
            </w:r>
            <w:r>
              <w:rPr>
                <w:rFonts w:hint="eastAsia"/>
                <w:sz w:val="24"/>
                <w:szCs w:val="24"/>
                <w:lang w:val="en-US" w:eastAsia="zh-CN"/>
              </w:rPr>
              <w:t>1</w:t>
            </w:r>
            <w:r>
              <w:rPr>
                <w:rFonts w:hint="eastAsia"/>
                <w:sz w:val="24"/>
                <w:szCs w:val="24"/>
              </w:rPr>
              <w:t xml:space="preserve"> 生态系统现状调查</w:t>
            </w:r>
          </w:p>
          <w:p>
            <w:pPr>
              <w:spacing w:line="480" w:lineRule="exact"/>
              <w:ind w:firstLine="360" w:firstLineChars="150"/>
            </w:pPr>
            <w:r>
              <w:rPr>
                <w:rStyle w:val="253"/>
                <w:rFonts w:hint="default" w:ascii="Times New Roman" w:hAnsi="宋体" w:eastAsia="宋体"/>
              </w:rPr>
              <w:t>项目依托取水工程、原有输水管线、新铺设输水管线，工程涉及湖南东洞庭湖国家级自然保护区实验区内、湖南东洞庭湖湖泊湿地保护区范围内，项目依托取水泵站，洪水港取水泵站位于长江监利段四大家鱼国家级水产种质资源保护区的实验</w:t>
            </w:r>
            <w:r>
              <w:t>区</w:t>
            </w:r>
            <w:r>
              <w:rPr>
                <w:rFonts w:hint="eastAsia"/>
              </w:rPr>
              <w:t>，距上游核心区下边界14.471km，距下游核心区上边界8.324km</w:t>
            </w:r>
            <w:r>
              <w:t>。</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评价范围内主要生态系统类型为水体与湿地生态系统，包括洞庭湖、长江水域及沿岸滩地等，主要生态功能是保护水体与湿地生态系统内生物的多样性。水体以长江及洞庭湖水生生态系统为主，包含浮游植物、浮游动物、底栖动物、鱼类等生物，其中包含江豚、胭脂鱼、鳗鲡、中华绒螯蟹等珍稀水生动物。</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湿地生态系统植被类型以水生维管束植物和河滩草地为主，此类型生境中湿地动物较多，两栖和傍水禽的爬行类、涉禽、游禽鸟类种类和数量较多。</w:t>
            </w:r>
          </w:p>
          <w:p>
            <w:pPr>
              <w:pStyle w:val="6"/>
              <w:spacing w:before="100" w:after="100" w:line="440" w:lineRule="exact"/>
              <w:rPr>
                <w:sz w:val="24"/>
                <w:szCs w:val="24"/>
              </w:rPr>
            </w:pPr>
            <w:r>
              <w:rPr>
                <w:sz w:val="24"/>
                <w:szCs w:val="24"/>
              </w:rPr>
              <w:t>6.</w:t>
            </w:r>
            <w:r>
              <w:rPr>
                <w:rFonts w:hint="eastAsia"/>
                <w:sz w:val="24"/>
                <w:szCs w:val="24"/>
                <w:lang w:val="en-US" w:eastAsia="zh-CN"/>
              </w:rPr>
              <w:t>1</w:t>
            </w:r>
            <w:r>
              <w:rPr>
                <w:sz w:val="24"/>
                <w:szCs w:val="24"/>
              </w:rPr>
              <w:t>.1</w:t>
            </w:r>
            <w:r>
              <w:rPr>
                <w:rFonts w:hint="eastAsia"/>
                <w:sz w:val="24"/>
                <w:szCs w:val="24"/>
              </w:rPr>
              <w:t xml:space="preserve"> 植被及植物多样性调查</w:t>
            </w:r>
          </w:p>
          <w:p>
            <w:pPr>
              <w:pStyle w:val="6"/>
              <w:spacing w:before="100" w:after="100" w:line="440" w:lineRule="exact"/>
              <w:rPr>
                <w:rStyle w:val="253"/>
                <w:rFonts w:hint="default" w:ascii="Times New Roman" w:eastAsia="宋体"/>
              </w:rPr>
            </w:pPr>
            <w:r>
              <w:rPr>
                <w:rStyle w:val="253"/>
                <w:rFonts w:hint="default" w:ascii="Times New Roman" w:eastAsia="宋体"/>
              </w:rPr>
              <w:t>6.</w:t>
            </w:r>
            <w:r>
              <w:rPr>
                <w:rStyle w:val="253"/>
                <w:rFonts w:hint="eastAsia"/>
                <w:lang w:val="en-US" w:eastAsia="zh-CN"/>
              </w:rPr>
              <w:t>1</w:t>
            </w:r>
            <w:r>
              <w:rPr>
                <w:rStyle w:val="253"/>
                <w:rFonts w:hint="default" w:ascii="Times New Roman" w:eastAsia="宋体"/>
              </w:rPr>
              <w:t>.1.1 调查区植物种类</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湖南东洞庭湖自然保护区内有维管束植物169科、541属、865种，其中自然保护区的国家重点保护野生植物，仅有樟树（Cinnamomum comphora）、金荞麦（Fagopyrum dibotrys）、野大豆（Glycine soja）、中华结缕草（Zoysia sinica）4种，都为Ⅱ级。樟树、野大豆、金荞麦、中华结缕草均为当地区域常见种。</w:t>
            </w:r>
          </w:p>
          <w:p>
            <w:pPr>
              <w:spacing w:line="360" w:lineRule="auto"/>
              <w:ind w:firstLine="360" w:firstLineChars="150"/>
              <w:rPr>
                <w:rStyle w:val="253"/>
                <w:rFonts w:hint="default" w:ascii="Times New Roman" w:hAnsi="宋体" w:eastAsia="宋体"/>
              </w:rPr>
            </w:pPr>
            <w:r>
              <w:rPr>
                <w:rStyle w:val="253"/>
                <w:rFonts w:hint="default" w:ascii="Times New Roman" w:hAnsi="宋体" w:eastAsia="宋体"/>
              </w:rPr>
              <w:t>区域约有蕨类植物9科11属13种、祼子植物2科3属4种、被子植物86科302属372种。蔷薇科、菊科、 唇形科、禾本科、莎草科的植物种类在调查区的数量占优，其余各科均仅含少数物种。表明调查区植物类群分布具有一定的典型性。从主要物种分布类型来看，建群植物和优势植物中，旱中生和中生占较大比重。中生类型主要作为群落的伴生种，或者构成杂草群落，而自然植被建群种和优势种多由典型的旱中生和中生植物组成。</w:t>
            </w:r>
          </w:p>
          <w:p>
            <w:pPr>
              <w:spacing w:line="480" w:lineRule="exact"/>
              <w:ind w:firstLine="360" w:firstLineChars="150"/>
              <w:rPr>
                <w:rStyle w:val="253"/>
                <w:rFonts w:hint="default" w:ascii="Times New Roman" w:hAnsi="宋体" w:eastAsia="宋体"/>
                <w:b/>
              </w:rPr>
            </w:pPr>
            <w:r>
              <w:rPr>
                <w:rFonts w:hint="eastAsia"/>
                <w:lang w:val="zh-CN"/>
              </w:rPr>
              <w:t>根据路线踏勘，项目评价范围内乔木植物群落类型以樟树林为主；野燕麦</w:t>
            </w:r>
            <w:r>
              <w:rPr>
                <w:lang w:val="zh-CN"/>
              </w:rPr>
              <w:t>草丛</w:t>
            </w:r>
            <w:r>
              <w:rPr>
                <w:rFonts w:hint="eastAsia"/>
                <w:lang w:val="zh-CN"/>
              </w:rPr>
              <w:t>和益母草草丛</w:t>
            </w:r>
            <w:r>
              <w:rPr>
                <w:lang w:val="zh-CN"/>
              </w:rPr>
              <w:t>主要分布在</w:t>
            </w:r>
            <w:r>
              <w:rPr>
                <w:rFonts w:hint="eastAsia"/>
              </w:rPr>
              <w:t>农田田埂</w:t>
            </w:r>
            <w:r>
              <w:rPr>
                <w:rFonts w:hint="eastAsia"/>
                <w:lang w:val="zh-CN"/>
              </w:rPr>
              <w:t>，狗尾草草丛</w:t>
            </w:r>
            <w:r>
              <w:rPr>
                <w:lang w:val="zh-CN"/>
              </w:rPr>
              <w:t>主要分布在</w:t>
            </w:r>
            <w:r>
              <w:rPr>
                <w:rFonts w:hint="eastAsia"/>
                <w:lang w:val="zh-CN"/>
              </w:rPr>
              <w:t>周边荒草。农作物和园林绿化</w:t>
            </w:r>
            <w:r>
              <w:rPr>
                <w:rFonts w:hint="eastAsia"/>
              </w:rPr>
              <w:t>植被区内分布广泛。本工程周边以农业、城市和交通混合型生态系统为典型特征，长期以来受人类活动的影响强烈，项目评价范围内少有天然林的植被群落。在项目沿线区植被与物种多样性一般，均为常见种，除樟树为国家二级保护植物外，无珍惜濒危植物。</w:t>
            </w:r>
          </w:p>
          <w:p>
            <w:pPr>
              <w:pStyle w:val="6"/>
              <w:spacing w:before="100" w:after="100" w:line="440" w:lineRule="exact"/>
              <w:rPr>
                <w:sz w:val="24"/>
                <w:szCs w:val="24"/>
              </w:rPr>
            </w:pPr>
            <w:bookmarkStart w:id="14" w:name="_Toc504383165"/>
            <w:r>
              <w:rPr>
                <w:sz w:val="24"/>
                <w:szCs w:val="24"/>
              </w:rPr>
              <w:t>6.</w:t>
            </w:r>
            <w:r>
              <w:rPr>
                <w:rFonts w:hint="eastAsia"/>
                <w:sz w:val="24"/>
                <w:szCs w:val="24"/>
                <w:lang w:val="en-US" w:eastAsia="zh-CN"/>
              </w:rPr>
              <w:t>1</w:t>
            </w:r>
            <w:r>
              <w:rPr>
                <w:sz w:val="24"/>
                <w:szCs w:val="24"/>
              </w:rPr>
              <w:t>.</w:t>
            </w:r>
            <w:r>
              <w:rPr>
                <w:rFonts w:hint="eastAsia"/>
                <w:sz w:val="24"/>
                <w:szCs w:val="24"/>
                <w:lang w:val="en-US" w:eastAsia="zh-CN"/>
              </w:rPr>
              <w:t>2</w:t>
            </w:r>
            <w:r>
              <w:rPr>
                <w:sz w:val="24"/>
                <w:szCs w:val="24"/>
              </w:rPr>
              <w:t xml:space="preserve"> </w:t>
            </w:r>
            <w:r>
              <w:rPr>
                <w:rFonts w:hint="eastAsia"/>
                <w:sz w:val="24"/>
                <w:szCs w:val="24"/>
              </w:rPr>
              <w:t>动物多样性调查</w:t>
            </w:r>
            <w:bookmarkEnd w:id="14"/>
          </w:p>
          <w:p>
            <w:pPr>
              <w:spacing w:line="480" w:lineRule="exact"/>
              <w:ind w:firstLine="361" w:firstLineChars="150"/>
              <w:rPr>
                <w:rStyle w:val="253"/>
                <w:rFonts w:hint="default" w:ascii="Times New Roman" w:hAnsi="宋体" w:eastAsia="宋体"/>
                <w:b/>
              </w:rPr>
            </w:pPr>
            <w:r>
              <w:rPr>
                <w:rStyle w:val="253"/>
                <w:rFonts w:hint="default" w:ascii="Times New Roman" w:hAnsi="宋体" w:eastAsia="宋体"/>
                <w:b/>
              </w:rPr>
              <w:t>6.</w:t>
            </w:r>
            <w:r>
              <w:rPr>
                <w:rStyle w:val="253"/>
                <w:rFonts w:hint="eastAsia" w:hAnsi="宋体"/>
                <w:b/>
                <w:lang w:val="en-US" w:eastAsia="zh-CN"/>
              </w:rPr>
              <w:t>1</w:t>
            </w:r>
            <w:r>
              <w:rPr>
                <w:rStyle w:val="253"/>
                <w:rFonts w:hint="default" w:ascii="Times New Roman" w:hAnsi="宋体" w:eastAsia="宋体"/>
                <w:b/>
              </w:rPr>
              <w:t>.</w:t>
            </w:r>
            <w:r>
              <w:rPr>
                <w:rStyle w:val="253"/>
                <w:rFonts w:hint="eastAsia" w:hAnsi="宋体"/>
                <w:b/>
                <w:lang w:val="en-US" w:eastAsia="zh-CN"/>
              </w:rPr>
              <w:t>2</w:t>
            </w:r>
            <w:r>
              <w:rPr>
                <w:rStyle w:val="253"/>
                <w:rFonts w:hint="default" w:ascii="Times New Roman" w:hAnsi="宋体" w:eastAsia="宋体"/>
                <w:b/>
              </w:rPr>
              <w:t>.1 兽类</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东洞庭湖国家级自然保护区内现有哺乳动物7目14科33种，其中有国家一、二级保护物种有6种，濒危级的中国珍稀保护动物有6种，如：江豚、麋鹿等。</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经实地调查和查阅科考资料，评价区现已记录哺乳动物10种，隶属5目7科，仅占湖南省108种哺乳动物的9.26%。其中食虫目1科1种；翼手目2科2种；兔形目1科1种；啮齿目2科6种；食肉目1科1种。国家“三有”动物有华南兔（Lepus sinensis）和黄鼬（Mustela sibiria）2种。</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评价区10种哺乳动物中，东洋界物种有5种，占项目评价区哺乳动物物种数的50%；广布种有4种，占哺乳动物物种数的40%；古北界物种有田鼠（Microtus fortis）1种。这表明评价区内的哺乳动物以东洋界物种为主；如华南兔（Lepus s. sinensis）、黄胸鼠 （R. .flavipectus）、东方蝙蝠（Vespertillio superans）等为典型的东洋界种类，反映了兽类区系的典型性，这与评价区野生动物区系属东洋界华中区的东部丘陵平原省的固有特征一致。区内兽类大多为东洋界广布种（分布于华中区、华南区和西南区）或华中区和华南区两区共有种。黄鼬（Mustela sibiria）、小家鼠（Mus musculus）、褐家鼠（Rattus norvegicus）和黑线姬鼠（Apodemus agrarius），共4种广布种能广泛分布。</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项目区域地形平坦，因多处低地或水体，不适宜中大型哺乳动物栖居。因此，本区域的哺乳动物群落除啮齿目部分类型、翼手目中的人类伴随物种外，总体个体数量稀少，资源价值较小，其生态服务功能有限。</w:t>
            </w:r>
          </w:p>
          <w:p>
            <w:pPr>
              <w:spacing w:line="480" w:lineRule="exact"/>
              <w:ind w:firstLine="361" w:firstLineChars="150"/>
              <w:rPr>
                <w:rStyle w:val="253"/>
                <w:rFonts w:hint="default" w:ascii="Times New Roman" w:hAnsi="宋体" w:eastAsia="宋体"/>
                <w:b/>
              </w:rPr>
            </w:pPr>
            <w:r>
              <w:rPr>
                <w:rStyle w:val="253"/>
                <w:rFonts w:hint="default" w:ascii="Times New Roman" w:hAnsi="宋体" w:eastAsia="宋体"/>
                <w:b/>
              </w:rPr>
              <w:t>6.</w:t>
            </w:r>
            <w:r>
              <w:rPr>
                <w:rStyle w:val="253"/>
                <w:rFonts w:hint="eastAsia" w:hAnsi="宋体"/>
                <w:b/>
                <w:lang w:val="en-US" w:eastAsia="zh-CN"/>
              </w:rPr>
              <w:t>1</w:t>
            </w:r>
            <w:r>
              <w:rPr>
                <w:rStyle w:val="253"/>
                <w:rFonts w:hint="default" w:ascii="Times New Roman" w:hAnsi="宋体" w:eastAsia="宋体"/>
                <w:b/>
              </w:rPr>
              <w:t>.</w:t>
            </w:r>
            <w:r>
              <w:rPr>
                <w:rStyle w:val="253"/>
                <w:rFonts w:hint="eastAsia" w:hAnsi="宋体"/>
                <w:b/>
                <w:lang w:val="en-US" w:eastAsia="zh-CN"/>
              </w:rPr>
              <w:t>2</w:t>
            </w:r>
            <w:r>
              <w:rPr>
                <w:rStyle w:val="253"/>
                <w:rFonts w:hint="default" w:ascii="Times New Roman" w:hAnsi="宋体" w:eastAsia="宋体"/>
                <w:b/>
              </w:rPr>
              <w:t>.2 爬行类</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东洞庭湖国家级自然保护区内现有爬行动物3目5科25种，其中有国际贸易公约附录2的保护物种1种，中国濒危动物红皮书中的易危动物7种，值得关注的动物2种，有21种系湖南省的地方重点保护物种。</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经实地调查和查阅科考资料，评价区现已记录爬行动物11种，仅占湖南省99种的11.1%，隶属2目5科。其中蜥蜴目3科4种；蛇目2科7种。蛇类中游蛇科6种、蝰蛇科1种。爬行类所有种均属国家“三有”动物名录。</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评价区在动物地理区划上属东洋界华中区东部丘陵平原省。11种爬行动物中，东洋界共3种，其中东洋界广布种（分布于华中区、华南区和西南区的共有种）共有3种；华中区与华南区共有种2种；无典型华中区物种，无典型华南区物种分布。广布种5种；古北界物种有中国石龙子（Eumeces chinensis）和北草蜥 （Takydromus septentrionalis）2种。由此可见，评价区爬行动物的群落格局反映了本区域动物地理区划特征。整个爬行动物区系与两栖动物近似，同时因爬行动物的扩散力相对较强，与华南地区爬行类物种相互渗透的特点相对明晰。</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整个评价区爬行类11种中，蛇类7种，是其中各种景观的重要组成部分，能有效的控制有害生物的猖獗。因地形地貌的关系，生境相对简单，乔灌木覆盖率不高，且受人为强烈扰动的影响，整个爬行动物群落中除蜥蜴、石龙子类外，各物种种群数偏低，生态服务功能受到一定影响。</w:t>
            </w:r>
          </w:p>
          <w:p>
            <w:pPr>
              <w:spacing w:line="480" w:lineRule="exact"/>
              <w:ind w:firstLine="361" w:firstLineChars="150"/>
              <w:rPr>
                <w:rStyle w:val="253"/>
                <w:rFonts w:hint="default" w:ascii="Times New Roman" w:hAnsi="宋体" w:eastAsia="宋体"/>
                <w:b/>
              </w:rPr>
            </w:pPr>
            <w:r>
              <w:rPr>
                <w:rStyle w:val="253"/>
                <w:rFonts w:hint="default" w:ascii="Times New Roman" w:hAnsi="宋体" w:eastAsia="宋体"/>
                <w:b/>
              </w:rPr>
              <w:t>6.</w:t>
            </w:r>
            <w:r>
              <w:rPr>
                <w:rStyle w:val="253"/>
                <w:rFonts w:hint="eastAsia" w:hAnsi="宋体"/>
                <w:b/>
                <w:lang w:val="en-US" w:eastAsia="zh-CN"/>
              </w:rPr>
              <w:t>1</w:t>
            </w:r>
            <w:r>
              <w:rPr>
                <w:rStyle w:val="253"/>
                <w:rFonts w:hint="default" w:ascii="Times New Roman" w:hAnsi="宋体" w:eastAsia="宋体"/>
                <w:b/>
              </w:rPr>
              <w:t>.</w:t>
            </w:r>
            <w:r>
              <w:rPr>
                <w:rStyle w:val="253"/>
                <w:rFonts w:hint="eastAsia" w:hAnsi="宋体"/>
                <w:b/>
                <w:lang w:val="en-US" w:eastAsia="zh-CN"/>
              </w:rPr>
              <w:t>2</w:t>
            </w:r>
            <w:r>
              <w:rPr>
                <w:rStyle w:val="253"/>
                <w:rFonts w:hint="default" w:ascii="Times New Roman" w:hAnsi="宋体" w:eastAsia="宋体"/>
                <w:b/>
              </w:rPr>
              <w:t>.3 两栖类</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东洞庭湖国家级自然保护区内现有两栖动物2目5科11种，其中现存的物种中有国家濒危物种虎纹蛙，该物种是国家二级保护物种，同时也是国际贸易公约的附录2保护物种。</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经实地调查和查阅科考资料， 评价区现已记录两栖动物8种，隶属2目5科，占整个湖南省已发现的66种两栖动物的12.12%。8个物种均属国家“三有”动物名录。</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两栖动物的胚胎发育需在水中进行，扩散能力较差，活动范围不大。皮肤具渗透性而不能在干燥环境中长期生活，其区系组成相对稳定。故两栖动物的区系组成最能反映出某地区动物地理区划特征。</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现已记录的8种两栖类中，东洋界种类有5种，占两栖类总物种数的62.5%；广布种有3种，占湖南省两栖类广布种（3种）的100%；无古北界物种。东洋界种类中，华南区与华中区共有种2种，无典型华南区和华中区物种。表明评价区两栖动物以东洋界地带性明显，因地形和植被的关系，不能满足对生境要求特殊的物种的栖息条件。反映了其两栖动物区系具典型低地湖泊水网环境的特征，适应丰富水热环境下的华中区和华南区共有物种占一定比重。</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整个评价区两栖动物8种中，均为无尾两栖类，构成了两栖动物群落的绝对优势类群。两栖动物是生态系统中物质流动和能量流转的重要环节，它们也控制了有害生物（害虫）的猖獗，自身也成为捕食者的猎物。也因地形地貌的关系，海拔落差小，生境相对简单，且受人为强烈扰动的影响，整个两栖动物群落中仅泽陆蛙（Rana limnocharis）等中小型个体数量庞大，其他物种部分虽习见但种群数不大，且生态服务价值没有得到有效发挥，同时也与居民过度捕捉蛙、蛇的陋习密切相关。</w:t>
            </w:r>
          </w:p>
          <w:p>
            <w:pPr>
              <w:spacing w:line="480" w:lineRule="exact"/>
              <w:ind w:firstLine="361" w:firstLineChars="150"/>
              <w:rPr>
                <w:rStyle w:val="253"/>
                <w:rFonts w:hint="default" w:ascii="Times New Roman" w:hAnsi="宋体" w:eastAsia="宋体"/>
                <w:b/>
              </w:rPr>
            </w:pPr>
            <w:r>
              <w:rPr>
                <w:rStyle w:val="253"/>
                <w:rFonts w:hint="default" w:ascii="Times New Roman" w:hAnsi="宋体" w:eastAsia="宋体"/>
                <w:b/>
              </w:rPr>
              <w:t>6.</w:t>
            </w:r>
            <w:r>
              <w:rPr>
                <w:rStyle w:val="253"/>
                <w:rFonts w:hint="eastAsia" w:hAnsi="宋体"/>
                <w:b/>
                <w:lang w:val="en-US" w:eastAsia="zh-CN"/>
              </w:rPr>
              <w:t>1</w:t>
            </w:r>
            <w:r>
              <w:rPr>
                <w:rStyle w:val="253"/>
                <w:rFonts w:hint="default" w:ascii="Times New Roman" w:hAnsi="宋体" w:eastAsia="宋体"/>
                <w:b/>
              </w:rPr>
              <w:t>.</w:t>
            </w:r>
            <w:r>
              <w:rPr>
                <w:rStyle w:val="253"/>
                <w:rFonts w:hint="eastAsia" w:hAnsi="宋体"/>
                <w:b/>
                <w:lang w:val="en-US" w:eastAsia="zh-CN"/>
              </w:rPr>
              <w:t>2</w:t>
            </w:r>
            <w:r>
              <w:rPr>
                <w:rStyle w:val="253"/>
                <w:rFonts w:hint="default" w:ascii="Times New Roman" w:hAnsi="宋体" w:eastAsia="宋体"/>
                <w:b/>
              </w:rPr>
              <w:t>.4 鱼类</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东洞庭湖国家级自然保护区内现有鱼类7目19科90种，其中受国家保护的珍稀鱼类有：中华鲟、白鲟、胭脂等。目前，这些珍稀鱼类在洞庭湖逐渐减少，难觅踪迹。</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专题报告评价区内主要动物名录见附表2。经实地调查和查阅科考资料，评价区记录鱼纲7目、9科、17种，未发现受国家重点保护的鱼类。项目沿线水域未直接与东洞庭湖连接，周边水域鱼类种类较为丰富，数量可观。常见为四大家鱼，但因捕捞过度，个体品质下降。中小型洄游性鱼类蒙古红鮊、翘嘴红鮊（Erythroculter  ilishaeformis）、蛇鮈（Saurogobio dabryi）等也数量大，常年可见。在浅水区、湖泊中泥鳅（Misgurnus anguillicaudatus）、黄鳝（Monopterus albus）等资源较丰富。此外，鲫鱼（Carassius auratus）、棒花鱼（Abbottina psegma）、黄颡鱼 （Pseudobagrus vachelli）、翘嘴鳜（Siniperca chuatsi）等也常见。</w:t>
            </w:r>
          </w:p>
          <w:p>
            <w:pPr>
              <w:spacing w:line="480" w:lineRule="exact"/>
              <w:ind w:firstLine="361" w:firstLineChars="150"/>
              <w:rPr>
                <w:rStyle w:val="253"/>
                <w:rFonts w:hint="default" w:ascii="Times New Roman" w:hAnsi="宋体" w:eastAsia="宋体"/>
                <w:b/>
              </w:rPr>
            </w:pPr>
            <w:r>
              <w:rPr>
                <w:rStyle w:val="253"/>
                <w:rFonts w:hint="default" w:ascii="Times New Roman" w:hAnsi="宋体" w:eastAsia="宋体"/>
                <w:b/>
              </w:rPr>
              <w:t>6.</w:t>
            </w:r>
            <w:r>
              <w:rPr>
                <w:rStyle w:val="253"/>
                <w:rFonts w:hint="eastAsia" w:hAnsi="宋体"/>
                <w:b/>
                <w:lang w:val="en-US" w:eastAsia="zh-CN"/>
              </w:rPr>
              <w:t>1</w:t>
            </w:r>
            <w:r>
              <w:rPr>
                <w:rStyle w:val="253"/>
                <w:rFonts w:hint="default" w:ascii="Times New Roman" w:hAnsi="宋体" w:eastAsia="宋体"/>
                <w:b/>
              </w:rPr>
              <w:t>.</w:t>
            </w:r>
            <w:r>
              <w:rPr>
                <w:rStyle w:val="253"/>
                <w:rFonts w:hint="eastAsia" w:hAnsi="宋体"/>
                <w:b/>
                <w:lang w:val="en-US" w:eastAsia="zh-CN"/>
              </w:rPr>
              <w:t>2</w:t>
            </w:r>
            <w:r>
              <w:rPr>
                <w:rStyle w:val="253"/>
                <w:rFonts w:hint="default" w:ascii="Times New Roman" w:hAnsi="宋体" w:eastAsia="宋体"/>
                <w:b/>
              </w:rPr>
              <w:t>.</w:t>
            </w:r>
            <w:r>
              <w:rPr>
                <w:rStyle w:val="253"/>
                <w:rFonts w:hint="eastAsia" w:hAnsi="宋体"/>
                <w:b/>
                <w:lang w:val="en-US" w:eastAsia="zh-CN"/>
              </w:rPr>
              <w:t>4</w:t>
            </w:r>
            <w:r>
              <w:rPr>
                <w:rStyle w:val="253"/>
                <w:rFonts w:hint="default" w:ascii="Times New Roman" w:hAnsi="宋体" w:eastAsia="宋体"/>
                <w:b/>
              </w:rPr>
              <w:t>鸟类</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东洞庭湖国家级自然保护区内鸟类有鸟纲17目55科251种，其中有国家一级保护动物7种，国家二级保护动物33种。中国濒危动物红皮书种有18种鸟类分布在洞庭湖内。洞庭湖的鸟类有77%的国家“三有”保护动物，52%是湖南省地方重点保护种类，还有139种是中-日候鸟保护对象，41种中-澳候鸟保护物种。</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自然保护区核心区内的大西湖、小西湖、经一坝、丁字堤至君山后湖是自然保护区鸟类资源本底最为丰富、且珍稀濒危物种最集中的区域，是东方白鹳、鸿雁、小白额雁、小天鹅、白琵鹭等近20种国家I、II级重点保护野生鸟类的越冬栖息地，水鸟总种数达到70余种10万余只，是长江中下游鸟类最集中的区域之一。</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经实地调查、查阅科考资料及咨询中国科学院亚热带农业生态研究所洞庭湖湿地生态系统观测研究站，共记录到评价区鸟类63种，占湖南省鸟类448种的14.06％，占洞庭湖全区域251种25.09％，隶属12目33科。其中鸊鷉目1科2种、鹳形目1科4种、雁形目1科3种、鸡形目2科2种、鹤形目1科3种、鸻形目4科8种、鸽形目1科2种、鹃形目1科2种、佛法僧目1科2种、鴷形目1科2种、雀形目18科31种、隼形目1科2种。其中，属于国家“三有”动物59种，列入中日候鸟保护协定的有琵嘴鸭（Anas clypeata）、绿头鸭（Anas platyrhynchos）、大杜鹃（C. canorus）等10种；列入中澳候鸟保护协定的有水雉（Hydrophasianus chirurgus）、家燕（Hirundo rustica）和白鹡鸰（M. Alba）5种。国家二级保护物种3种：金眶鴴（Charadrius dubius）、燕隼（Falco subbuteo）、阿穆尔隼（Falco amurensis）。金眶鴴、燕隼和阿穆尔隼均不属于濒危物种，未栖息在报告评价范围区域内，评价范围内仅偶尔发现。</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金眶鸻是小型涉禽，夏羽前额和眉纹白色，额基和头顶前部绒黑色，头顶后部和枕灰褐色，眼先、眼周和眼后耳区黑色，并与额基和头顶前部黑色相连。在东洞庭湖自然保护区内主要栖息于核心区和缓冲区的湖泊湿地当中。</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燕隼俗称为青条子、蚂蚱鹰、青尖等，体形比猎隼、游隼等都小，为小型猛禽，体长28-35厘米，体重为120-294克。在东洞庭湖自然保护区内主要栖息于核心区和缓冲区的湖泊湿地当中。</w:t>
            </w:r>
          </w:p>
          <w:p>
            <w:pPr>
              <w:spacing w:line="480" w:lineRule="exact"/>
              <w:ind w:firstLine="480" w:firstLineChars="200"/>
              <w:rPr>
                <w:rStyle w:val="253"/>
                <w:rFonts w:hint="default" w:hAnsi="宋体"/>
              </w:rPr>
            </w:pPr>
            <w:r>
              <w:rPr>
                <w:rStyle w:val="253"/>
                <w:rFonts w:hint="default" w:ascii="Times New Roman" w:hAnsi="宋体" w:eastAsia="宋体"/>
              </w:rPr>
              <w:t>阿穆尔隼又称为东方红脚隼，体小（31厘米）的灰色隼。该物种属于国家二级重点保护动物，不接近物种生存的脆弱濒危临界值标准。在东洞庭湖自然保护区内主要栖息于核心区和缓冲区的湖泊湿地当中</w:t>
            </w:r>
            <w:r>
              <w:rPr>
                <w:rStyle w:val="253"/>
                <w:rFonts w:hint="default" w:hAnsi="宋体"/>
              </w:rPr>
              <w:t>。</w:t>
            </w:r>
          </w:p>
          <w:p>
            <w:pPr>
              <w:spacing w:line="480" w:lineRule="exact"/>
              <w:ind w:firstLine="480" w:firstLineChars="200"/>
              <w:rPr>
                <w:rStyle w:val="253"/>
                <w:rFonts w:hint="default" w:ascii="Times New Roman" w:hAnsi="宋体" w:eastAsia="宋体"/>
              </w:rPr>
            </w:pPr>
            <w:r>
              <w:rPr>
                <w:rStyle w:val="253"/>
                <w:rFonts w:hint="default" w:ascii="Times New Roman" w:hAnsi="宋体" w:eastAsia="宋体"/>
              </w:rPr>
              <w:t>工程施工区所在的实验区鸟类较少。</w:t>
            </w:r>
          </w:p>
          <w:p>
            <w:pPr>
              <w:pStyle w:val="6"/>
              <w:spacing w:before="100" w:after="100" w:line="440" w:lineRule="exact"/>
              <w:rPr>
                <w:sz w:val="24"/>
                <w:szCs w:val="24"/>
              </w:rPr>
            </w:pPr>
            <w:r>
              <w:rPr>
                <w:sz w:val="24"/>
                <w:szCs w:val="24"/>
              </w:rPr>
              <w:t>6.</w:t>
            </w:r>
            <w:r>
              <w:rPr>
                <w:rFonts w:hint="eastAsia"/>
                <w:sz w:val="24"/>
                <w:szCs w:val="24"/>
                <w:lang w:val="en-US" w:eastAsia="zh-CN"/>
              </w:rPr>
              <w:t>1</w:t>
            </w:r>
            <w:r>
              <w:rPr>
                <w:sz w:val="24"/>
                <w:szCs w:val="24"/>
              </w:rPr>
              <w:t>.</w:t>
            </w:r>
            <w:r>
              <w:rPr>
                <w:rFonts w:hint="eastAsia"/>
                <w:sz w:val="24"/>
                <w:szCs w:val="24"/>
                <w:lang w:val="en-US" w:eastAsia="zh-CN"/>
              </w:rPr>
              <w:t>3</w:t>
            </w:r>
            <w:r>
              <w:rPr>
                <w:rFonts w:hint="eastAsia"/>
                <w:sz w:val="24"/>
                <w:szCs w:val="24"/>
              </w:rPr>
              <w:t>水生生态调查</w:t>
            </w:r>
          </w:p>
          <w:p>
            <w:pPr>
              <w:pStyle w:val="6"/>
              <w:spacing w:before="100" w:after="100" w:line="440" w:lineRule="exact"/>
              <w:rPr>
                <w:rStyle w:val="253"/>
                <w:rFonts w:hint="default" w:ascii="Times New Roman" w:eastAsia="宋体"/>
              </w:rPr>
            </w:pPr>
            <w:r>
              <w:rPr>
                <w:rStyle w:val="253"/>
                <w:rFonts w:hint="default" w:ascii="Times New Roman" w:eastAsia="宋体"/>
              </w:rPr>
              <w:t>6.</w:t>
            </w:r>
            <w:r>
              <w:rPr>
                <w:rStyle w:val="253"/>
                <w:rFonts w:hint="eastAsia"/>
                <w:lang w:val="en-US" w:eastAsia="zh-CN"/>
              </w:rPr>
              <w:t>1</w:t>
            </w:r>
            <w:r>
              <w:rPr>
                <w:rStyle w:val="253"/>
                <w:rFonts w:hint="default" w:ascii="Times New Roman" w:eastAsia="宋体"/>
              </w:rPr>
              <w:t>.</w:t>
            </w:r>
            <w:r>
              <w:rPr>
                <w:rStyle w:val="253"/>
                <w:rFonts w:hint="eastAsia"/>
                <w:lang w:val="en-US" w:eastAsia="zh-CN"/>
              </w:rPr>
              <w:t>3</w:t>
            </w:r>
            <w:r>
              <w:rPr>
                <w:rStyle w:val="253"/>
                <w:rFonts w:hint="default" w:ascii="Times New Roman" w:eastAsia="宋体"/>
              </w:rPr>
              <w:t>.1 东洞庭湖水生生物调查</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本项目位不涉及湖南东洞庭湖湖面水体，本次东洞庭湖国家自然保护区资源现状调查参考了湖南省水产科学研究所编制的《华能湖南岳州电厂新建工程（2×1000MW）取水工程建设对东洞庭湖江豚市级自然保护区影响》（2014.3）中的生物现状调查结果。</w:t>
            </w:r>
          </w:p>
          <w:p>
            <w:pPr>
              <w:pStyle w:val="6"/>
              <w:spacing w:before="100" w:after="100" w:line="440" w:lineRule="exact"/>
              <w:rPr>
                <w:rStyle w:val="253"/>
                <w:rFonts w:hint="default" w:ascii="Times New Roman" w:eastAsia="宋体"/>
              </w:rPr>
            </w:pPr>
            <w:r>
              <w:rPr>
                <w:rStyle w:val="253"/>
                <w:rFonts w:hint="default" w:ascii="Times New Roman" w:eastAsia="宋体"/>
              </w:rPr>
              <w:t>6.</w:t>
            </w:r>
            <w:r>
              <w:rPr>
                <w:rStyle w:val="253"/>
                <w:rFonts w:hint="eastAsia"/>
                <w:lang w:val="en-US" w:eastAsia="zh-CN"/>
              </w:rPr>
              <w:t>1</w:t>
            </w:r>
            <w:r>
              <w:rPr>
                <w:rStyle w:val="253"/>
                <w:rFonts w:hint="default" w:ascii="Times New Roman" w:eastAsia="宋体"/>
              </w:rPr>
              <w:t>.</w:t>
            </w:r>
            <w:r>
              <w:rPr>
                <w:rStyle w:val="253"/>
                <w:rFonts w:hint="eastAsia"/>
                <w:lang w:val="en-US" w:eastAsia="zh-CN"/>
              </w:rPr>
              <w:t>3</w:t>
            </w:r>
            <w:r>
              <w:rPr>
                <w:rStyle w:val="253"/>
                <w:rFonts w:hint="default" w:ascii="Times New Roman" w:eastAsia="宋体"/>
              </w:rPr>
              <w:t>.2保护区鱼类资源现状</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（1）种类组成</w:t>
            </w:r>
          </w:p>
          <w:p>
            <w:pPr>
              <w:spacing w:line="480" w:lineRule="exact"/>
              <w:ind w:firstLine="360" w:firstLineChars="150"/>
              <w:rPr>
                <w:rStyle w:val="253"/>
                <w:rFonts w:hint="default" w:ascii="Times New Roman" w:hAnsi="宋体" w:eastAsia="宋体"/>
              </w:rPr>
            </w:pPr>
            <w:r>
              <w:drawing>
                <wp:anchor distT="0" distB="0" distL="114300" distR="114300" simplePos="0" relativeHeight="251669504" behindDoc="0" locked="0" layoutInCell="1" allowOverlap="1">
                  <wp:simplePos x="0" y="0"/>
                  <wp:positionH relativeFrom="column">
                    <wp:posOffset>780415</wp:posOffset>
                  </wp:positionH>
                  <wp:positionV relativeFrom="paragraph">
                    <wp:posOffset>1803400</wp:posOffset>
                  </wp:positionV>
                  <wp:extent cx="4177665" cy="2099310"/>
                  <wp:effectExtent l="0" t="0" r="13335" b="15240"/>
                  <wp:wrapNone/>
                  <wp:docPr id="11" name="图片 87" descr="9]URBZ%%~~9CX0C19YSMOH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87" descr="9]URBZ%%~~9CX0C19YSMOH0"/>
                          <pic:cNvPicPr>
                            <a:picLocks noChangeAspect="1"/>
                          </pic:cNvPicPr>
                        </pic:nvPicPr>
                        <pic:blipFill>
                          <a:blip r:embed="rId7"/>
                          <a:stretch>
                            <a:fillRect/>
                          </a:stretch>
                        </pic:blipFill>
                        <pic:spPr>
                          <a:xfrm>
                            <a:off x="0" y="0"/>
                            <a:ext cx="4177665" cy="2099310"/>
                          </a:xfrm>
                          <a:prstGeom prst="rect">
                            <a:avLst/>
                          </a:prstGeom>
                          <a:noFill/>
                          <a:ln>
                            <a:noFill/>
                          </a:ln>
                        </pic:spPr>
                      </pic:pic>
                    </a:graphicData>
                  </a:graphic>
                </wp:anchor>
              </w:drawing>
            </w:r>
            <w:r>
              <w:rPr>
                <w:rStyle w:val="253"/>
                <w:rFonts w:hint="default" w:ascii="Times New Roman" w:hAnsi="宋体" w:eastAsia="宋体"/>
              </w:rPr>
              <w:t>1970’s湖南鱼类资源调查洞庭湖有鱼类117种，分别属12目，23科，其中鲤科有65种，占55.6%；其次为就科和鱼危科，各10种，分别占8.59%；银鱼科、鮨科、虾虎鱼科各4种，分别占3.4%；其它各科共20种，共占17.1%。数量较多的鱼类有：鲤、鲫、鲶、黄颖鱼、青鱼、草鱼、鲢、鳙、短颌鲚、长颌鲚、太湖短吻银鱼、鱤、赤眼鳟、鳤、斜细鳞斜颌鲴、鳊、翘嘴红鲌、蒙古红鲌、黄鳝、翘嘴鳜、大眼鳜等。东洞庭湖鱼类组成见图</w:t>
            </w:r>
            <w:r>
              <w:rPr>
                <w:rStyle w:val="253"/>
                <w:rFonts w:hint="default" w:hAnsi="宋体"/>
              </w:rPr>
              <w:t>3</w:t>
            </w:r>
            <w:r>
              <w:rPr>
                <w:rStyle w:val="253"/>
                <w:rFonts w:hint="default" w:ascii="Times New Roman" w:hAnsi="宋体" w:eastAsia="宋体"/>
              </w:rPr>
              <w:t>-1。</w:t>
            </w:r>
          </w:p>
          <w:p>
            <w:pPr>
              <w:spacing w:line="480" w:lineRule="exact"/>
              <w:ind w:firstLine="360" w:firstLineChars="150"/>
              <w:rPr>
                <w:rStyle w:val="253"/>
                <w:rFonts w:hint="default" w:ascii="Times New Roman" w:hAnsi="宋体" w:eastAsia="宋体"/>
              </w:rPr>
            </w:pPr>
          </w:p>
          <w:p>
            <w:pPr>
              <w:spacing w:line="480" w:lineRule="exact"/>
              <w:ind w:firstLine="360" w:firstLineChars="150"/>
              <w:rPr>
                <w:rStyle w:val="253"/>
                <w:rFonts w:hint="default" w:ascii="Times New Roman" w:hAnsi="宋体" w:eastAsia="宋体"/>
              </w:rPr>
            </w:pPr>
          </w:p>
          <w:p>
            <w:pPr>
              <w:spacing w:line="480" w:lineRule="exact"/>
              <w:ind w:firstLine="360" w:firstLineChars="150"/>
              <w:rPr>
                <w:rStyle w:val="253"/>
                <w:rFonts w:hint="default" w:ascii="Times New Roman" w:hAnsi="宋体" w:eastAsia="宋体"/>
              </w:rPr>
            </w:pPr>
          </w:p>
          <w:p>
            <w:pPr>
              <w:spacing w:line="480" w:lineRule="exact"/>
              <w:ind w:firstLine="360" w:firstLineChars="150"/>
              <w:rPr>
                <w:rStyle w:val="253"/>
                <w:rFonts w:hint="default" w:ascii="Times New Roman" w:hAnsi="宋体" w:eastAsia="宋体"/>
              </w:rPr>
            </w:pPr>
          </w:p>
          <w:p>
            <w:pPr>
              <w:spacing w:line="480" w:lineRule="exact"/>
              <w:ind w:firstLine="360" w:firstLineChars="150"/>
              <w:rPr>
                <w:rStyle w:val="253"/>
                <w:rFonts w:hint="default" w:ascii="Times New Roman" w:hAnsi="宋体" w:eastAsia="宋体"/>
              </w:rPr>
            </w:pPr>
          </w:p>
          <w:p>
            <w:pPr>
              <w:spacing w:line="480" w:lineRule="exact"/>
              <w:ind w:firstLine="360" w:firstLineChars="150"/>
              <w:rPr>
                <w:rStyle w:val="253"/>
                <w:rFonts w:hint="default" w:ascii="Times New Roman" w:hAnsi="宋体" w:eastAsia="宋体"/>
              </w:rPr>
            </w:pPr>
          </w:p>
          <w:p>
            <w:pPr>
              <w:spacing w:line="480" w:lineRule="exact"/>
              <w:rPr>
                <w:rStyle w:val="253"/>
                <w:rFonts w:hint="default" w:ascii="Times New Roman" w:hAnsi="宋体" w:eastAsia="宋体"/>
              </w:rPr>
            </w:pPr>
          </w:p>
          <w:p>
            <w:pPr>
              <w:spacing w:line="480" w:lineRule="exact"/>
              <w:ind w:firstLine="2530" w:firstLineChars="1050"/>
              <w:rPr>
                <w:rStyle w:val="253"/>
                <w:rFonts w:hint="default" w:ascii="Times New Roman" w:hAnsi="宋体" w:eastAsia="宋体"/>
                <w:b/>
              </w:rPr>
            </w:pPr>
            <w:r>
              <w:rPr>
                <w:rStyle w:val="253"/>
                <w:rFonts w:hint="default" w:ascii="Times New Roman" w:hAnsi="宋体" w:eastAsia="宋体"/>
                <w:b/>
              </w:rPr>
              <w:t>图3-1  评价区鱼类种类组成</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2009～2013年的鱼类资源监测，仅监测到鱼类104种，有13种鱼未监测到。监测结果表明，保护区内鱼类种类与20世纪90年代基本一致，与70年代相比有较大的差别。现在洞庭湖渔获物以鲤、鲫、鲶、黄颖鱼及小型野杂鱼等湖泊定居型种类为主，2011～2013年“四大家鱼”在渔获物中所占比例平均占8.21%（7.22%～10.3%），而2004～2008年“四大家鱼”在渔获物中的比例均在8%以下，虽比2009年规模性增殖放流前有所回升，基本达到2003年三峡截流的水平，但仍处于较低水平，主要经济鱼类个体低龄化、小型化，主要捕捞对象为1～3龄鱼。</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w:t>
            </w:r>
            <w:r>
              <w:rPr>
                <w:rStyle w:val="253"/>
                <w:rFonts w:hint="eastAsia" w:hAnsi="宋体"/>
                <w:lang w:val="en-US" w:eastAsia="zh-CN"/>
              </w:rPr>
              <w:t>2</w:t>
            </w:r>
            <w:r>
              <w:rPr>
                <w:rStyle w:val="253"/>
                <w:rFonts w:hint="default" w:ascii="Times New Roman" w:hAnsi="宋体" w:eastAsia="宋体"/>
              </w:rPr>
              <w:t>）鱼类重要生境</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1）主要经济鱼类产卵场、索饵场</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东洞庭湖分布有鲤、鲫、鲶、黄颖鱼等定居性鱼类产卵场，鲌鱼、鲴鱼等流水产粘性卵鱼类产卵场（短距离洄游性鱼类产卵场），流水产浮性卵鱼类产卵场，及鲚鱼产卵场（浮性卵鱼类产卵场）。以上不同生态类型的鱼类产卵场可归纳为两类，一类是粘性卵鱼类产卵场，包括鲤、鲫、鲶、黄颗鱼、鲂、鳊鱼、鲴、鲌等，东洞庭湖鱼类中多数产粘性卵，分布广，规模大，淹没洲滩浅水区，水深0.5m左右，有草类等卵粘介质的地方就有鱼类产卵繁殖，其产卵场面积与城陵矶水位密切相关；另一类为浮性卵鱼类产卵场，主要产卵鱼类包括鳜类、鲚类及银鱼类的鱼类，由于东洞庭湖的环境变化，该类产卵场处于衰退状态。东洞庭湖两种生态类型的产卵场均有分布，在以往调查数据中，有粘性卵鱼类产卵场11～13处，面积约100～150km</w:t>
            </w:r>
            <w:r>
              <w:rPr>
                <w:rStyle w:val="253"/>
                <w:rFonts w:hint="default" w:ascii="Times New Roman" w:hAnsi="宋体" w:eastAsia="宋体"/>
                <w:vertAlign w:val="superscript"/>
              </w:rPr>
              <w:t>2</w:t>
            </w:r>
            <w:r>
              <w:rPr>
                <w:rStyle w:val="253"/>
                <w:rFonts w:hint="default" w:ascii="Times New Roman" w:hAnsi="宋体" w:eastAsia="宋体"/>
              </w:rPr>
              <w:t>，主要分布在君山后湖、大小飘尾、华容河外河两侧、藕池河入口附近；有浮性卵鱼类产卵场5处，主要分布在三江口，华容河外河河湖交界水域的大坝、二坝、三坝附近，藕池潭入口河湖交界水域。东洞庭湖粘性卵、浮性卵鱼类产卵场分布见图4.8-2。</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主要经济鱼类索饵场一般跟产卵场分布重叠，但面积比产卵场大。铜鱼为底栖软体动物食性，喜生活在流动水体中，常以蚬为食，其索饵场主要分布在城陵矶江段。</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本项目周边无东洞庭湖鱼类产卵场、索饵场等分布。</w:t>
            </w:r>
          </w:p>
          <w:p>
            <w:pPr>
              <w:jc w:val="center"/>
            </w:pPr>
            <w:r>
              <w:drawing>
                <wp:inline distT="0" distB="0" distL="114300" distR="114300">
                  <wp:extent cx="5245100" cy="3864610"/>
                  <wp:effectExtent l="0" t="0" r="12700" b="2540"/>
                  <wp:docPr id="12" name="图片 20" descr="(QQY[650GGI@3%{B@]ED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20" descr="(QQY[650GGI@3%{B@]EDN$D"/>
                          <pic:cNvPicPr>
                            <a:picLocks noChangeAspect="1"/>
                          </pic:cNvPicPr>
                        </pic:nvPicPr>
                        <pic:blipFill>
                          <a:blip r:embed="rId8"/>
                          <a:stretch>
                            <a:fillRect/>
                          </a:stretch>
                        </pic:blipFill>
                        <pic:spPr>
                          <a:xfrm>
                            <a:off x="0" y="0"/>
                            <a:ext cx="5245100" cy="3864610"/>
                          </a:xfrm>
                          <a:prstGeom prst="rect">
                            <a:avLst/>
                          </a:prstGeom>
                          <a:noFill/>
                          <a:ln>
                            <a:noFill/>
                          </a:ln>
                        </pic:spPr>
                      </pic:pic>
                    </a:graphicData>
                  </a:graphic>
                </wp:inline>
              </w:drawing>
            </w:r>
          </w:p>
          <w:p>
            <w:pPr>
              <w:jc w:val="center"/>
              <w:rPr>
                <w:b/>
              </w:rPr>
            </w:pPr>
            <w:r>
              <w:rPr>
                <w:rFonts w:hint="eastAsia"/>
                <w:b/>
              </w:rPr>
              <w:t>图</w:t>
            </w:r>
            <w:r>
              <w:rPr>
                <w:b/>
              </w:rPr>
              <w:t>3-2</w:t>
            </w:r>
            <w:r>
              <w:rPr>
                <w:rFonts w:hint="eastAsia"/>
                <w:b/>
              </w:rPr>
              <w:t xml:space="preserve"> 东洞庭湖主要经济鱼类粘性卵浮性卵鱼类产卵场及铜鱼索饵场分布</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2）主要经济鱼类越冬场</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东洞庭湖主要经济鱼类越冬场主要沿湘江洪道分布在洪道深潭中，与本项目相距较远。</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3）主要经济鱼类及江豚等水生动物润游通道</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洞庭湖是长江、湖南四水鱼类重要的肥育场所，东洞庭湖是现存洞庭湖最大的子湖，其鱼类资源除定居性鱼类外，主要来自于长江、湘江，江河鱼苗通过长江四口、湖南四水漂流入洞庭湖，在洞庭湖摄食肥育生长，成熟亲鱼通过湘江洪道等洄游通道洄游到江河上游产卵繁殖，刀鲚、银鱼等浮性卵鱼类则洄游到洞庭湖中河水湖水交界处产卵。湘江洪道，东洞庭湖自荷叶湖磊石山口、新墙河口，一直到城陵矶三江口，再沿长江向上、向下均为鱼类、江豚等水生动物洄游通道，主要洄游物种为“四大家鱼”等江河半洄游性鱼类，刀鲚、中华鲟、大银鱼等江海洄游性鱼类，江豚等水生野生动物迁移泡游通道。洞庭湖公路大桥至城陵矶三江口河段同时又是铜鱼索饵江段。</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工程施工对鱼类的洄游有一定的影响，应采取必要的工程措施减缓，科学调整施工期，避开泗游高峰期，以减小工程施工对鱼类和江豚洄游的影响。</w:t>
            </w:r>
          </w:p>
          <w:p>
            <w:pPr>
              <w:spacing w:line="480" w:lineRule="exact"/>
              <w:ind w:firstLine="360" w:firstLineChars="150"/>
              <w:rPr>
                <w:rStyle w:val="253"/>
                <w:rFonts w:hint="default" w:ascii="Times New Roman" w:hAnsi="宋体" w:eastAsia="宋体"/>
              </w:rPr>
            </w:pPr>
          </w:p>
          <w:p>
            <w:pPr>
              <w:spacing w:line="480" w:lineRule="exact"/>
              <w:ind w:firstLine="361" w:firstLineChars="150"/>
              <w:rPr>
                <w:rStyle w:val="253"/>
                <w:rFonts w:hint="default" w:ascii="Times New Roman" w:hAnsi="宋体" w:eastAsia="宋体"/>
                <w:b/>
              </w:rPr>
            </w:pPr>
            <w:r>
              <w:rPr>
                <w:rStyle w:val="253"/>
                <w:rFonts w:hint="default" w:ascii="Times New Roman" w:hAnsi="宋体" w:eastAsia="宋体"/>
                <w:b/>
              </w:rPr>
              <w:t>6.</w:t>
            </w:r>
            <w:r>
              <w:rPr>
                <w:rStyle w:val="253"/>
                <w:rFonts w:hint="eastAsia" w:hAnsi="宋体"/>
                <w:b/>
                <w:lang w:val="en-US" w:eastAsia="zh-CN"/>
              </w:rPr>
              <w:t>1</w:t>
            </w:r>
            <w:r>
              <w:rPr>
                <w:rStyle w:val="253"/>
                <w:rFonts w:hint="default" w:ascii="Times New Roman" w:hAnsi="宋体" w:eastAsia="宋体"/>
                <w:b/>
              </w:rPr>
              <w:t>.</w:t>
            </w:r>
            <w:r>
              <w:rPr>
                <w:rStyle w:val="253"/>
                <w:rFonts w:hint="eastAsia" w:hAnsi="宋体"/>
                <w:b/>
                <w:lang w:val="en-US" w:eastAsia="zh-CN"/>
              </w:rPr>
              <w:t>3</w:t>
            </w:r>
            <w:r>
              <w:rPr>
                <w:rStyle w:val="253"/>
                <w:rFonts w:hint="default" w:ascii="Times New Roman" w:hAnsi="宋体" w:eastAsia="宋体"/>
                <w:b/>
              </w:rPr>
              <w:t>.</w:t>
            </w:r>
            <w:r>
              <w:rPr>
                <w:rStyle w:val="253"/>
                <w:rFonts w:hint="eastAsia" w:hAnsi="宋体"/>
                <w:b/>
                <w:lang w:val="en-US" w:eastAsia="zh-CN"/>
              </w:rPr>
              <w:t>3</w:t>
            </w:r>
            <w:r>
              <w:rPr>
                <w:rStyle w:val="253"/>
                <w:rFonts w:hint="default" w:ascii="Times New Roman" w:hAnsi="宋体" w:eastAsia="宋体"/>
                <w:b/>
              </w:rPr>
              <w:t xml:space="preserve"> 保护区水生野生保护动物分布现状</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 xml:space="preserve">保护区水域记录的水生野生保护动物10目16科27种（表4.8-13），其中，属于国家重点保护野生动物名录一级种类2种、二级保护种类2种，列入《中国濒危动物红皮书（1998）》的有3种，列入《湖南省地方重点保护野生动植物名录》的有20种，其中白鳍豚、鲥鱼和白鲟三种则在近二十年内未发现。监测到波鳜、暗鳜、长身鳜等三物种在保护区江段均有一定的资源量。 </w:t>
            </w:r>
          </w:p>
          <w:p>
            <w:pPr>
              <w:spacing w:line="320" w:lineRule="exact"/>
              <w:jc w:val="center"/>
              <w:rPr>
                <w:rFonts w:cs="宋体"/>
                <w:b/>
                <w:kern w:val="13"/>
                <w:sz w:val="21"/>
                <w:szCs w:val="21"/>
                <w:lang w:bidi="ar"/>
              </w:rPr>
            </w:pPr>
            <w:r>
              <w:rPr>
                <w:rFonts w:hint="eastAsia" w:cs="宋体"/>
                <w:b/>
                <w:kern w:val="13"/>
                <w:sz w:val="21"/>
                <w:szCs w:val="21"/>
                <w:lang w:bidi="ar"/>
              </w:rPr>
              <w:t xml:space="preserve"> 表</w:t>
            </w:r>
            <w:r>
              <w:rPr>
                <w:rFonts w:cs="宋体"/>
                <w:b/>
                <w:kern w:val="13"/>
                <w:sz w:val="21"/>
                <w:szCs w:val="21"/>
                <w:lang w:bidi="ar"/>
              </w:rPr>
              <w:t>3-</w:t>
            </w:r>
            <w:r>
              <w:rPr>
                <w:rFonts w:hint="eastAsia" w:cs="宋体"/>
                <w:b/>
                <w:kern w:val="13"/>
                <w:sz w:val="21"/>
                <w:szCs w:val="21"/>
                <w:lang w:val="en-US" w:eastAsia="zh-CN" w:bidi="ar"/>
              </w:rPr>
              <w:t>14</w:t>
            </w:r>
            <w:r>
              <w:rPr>
                <w:rFonts w:hint="eastAsia" w:cs="宋体"/>
                <w:b/>
                <w:kern w:val="13"/>
                <w:sz w:val="21"/>
                <w:szCs w:val="21"/>
                <w:lang w:bidi="ar"/>
              </w:rPr>
              <w:t>东洞庭湖及城陵矶水生野生动物保护名录及现状分布</w:t>
            </w:r>
          </w:p>
          <w:tbl>
            <w:tblPr>
              <w:tblStyle w:val="44"/>
              <w:tblW w:w="0" w:type="auto"/>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1275"/>
              <w:gridCol w:w="3969"/>
              <w:gridCol w:w="1560"/>
              <w:gridCol w:w="138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Align w:val="center"/>
                </w:tcPr>
                <w:p>
                  <w:pPr>
                    <w:spacing w:line="320" w:lineRule="exact"/>
                    <w:jc w:val="center"/>
                    <w:rPr>
                      <w:rFonts w:cs="宋体"/>
                      <w:kern w:val="13"/>
                      <w:sz w:val="21"/>
                      <w:szCs w:val="21"/>
                      <w:lang w:bidi="ar"/>
                    </w:rPr>
                  </w:pPr>
                  <w:r>
                    <w:rPr>
                      <w:rFonts w:cs="宋体"/>
                      <w:kern w:val="13"/>
                      <w:sz w:val="21"/>
                      <w:szCs w:val="21"/>
                      <w:lang w:bidi="ar"/>
                    </w:rPr>
                    <w:t>目</w:t>
                  </w:r>
                </w:p>
              </w:tc>
              <w:tc>
                <w:tcPr>
                  <w:tcW w:w="1275" w:type="dxa"/>
                  <w:vAlign w:val="center"/>
                </w:tcPr>
                <w:p>
                  <w:pPr>
                    <w:spacing w:line="320" w:lineRule="exact"/>
                    <w:jc w:val="center"/>
                    <w:rPr>
                      <w:rFonts w:cs="宋体"/>
                      <w:kern w:val="13"/>
                      <w:sz w:val="21"/>
                      <w:szCs w:val="21"/>
                      <w:lang w:bidi="ar"/>
                    </w:rPr>
                  </w:pPr>
                  <w:r>
                    <w:rPr>
                      <w:rFonts w:cs="宋体"/>
                      <w:kern w:val="13"/>
                      <w:sz w:val="21"/>
                      <w:szCs w:val="21"/>
                      <w:lang w:bidi="ar"/>
                    </w:rPr>
                    <w:t>科</w:t>
                  </w: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记录种</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保护级别</w:t>
                  </w:r>
                </w:p>
              </w:tc>
              <w:tc>
                <w:tcPr>
                  <w:tcW w:w="1381" w:type="dxa"/>
                  <w:vAlign w:val="center"/>
                </w:tcPr>
                <w:p>
                  <w:pPr>
                    <w:spacing w:line="320" w:lineRule="exact"/>
                    <w:jc w:val="center"/>
                    <w:rPr>
                      <w:rFonts w:cs="宋体"/>
                      <w:kern w:val="13"/>
                      <w:sz w:val="21"/>
                      <w:szCs w:val="21"/>
                      <w:lang w:bidi="ar"/>
                    </w:rPr>
                  </w:pPr>
                  <w:r>
                    <w:rPr>
                      <w:rFonts w:cs="宋体"/>
                      <w:kern w:val="13"/>
                      <w:sz w:val="21"/>
                      <w:szCs w:val="21"/>
                      <w:lang w:bidi="ar"/>
                    </w:rPr>
                    <w:t>种群现状</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restart"/>
                  <w:vAlign w:val="center"/>
                </w:tcPr>
                <w:p>
                  <w:pPr>
                    <w:spacing w:line="320" w:lineRule="exact"/>
                    <w:jc w:val="center"/>
                    <w:rPr>
                      <w:rFonts w:cs="宋体"/>
                      <w:kern w:val="13"/>
                      <w:sz w:val="21"/>
                      <w:szCs w:val="21"/>
                      <w:lang w:bidi="ar"/>
                    </w:rPr>
                  </w:pPr>
                  <w:r>
                    <w:rPr>
                      <w:rFonts w:cs="宋体"/>
                      <w:kern w:val="13"/>
                      <w:sz w:val="21"/>
                      <w:szCs w:val="21"/>
                      <w:lang w:bidi="ar"/>
                    </w:rPr>
                    <w:t>哺乳类</w:t>
                  </w:r>
                </w:p>
              </w:tc>
              <w:tc>
                <w:tcPr>
                  <w:tcW w:w="1275" w:type="dxa"/>
                  <w:vAlign w:val="center"/>
                </w:tcPr>
                <w:p>
                  <w:pPr>
                    <w:spacing w:line="320" w:lineRule="exact"/>
                    <w:jc w:val="center"/>
                    <w:rPr>
                      <w:rFonts w:cs="宋体"/>
                      <w:kern w:val="13"/>
                      <w:sz w:val="21"/>
                      <w:szCs w:val="21"/>
                      <w:lang w:bidi="ar"/>
                    </w:rPr>
                  </w:pP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白鳍豚</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国家一级</w:t>
                  </w:r>
                </w:p>
              </w:tc>
              <w:tc>
                <w:tcPr>
                  <w:tcW w:w="1381" w:type="dxa"/>
                  <w:vAlign w:val="center"/>
                </w:tcPr>
                <w:p>
                  <w:pPr>
                    <w:spacing w:line="320" w:lineRule="exact"/>
                    <w:jc w:val="center"/>
                    <w:rPr>
                      <w:rFonts w:cs="宋体"/>
                      <w:kern w:val="13"/>
                      <w:sz w:val="21"/>
                      <w:szCs w:val="21"/>
                      <w:lang w:bidi="ar"/>
                    </w:rPr>
                  </w:pPr>
                  <w:r>
                    <w:rPr>
                      <w:rFonts w:cs="宋体"/>
                      <w:kern w:val="13"/>
                      <w:sz w:val="21"/>
                      <w:szCs w:val="21"/>
                      <w:lang w:bidi="ar"/>
                    </w:rPr>
                    <w:t>已无</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vAlign w:val="center"/>
                </w:tcPr>
                <w:p>
                  <w:pPr>
                    <w:spacing w:line="320" w:lineRule="exact"/>
                    <w:jc w:val="center"/>
                    <w:rPr>
                      <w:rFonts w:cs="宋体"/>
                      <w:kern w:val="13"/>
                      <w:sz w:val="21"/>
                      <w:szCs w:val="21"/>
                      <w:lang w:bidi="ar"/>
                    </w:rPr>
                  </w:pPr>
                </w:p>
              </w:tc>
              <w:tc>
                <w:tcPr>
                  <w:tcW w:w="1275" w:type="dxa"/>
                  <w:vAlign w:val="center"/>
                </w:tcPr>
                <w:p>
                  <w:pPr>
                    <w:spacing w:line="320" w:lineRule="exact"/>
                    <w:jc w:val="center"/>
                    <w:rPr>
                      <w:rFonts w:cs="宋体"/>
                      <w:kern w:val="13"/>
                      <w:sz w:val="21"/>
                      <w:szCs w:val="21"/>
                      <w:lang w:bidi="ar"/>
                    </w:rPr>
                  </w:pPr>
                  <w:r>
                    <w:rPr>
                      <w:rFonts w:cs="宋体"/>
                      <w:kern w:val="13"/>
                      <w:sz w:val="21"/>
                      <w:szCs w:val="21"/>
                      <w:lang w:bidi="ar"/>
                    </w:rPr>
                    <w:t>鼠海原科</w:t>
                  </w: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江豚Neophocacna phcaenoides cuvier</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国家二级</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Align w:val="center"/>
                </w:tcPr>
                <w:p>
                  <w:pPr>
                    <w:spacing w:line="320" w:lineRule="exact"/>
                    <w:jc w:val="center"/>
                    <w:rPr>
                      <w:rFonts w:cs="宋体"/>
                      <w:kern w:val="13"/>
                      <w:sz w:val="21"/>
                      <w:szCs w:val="21"/>
                      <w:lang w:bidi="ar"/>
                    </w:rPr>
                  </w:pPr>
                  <w:r>
                    <w:rPr>
                      <w:rFonts w:cs="宋体"/>
                      <w:kern w:val="13"/>
                      <w:sz w:val="21"/>
                      <w:szCs w:val="21"/>
                      <w:lang w:bidi="ar"/>
                    </w:rPr>
                    <w:t>鲟形目</w:t>
                  </w:r>
                </w:p>
              </w:tc>
              <w:tc>
                <w:tcPr>
                  <w:tcW w:w="1275" w:type="dxa"/>
                  <w:vAlign w:val="center"/>
                </w:tcPr>
                <w:p>
                  <w:pPr>
                    <w:spacing w:line="320" w:lineRule="exact"/>
                    <w:jc w:val="center"/>
                    <w:rPr>
                      <w:rFonts w:cs="宋体"/>
                      <w:kern w:val="13"/>
                      <w:sz w:val="21"/>
                      <w:szCs w:val="21"/>
                      <w:lang w:bidi="ar"/>
                    </w:rPr>
                  </w:pPr>
                  <w:r>
                    <w:rPr>
                      <w:rFonts w:cs="宋体"/>
                      <w:kern w:val="13"/>
                      <w:sz w:val="21"/>
                      <w:szCs w:val="21"/>
                      <w:lang w:bidi="ar"/>
                    </w:rPr>
                    <w:t>鲟科</w:t>
                  </w: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中华鲟Acipenser sinensis Gray</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国家一级</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restart"/>
                  <w:vAlign w:val="center"/>
                </w:tcPr>
                <w:p>
                  <w:pPr>
                    <w:spacing w:line="320" w:lineRule="exact"/>
                    <w:jc w:val="center"/>
                    <w:rPr>
                      <w:rFonts w:cs="宋体"/>
                      <w:kern w:val="13"/>
                      <w:sz w:val="21"/>
                      <w:szCs w:val="21"/>
                      <w:lang w:bidi="ar"/>
                    </w:rPr>
                  </w:pPr>
                  <w:r>
                    <w:rPr>
                      <w:rFonts w:cs="宋体"/>
                      <w:kern w:val="13"/>
                      <w:sz w:val="21"/>
                      <w:szCs w:val="21"/>
                      <w:lang w:bidi="ar"/>
                    </w:rPr>
                    <w:t>鲱形目</w:t>
                  </w:r>
                </w:p>
              </w:tc>
              <w:tc>
                <w:tcPr>
                  <w:tcW w:w="1275" w:type="dxa"/>
                  <w:vAlign w:val="center"/>
                </w:tcPr>
                <w:p>
                  <w:pPr>
                    <w:spacing w:line="320" w:lineRule="exact"/>
                    <w:jc w:val="center"/>
                    <w:rPr>
                      <w:rFonts w:cs="宋体"/>
                      <w:kern w:val="13"/>
                      <w:sz w:val="21"/>
                      <w:szCs w:val="21"/>
                      <w:lang w:bidi="ar"/>
                    </w:rPr>
                  </w:pPr>
                  <w:r>
                    <w:rPr>
                      <w:rFonts w:cs="宋体"/>
                      <w:kern w:val="13"/>
                      <w:sz w:val="21"/>
                      <w:szCs w:val="21"/>
                      <w:lang w:bidi="ar"/>
                    </w:rPr>
                    <w:t>鲱科</w:t>
                  </w: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鲥鱼Macrura reevs i(Richardson)</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红皮书种</w:t>
                  </w:r>
                </w:p>
              </w:tc>
              <w:tc>
                <w:tcPr>
                  <w:tcW w:w="1381" w:type="dxa"/>
                  <w:vAlign w:val="center"/>
                </w:tcPr>
                <w:p>
                  <w:pPr>
                    <w:spacing w:line="320" w:lineRule="exact"/>
                    <w:jc w:val="center"/>
                    <w:rPr>
                      <w:rFonts w:cs="宋体"/>
                      <w:kern w:val="13"/>
                      <w:sz w:val="21"/>
                      <w:szCs w:val="21"/>
                      <w:lang w:bidi="ar"/>
                    </w:rPr>
                  </w:pPr>
                  <w:r>
                    <w:rPr>
                      <w:rFonts w:cs="宋体"/>
                      <w:kern w:val="13"/>
                      <w:sz w:val="21"/>
                      <w:szCs w:val="21"/>
                      <w:lang w:bidi="ar"/>
                    </w:rPr>
                    <w:t>已无</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vAlign w:val="center"/>
                </w:tcPr>
                <w:p>
                  <w:pPr>
                    <w:spacing w:line="320" w:lineRule="exact"/>
                    <w:jc w:val="center"/>
                    <w:rPr>
                      <w:rFonts w:cs="宋体"/>
                      <w:kern w:val="13"/>
                      <w:sz w:val="21"/>
                      <w:szCs w:val="21"/>
                      <w:lang w:bidi="ar"/>
                    </w:rPr>
                  </w:pPr>
                </w:p>
              </w:tc>
              <w:tc>
                <w:tcPr>
                  <w:tcW w:w="1275" w:type="dxa"/>
                  <w:vAlign w:val="center"/>
                </w:tcPr>
                <w:p>
                  <w:pPr>
                    <w:spacing w:line="320" w:lineRule="exact"/>
                    <w:jc w:val="center"/>
                    <w:rPr>
                      <w:rFonts w:cs="宋体"/>
                      <w:kern w:val="13"/>
                      <w:sz w:val="21"/>
                      <w:szCs w:val="21"/>
                      <w:lang w:bidi="ar"/>
                    </w:rPr>
                  </w:pPr>
                  <w:r>
                    <w:rPr>
                      <w:rFonts w:cs="宋体"/>
                      <w:kern w:val="13"/>
                      <w:sz w:val="21"/>
                      <w:szCs w:val="21"/>
                      <w:lang w:bidi="ar"/>
                    </w:rPr>
                    <w:t>鳀科</w:t>
                  </w: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刀鲚Coilia ectenes Jordan et Seale</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罕见</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Align w:val="center"/>
                </w:tcPr>
                <w:p>
                  <w:pPr>
                    <w:spacing w:line="320" w:lineRule="exact"/>
                    <w:jc w:val="center"/>
                    <w:rPr>
                      <w:rFonts w:cs="宋体"/>
                      <w:kern w:val="13"/>
                      <w:sz w:val="21"/>
                      <w:szCs w:val="21"/>
                      <w:lang w:bidi="ar"/>
                    </w:rPr>
                  </w:pPr>
                  <w:r>
                    <w:rPr>
                      <w:rFonts w:cs="宋体"/>
                      <w:kern w:val="13"/>
                      <w:sz w:val="21"/>
                      <w:szCs w:val="21"/>
                      <w:lang w:bidi="ar"/>
                    </w:rPr>
                    <w:t>鲑形目</w:t>
                  </w:r>
                </w:p>
              </w:tc>
              <w:tc>
                <w:tcPr>
                  <w:tcW w:w="1275" w:type="dxa"/>
                  <w:vAlign w:val="center"/>
                </w:tcPr>
                <w:p>
                  <w:pPr>
                    <w:spacing w:line="320" w:lineRule="exact"/>
                    <w:jc w:val="center"/>
                    <w:rPr>
                      <w:rFonts w:cs="宋体"/>
                      <w:kern w:val="13"/>
                      <w:sz w:val="21"/>
                      <w:szCs w:val="21"/>
                      <w:lang w:bidi="ar"/>
                    </w:rPr>
                  </w:pPr>
                  <w:r>
                    <w:rPr>
                      <w:rFonts w:cs="宋体"/>
                      <w:kern w:val="13"/>
                      <w:sz w:val="21"/>
                      <w:szCs w:val="21"/>
                      <w:lang w:bidi="ar"/>
                    </w:rPr>
                    <w:t>银鱼科</w:t>
                  </w: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大湖新银鱼Neosalanc taihuensis Chen</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少量</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restart"/>
                  <w:vAlign w:val="center"/>
                </w:tcPr>
                <w:p>
                  <w:pPr>
                    <w:spacing w:line="320" w:lineRule="exact"/>
                    <w:jc w:val="center"/>
                    <w:rPr>
                      <w:rFonts w:cs="宋体"/>
                      <w:kern w:val="13"/>
                      <w:sz w:val="21"/>
                      <w:szCs w:val="21"/>
                      <w:lang w:bidi="ar"/>
                    </w:rPr>
                  </w:pPr>
                  <w:r>
                    <w:rPr>
                      <w:rFonts w:cs="宋体"/>
                      <w:kern w:val="13"/>
                      <w:sz w:val="21"/>
                      <w:szCs w:val="21"/>
                      <w:lang w:bidi="ar"/>
                    </w:rPr>
                    <w:t>鲤形目</w:t>
                  </w:r>
                </w:p>
              </w:tc>
              <w:tc>
                <w:tcPr>
                  <w:tcW w:w="1275" w:type="dxa"/>
                  <w:vAlign w:val="center"/>
                </w:tcPr>
                <w:p>
                  <w:pPr>
                    <w:spacing w:line="320" w:lineRule="exact"/>
                    <w:jc w:val="center"/>
                    <w:rPr>
                      <w:rFonts w:cs="宋体"/>
                      <w:kern w:val="13"/>
                      <w:sz w:val="21"/>
                      <w:szCs w:val="21"/>
                      <w:lang w:bidi="ar"/>
                    </w:rPr>
                  </w:pPr>
                  <w:r>
                    <w:rPr>
                      <w:rFonts w:cs="宋体"/>
                      <w:kern w:val="13"/>
                      <w:sz w:val="21"/>
                      <w:szCs w:val="21"/>
                      <w:lang w:bidi="ar"/>
                    </w:rPr>
                    <w:t>胭脂鱼科</w:t>
                  </w: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胭脂鱼Myxocyprinus asiaticus(Bleker)</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国家二级</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vAlign w:val="center"/>
                </w:tcPr>
                <w:p>
                  <w:pPr>
                    <w:spacing w:line="320" w:lineRule="exact"/>
                    <w:jc w:val="center"/>
                    <w:rPr>
                      <w:rFonts w:cs="宋体"/>
                      <w:kern w:val="13"/>
                      <w:sz w:val="21"/>
                      <w:szCs w:val="21"/>
                      <w:lang w:bidi="ar"/>
                    </w:rPr>
                  </w:pPr>
                </w:p>
              </w:tc>
              <w:tc>
                <w:tcPr>
                  <w:tcW w:w="1275" w:type="dxa"/>
                  <w:vAlign w:val="center"/>
                </w:tcPr>
                <w:p>
                  <w:pPr>
                    <w:spacing w:line="320" w:lineRule="exact"/>
                    <w:jc w:val="center"/>
                    <w:rPr>
                      <w:rFonts w:cs="宋体"/>
                      <w:kern w:val="13"/>
                      <w:sz w:val="21"/>
                      <w:szCs w:val="21"/>
                      <w:lang w:bidi="ar"/>
                    </w:rPr>
                  </w:pPr>
                  <w:r>
                    <w:rPr>
                      <w:rFonts w:cs="宋体"/>
                      <w:kern w:val="13"/>
                      <w:sz w:val="21"/>
                      <w:szCs w:val="21"/>
                      <w:lang w:bidi="ar"/>
                    </w:rPr>
                    <w:t>鳅科</w:t>
                  </w: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长薄鳅 Leptobotia elongate (Bleeker)</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红皮书种</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vAlign w:val="center"/>
                </w:tcPr>
                <w:p>
                  <w:pPr>
                    <w:spacing w:line="320" w:lineRule="exact"/>
                    <w:jc w:val="center"/>
                    <w:rPr>
                      <w:rFonts w:cs="宋体"/>
                      <w:kern w:val="13"/>
                      <w:sz w:val="21"/>
                      <w:szCs w:val="21"/>
                      <w:lang w:bidi="ar"/>
                    </w:rPr>
                  </w:pPr>
                </w:p>
              </w:tc>
              <w:tc>
                <w:tcPr>
                  <w:tcW w:w="1275" w:type="dxa"/>
                  <w:vMerge w:val="restart"/>
                  <w:vAlign w:val="center"/>
                </w:tcPr>
                <w:p>
                  <w:pPr>
                    <w:spacing w:line="320" w:lineRule="exact"/>
                    <w:jc w:val="center"/>
                    <w:rPr>
                      <w:rFonts w:cs="宋体"/>
                      <w:kern w:val="13"/>
                      <w:sz w:val="21"/>
                      <w:szCs w:val="21"/>
                      <w:lang w:bidi="ar"/>
                    </w:rPr>
                  </w:pPr>
                  <w:r>
                    <w:rPr>
                      <w:rFonts w:cs="宋体"/>
                      <w:kern w:val="13"/>
                      <w:sz w:val="21"/>
                      <w:szCs w:val="21"/>
                      <w:lang w:bidi="ar"/>
                    </w:rPr>
                    <w:t>鲤科</w:t>
                  </w: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鯮 Leuciobrama macrocephalus (Lacep)</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vAlign w:val="center"/>
                </w:tcPr>
                <w:p>
                  <w:pPr>
                    <w:spacing w:line="320" w:lineRule="exact"/>
                    <w:jc w:val="center"/>
                    <w:rPr>
                      <w:rFonts w:cs="宋体"/>
                      <w:kern w:val="13"/>
                      <w:sz w:val="21"/>
                      <w:szCs w:val="21"/>
                      <w:lang w:bidi="ar"/>
                    </w:rPr>
                  </w:pPr>
                </w:p>
              </w:tc>
              <w:tc>
                <w:tcPr>
                  <w:tcW w:w="1275" w:type="dxa"/>
                  <w:vMerge w:val="continue"/>
                  <w:vAlign w:val="center"/>
                </w:tcPr>
                <w:p>
                  <w:pPr>
                    <w:spacing w:line="320" w:lineRule="exact"/>
                    <w:jc w:val="center"/>
                    <w:rPr>
                      <w:rFonts w:cs="宋体"/>
                      <w:kern w:val="13"/>
                      <w:sz w:val="21"/>
                      <w:szCs w:val="21"/>
                      <w:lang w:bidi="ar"/>
                    </w:rPr>
                  </w:pP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鳤 Ochetobius elongates</w:t>
                  </w:r>
                  <w:r>
                    <w:rPr>
                      <w:rFonts w:hint="eastAsia" w:cs="宋体"/>
                      <w:kern w:val="13"/>
                      <w:sz w:val="21"/>
                      <w:szCs w:val="21"/>
                      <w:lang w:bidi="ar"/>
                    </w:rPr>
                    <w:t>（</w:t>
                  </w:r>
                  <w:r>
                    <w:rPr>
                      <w:rFonts w:cs="宋体"/>
                      <w:kern w:val="13"/>
                      <w:sz w:val="21"/>
                      <w:szCs w:val="21"/>
                      <w:lang w:bidi="ar"/>
                    </w:rPr>
                    <w:t>Kner</w:t>
                  </w:r>
                  <w:r>
                    <w:rPr>
                      <w:rFonts w:hint="eastAsia" w:cs="宋体"/>
                      <w:kern w:val="13"/>
                      <w:sz w:val="21"/>
                      <w:szCs w:val="21"/>
                      <w:lang w:bidi="ar"/>
                    </w:rPr>
                    <w:t>）</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vAlign w:val="center"/>
                </w:tcPr>
                <w:p>
                  <w:pPr>
                    <w:spacing w:line="320" w:lineRule="exact"/>
                    <w:jc w:val="center"/>
                    <w:rPr>
                      <w:rFonts w:cs="宋体"/>
                      <w:kern w:val="13"/>
                      <w:sz w:val="21"/>
                      <w:szCs w:val="21"/>
                      <w:lang w:bidi="ar"/>
                    </w:rPr>
                  </w:pPr>
                </w:p>
              </w:tc>
              <w:tc>
                <w:tcPr>
                  <w:tcW w:w="1275" w:type="dxa"/>
                  <w:vMerge w:val="continue"/>
                  <w:vAlign w:val="center"/>
                </w:tcPr>
                <w:p>
                  <w:pPr>
                    <w:spacing w:line="320" w:lineRule="exact"/>
                    <w:jc w:val="center"/>
                    <w:rPr>
                      <w:rFonts w:cs="宋体"/>
                      <w:kern w:val="13"/>
                      <w:sz w:val="21"/>
                      <w:szCs w:val="21"/>
                      <w:lang w:bidi="ar"/>
                    </w:rPr>
                  </w:pP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湖南吻鮈Rhinogobio hunanensis Tang</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vAlign w:val="center"/>
                </w:tcPr>
                <w:p>
                  <w:pPr>
                    <w:spacing w:line="320" w:lineRule="exact"/>
                    <w:jc w:val="center"/>
                    <w:rPr>
                      <w:rFonts w:cs="宋体"/>
                      <w:kern w:val="13"/>
                      <w:sz w:val="21"/>
                      <w:szCs w:val="21"/>
                      <w:lang w:bidi="ar"/>
                    </w:rPr>
                  </w:pPr>
                </w:p>
              </w:tc>
              <w:tc>
                <w:tcPr>
                  <w:tcW w:w="1275" w:type="dxa"/>
                  <w:vMerge w:val="continue"/>
                  <w:vAlign w:val="center"/>
                </w:tcPr>
                <w:p>
                  <w:pPr>
                    <w:spacing w:line="320" w:lineRule="exact"/>
                    <w:jc w:val="center"/>
                    <w:rPr>
                      <w:rFonts w:cs="宋体"/>
                      <w:kern w:val="13"/>
                      <w:sz w:val="21"/>
                      <w:szCs w:val="21"/>
                      <w:lang w:bidi="ar"/>
                    </w:rPr>
                  </w:pP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湘江蛇鮈S</w:t>
                  </w:r>
                  <w:r>
                    <w:rPr>
                      <w:rFonts w:hint="eastAsia" w:cs="宋体"/>
                      <w:kern w:val="13"/>
                      <w:sz w:val="21"/>
                      <w:szCs w:val="21"/>
                      <w:lang w:bidi="ar"/>
                    </w:rPr>
                    <w:t>.</w:t>
                  </w:r>
                  <w:r>
                    <w:rPr>
                      <w:rFonts w:cs="宋体"/>
                      <w:kern w:val="13"/>
                      <w:sz w:val="21"/>
                      <w:szCs w:val="21"/>
                      <w:lang w:bidi="ar"/>
                    </w:rPr>
                    <w:t xml:space="preserve"> xiangjiangensis Tang</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vAlign w:val="center"/>
                </w:tcPr>
                <w:p>
                  <w:pPr>
                    <w:spacing w:line="320" w:lineRule="exact"/>
                    <w:jc w:val="center"/>
                    <w:rPr>
                      <w:rFonts w:cs="宋体"/>
                      <w:kern w:val="13"/>
                      <w:sz w:val="21"/>
                      <w:szCs w:val="21"/>
                      <w:lang w:bidi="ar"/>
                    </w:rPr>
                  </w:pPr>
                </w:p>
              </w:tc>
              <w:tc>
                <w:tcPr>
                  <w:tcW w:w="1275" w:type="dxa"/>
                  <w:vMerge w:val="continue"/>
                  <w:vAlign w:val="center"/>
                </w:tcPr>
                <w:p>
                  <w:pPr>
                    <w:spacing w:line="320" w:lineRule="exact"/>
                    <w:jc w:val="center"/>
                    <w:rPr>
                      <w:rFonts w:cs="宋体"/>
                      <w:kern w:val="13"/>
                      <w:sz w:val="21"/>
                      <w:szCs w:val="21"/>
                      <w:lang w:bidi="ar"/>
                    </w:rPr>
                  </w:pP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洞庭小鰾鮈M</w:t>
                  </w:r>
                  <w:r>
                    <w:rPr>
                      <w:rFonts w:hint="eastAsia" w:cs="宋体"/>
                      <w:kern w:val="13"/>
                      <w:sz w:val="21"/>
                      <w:szCs w:val="21"/>
                      <w:lang w:bidi="ar"/>
                    </w:rPr>
                    <w:t>.</w:t>
                  </w:r>
                  <w:r>
                    <w:rPr>
                      <w:rFonts w:cs="宋体"/>
                      <w:kern w:val="13"/>
                      <w:sz w:val="21"/>
                      <w:szCs w:val="21"/>
                      <w:lang w:bidi="ar"/>
                    </w:rPr>
                    <w:t>tungtingenis Tang</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cs="宋体"/>
                      <w:kern w:val="13"/>
                      <w:sz w:val="21"/>
                      <w:szCs w:val="21"/>
                      <w:lang w:bidi="ar"/>
                    </w:rPr>
                    <w:t>未发现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vAlign w:val="center"/>
                </w:tcPr>
                <w:p>
                  <w:pPr>
                    <w:spacing w:line="320" w:lineRule="exact"/>
                    <w:jc w:val="center"/>
                    <w:rPr>
                      <w:rFonts w:cs="宋体"/>
                      <w:kern w:val="13"/>
                      <w:sz w:val="21"/>
                      <w:szCs w:val="21"/>
                      <w:lang w:bidi="ar"/>
                    </w:rPr>
                  </w:pPr>
                </w:p>
              </w:tc>
              <w:tc>
                <w:tcPr>
                  <w:tcW w:w="1275" w:type="dxa"/>
                  <w:vMerge w:val="continue"/>
                  <w:vAlign w:val="center"/>
                </w:tcPr>
                <w:p>
                  <w:pPr>
                    <w:spacing w:line="320" w:lineRule="exact"/>
                    <w:jc w:val="center"/>
                    <w:rPr>
                      <w:rFonts w:cs="宋体"/>
                      <w:kern w:val="13"/>
                      <w:sz w:val="21"/>
                      <w:szCs w:val="21"/>
                      <w:lang w:bidi="ar"/>
                    </w:rPr>
                  </w:pP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岩原鲤Procypris rabaudi</w:t>
                  </w:r>
                  <w:r>
                    <w:rPr>
                      <w:rFonts w:hint="eastAsia" w:cs="宋体"/>
                      <w:kern w:val="13"/>
                      <w:sz w:val="21"/>
                      <w:szCs w:val="21"/>
                      <w:lang w:bidi="ar"/>
                    </w:rPr>
                    <w:t>（</w:t>
                  </w:r>
                  <w:r>
                    <w:rPr>
                      <w:rFonts w:cs="宋体"/>
                      <w:kern w:val="13"/>
                      <w:sz w:val="21"/>
                      <w:szCs w:val="21"/>
                      <w:lang w:bidi="ar"/>
                    </w:rPr>
                    <w:t>Tchang</w:t>
                  </w:r>
                  <w:r>
                    <w:rPr>
                      <w:rFonts w:hint="eastAsia" w:cs="宋体"/>
                      <w:kern w:val="13"/>
                      <w:sz w:val="21"/>
                      <w:szCs w:val="21"/>
                      <w:lang w:bidi="ar"/>
                    </w:rPr>
                    <w:t>）</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vAlign w:val="center"/>
                </w:tcPr>
                <w:p>
                  <w:pPr>
                    <w:spacing w:line="320" w:lineRule="exact"/>
                    <w:jc w:val="center"/>
                    <w:rPr>
                      <w:rFonts w:cs="宋体"/>
                      <w:kern w:val="13"/>
                      <w:sz w:val="21"/>
                      <w:szCs w:val="21"/>
                      <w:lang w:bidi="ar"/>
                    </w:rPr>
                  </w:pPr>
                </w:p>
              </w:tc>
              <w:tc>
                <w:tcPr>
                  <w:tcW w:w="1275" w:type="dxa"/>
                  <w:vAlign w:val="center"/>
                </w:tcPr>
                <w:p>
                  <w:pPr>
                    <w:spacing w:line="320" w:lineRule="exact"/>
                    <w:jc w:val="center"/>
                    <w:rPr>
                      <w:rFonts w:cs="宋体"/>
                      <w:kern w:val="13"/>
                      <w:sz w:val="21"/>
                      <w:szCs w:val="21"/>
                      <w:lang w:bidi="ar"/>
                    </w:rPr>
                  </w:pPr>
                  <w:r>
                    <w:rPr>
                      <w:rFonts w:cs="宋体"/>
                      <w:kern w:val="13"/>
                      <w:sz w:val="21"/>
                      <w:szCs w:val="21"/>
                      <w:lang w:bidi="ar"/>
                    </w:rPr>
                    <w:t>平鳍鳅科</w:t>
                  </w: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厚唇原吸鳅P</w:t>
                  </w:r>
                  <w:r>
                    <w:rPr>
                      <w:rFonts w:hint="eastAsia" w:cs="宋体"/>
                      <w:kern w:val="13"/>
                      <w:sz w:val="21"/>
                      <w:szCs w:val="21"/>
                      <w:lang w:bidi="ar"/>
                    </w:rPr>
                    <w:t>.</w:t>
                  </w:r>
                  <w:r>
                    <w:rPr>
                      <w:rFonts w:cs="宋体"/>
                      <w:kern w:val="13"/>
                      <w:sz w:val="21"/>
                      <w:szCs w:val="21"/>
                      <w:lang w:bidi="ar"/>
                    </w:rPr>
                    <w:t xml:space="preserve"> pachycheilus Chen</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vAlign w:val="center"/>
                </w:tcPr>
                <w:p>
                  <w:pPr>
                    <w:spacing w:line="320" w:lineRule="exact"/>
                    <w:jc w:val="center"/>
                    <w:rPr>
                      <w:rFonts w:cs="宋体"/>
                      <w:kern w:val="13"/>
                      <w:sz w:val="21"/>
                      <w:szCs w:val="21"/>
                      <w:lang w:bidi="ar"/>
                    </w:rPr>
                  </w:pPr>
                </w:p>
              </w:tc>
              <w:tc>
                <w:tcPr>
                  <w:tcW w:w="1275" w:type="dxa"/>
                  <w:vAlign w:val="center"/>
                </w:tcPr>
                <w:p>
                  <w:pPr>
                    <w:spacing w:line="320" w:lineRule="exact"/>
                    <w:jc w:val="center"/>
                    <w:rPr>
                      <w:rFonts w:cs="宋体"/>
                      <w:kern w:val="13"/>
                      <w:sz w:val="21"/>
                      <w:szCs w:val="21"/>
                      <w:lang w:bidi="ar"/>
                    </w:rPr>
                  </w:pPr>
                  <w:r>
                    <w:rPr>
                      <w:rFonts w:cs="宋体"/>
                      <w:kern w:val="13"/>
                      <w:sz w:val="21"/>
                      <w:szCs w:val="21"/>
                      <w:lang w:bidi="ar"/>
                    </w:rPr>
                    <w:t>鮠科</w:t>
                  </w: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长吻鮠Leiocasis longirostris Cunther</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少量</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restart"/>
                  <w:vAlign w:val="center"/>
                </w:tcPr>
                <w:p>
                  <w:pPr>
                    <w:spacing w:line="320" w:lineRule="exact"/>
                    <w:jc w:val="center"/>
                    <w:rPr>
                      <w:rFonts w:cs="宋体"/>
                      <w:kern w:val="13"/>
                      <w:sz w:val="21"/>
                      <w:szCs w:val="21"/>
                      <w:lang w:bidi="ar"/>
                    </w:rPr>
                  </w:pPr>
                  <w:r>
                    <w:rPr>
                      <w:rFonts w:cs="宋体"/>
                      <w:kern w:val="13"/>
                      <w:sz w:val="21"/>
                      <w:szCs w:val="21"/>
                      <w:lang w:bidi="ar"/>
                    </w:rPr>
                    <w:t>鲈形目</w:t>
                  </w:r>
                </w:p>
              </w:tc>
              <w:tc>
                <w:tcPr>
                  <w:tcW w:w="1275" w:type="dxa"/>
                  <w:vMerge w:val="restart"/>
                  <w:vAlign w:val="center"/>
                </w:tcPr>
                <w:p>
                  <w:pPr>
                    <w:spacing w:line="320" w:lineRule="exact"/>
                    <w:jc w:val="center"/>
                    <w:rPr>
                      <w:rFonts w:cs="宋体"/>
                      <w:kern w:val="13"/>
                      <w:sz w:val="21"/>
                      <w:szCs w:val="21"/>
                      <w:lang w:bidi="ar"/>
                    </w:rPr>
                  </w:pPr>
                  <w:r>
                    <w:rPr>
                      <w:rFonts w:cs="宋体"/>
                      <w:kern w:val="13"/>
                      <w:sz w:val="21"/>
                      <w:szCs w:val="21"/>
                      <w:lang w:bidi="ar"/>
                    </w:rPr>
                    <w:t>鮨科</w:t>
                  </w: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波纹鳜Siniperca undulate Fang et Chong</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vAlign w:val="center"/>
                </w:tcPr>
                <w:p>
                  <w:pPr>
                    <w:spacing w:line="320" w:lineRule="exact"/>
                    <w:jc w:val="center"/>
                    <w:rPr>
                      <w:rFonts w:cs="宋体"/>
                      <w:kern w:val="13"/>
                      <w:sz w:val="21"/>
                      <w:szCs w:val="21"/>
                      <w:lang w:bidi="ar"/>
                    </w:rPr>
                  </w:pPr>
                </w:p>
              </w:tc>
              <w:tc>
                <w:tcPr>
                  <w:tcW w:w="1275" w:type="dxa"/>
                  <w:vMerge w:val="continue"/>
                  <w:vAlign w:val="center"/>
                </w:tcPr>
                <w:p>
                  <w:pPr>
                    <w:spacing w:line="320" w:lineRule="exact"/>
                    <w:jc w:val="center"/>
                    <w:rPr>
                      <w:rFonts w:cs="宋体"/>
                      <w:kern w:val="13"/>
                      <w:sz w:val="21"/>
                      <w:szCs w:val="21"/>
                      <w:lang w:bidi="ar"/>
                    </w:rPr>
                  </w:pP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暗鳜 Siniperca obscura Nichols</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vAlign w:val="center"/>
                </w:tcPr>
                <w:p>
                  <w:pPr>
                    <w:spacing w:line="320" w:lineRule="exact"/>
                    <w:jc w:val="center"/>
                    <w:rPr>
                      <w:rFonts w:cs="宋体"/>
                      <w:kern w:val="13"/>
                      <w:sz w:val="21"/>
                      <w:szCs w:val="21"/>
                      <w:lang w:bidi="ar"/>
                    </w:rPr>
                  </w:pPr>
                </w:p>
              </w:tc>
              <w:tc>
                <w:tcPr>
                  <w:tcW w:w="1275" w:type="dxa"/>
                  <w:vMerge w:val="continue"/>
                  <w:vAlign w:val="center"/>
                </w:tcPr>
                <w:p>
                  <w:pPr>
                    <w:spacing w:line="320" w:lineRule="exact"/>
                    <w:jc w:val="center"/>
                    <w:rPr>
                      <w:rFonts w:cs="宋体"/>
                      <w:kern w:val="13"/>
                      <w:sz w:val="21"/>
                      <w:szCs w:val="21"/>
                      <w:lang w:bidi="ar"/>
                    </w:rPr>
                  </w:pP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长身鳜 Coreosiniperca roulei（Wu）</w:t>
                  </w:r>
                </w:p>
              </w:tc>
              <w:tc>
                <w:tcPr>
                  <w:tcW w:w="1560" w:type="dxa"/>
                  <w:vAlign w:val="center"/>
                </w:tcPr>
                <w:p>
                  <w:pPr>
                    <w:spacing w:line="320" w:lineRule="exact"/>
                    <w:jc w:val="center"/>
                    <w:rPr>
                      <w:rFonts w:cs="宋体"/>
                      <w:kern w:val="13"/>
                      <w:sz w:val="21"/>
                      <w:szCs w:val="21"/>
                      <w:lang w:bidi="ar"/>
                    </w:rPr>
                  </w:pPr>
                  <w:r>
                    <w:rPr>
                      <w:rFonts w:hint="eastAsia" w:cs="宋体"/>
                      <w:kern w:val="13"/>
                      <w:sz w:val="21"/>
                      <w:szCs w:val="21"/>
                      <w:lang w:bidi="ar"/>
                    </w:rPr>
                    <w:t>红皮书种</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vAlign w:val="center"/>
                </w:tcPr>
                <w:p>
                  <w:pPr>
                    <w:spacing w:line="320" w:lineRule="exact"/>
                    <w:jc w:val="center"/>
                    <w:rPr>
                      <w:rFonts w:cs="宋体"/>
                      <w:kern w:val="13"/>
                      <w:sz w:val="21"/>
                      <w:szCs w:val="21"/>
                      <w:lang w:bidi="ar"/>
                    </w:rPr>
                  </w:pPr>
                </w:p>
              </w:tc>
              <w:tc>
                <w:tcPr>
                  <w:tcW w:w="1275" w:type="dxa"/>
                  <w:vAlign w:val="center"/>
                </w:tcPr>
                <w:p>
                  <w:pPr>
                    <w:spacing w:line="320" w:lineRule="exact"/>
                    <w:jc w:val="center"/>
                    <w:rPr>
                      <w:rFonts w:cs="宋体"/>
                      <w:kern w:val="13"/>
                      <w:sz w:val="21"/>
                      <w:szCs w:val="21"/>
                      <w:lang w:bidi="ar"/>
                    </w:rPr>
                  </w:pPr>
                  <w:r>
                    <w:rPr>
                      <w:rFonts w:cs="宋体"/>
                      <w:kern w:val="13"/>
                      <w:sz w:val="21"/>
                      <w:szCs w:val="21"/>
                      <w:lang w:bidi="ar"/>
                    </w:rPr>
                    <w:t>攀鲈科</w:t>
                  </w: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圆尾斗鱼M</w:t>
                  </w:r>
                  <w:r>
                    <w:rPr>
                      <w:rFonts w:hint="eastAsia" w:cs="宋体"/>
                      <w:kern w:val="13"/>
                      <w:sz w:val="21"/>
                      <w:szCs w:val="21"/>
                      <w:lang w:bidi="ar"/>
                    </w:rPr>
                    <w:t>.</w:t>
                  </w:r>
                  <w:r>
                    <w:rPr>
                      <w:rFonts w:cs="宋体"/>
                      <w:kern w:val="13"/>
                      <w:sz w:val="21"/>
                      <w:szCs w:val="21"/>
                      <w:lang w:bidi="ar"/>
                    </w:rPr>
                    <w:t xml:space="preserve"> opercularis</w:t>
                  </w:r>
                  <w:r>
                    <w:rPr>
                      <w:rFonts w:hint="eastAsia" w:cs="宋体"/>
                      <w:kern w:val="13"/>
                      <w:sz w:val="21"/>
                      <w:szCs w:val="21"/>
                      <w:lang w:bidi="ar"/>
                    </w:rPr>
                    <w:t>（</w:t>
                  </w:r>
                  <w:r>
                    <w:rPr>
                      <w:rFonts w:cs="宋体"/>
                      <w:kern w:val="13"/>
                      <w:sz w:val="21"/>
                      <w:szCs w:val="21"/>
                      <w:lang w:bidi="ar"/>
                    </w:rPr>
                    <w:t>Linnaeus</w:t>
                  </w:r>
                  <w:r>
                    <w:rPr>
                      <w:rFonts w:hint="eastAsia" w:cs="宋体"/>
                      <w:kern w:val="13"/>
                      <w:sz w:val="21"/>
                      <w:szCs w:val="21"/>
                      <w:lang w:bidi="ar"/>
                    </w:rPr>
                    <w:t>）</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restart"/>
                  <w:vAlign w:val="center"/>
                </w:tcPr>
                <w:p>
                  <w:pPr>
                    <w:spacing w:line="320" w:lineRule="exact"/>
                    <w:jc w:val="center"/>
                    <w:rPr>
                      <w:rFonts w:cs="宋体"/>
                      <w:kern w:val="13"/>
                      <w:sz w:val="21"/>
                      <w:szCs w:val="21"/>
                      <w:lang w:bidi="ar"/>
                    </w:rPr>
                  </w:pPr>
                  <w:r>
                    <w:rPr>
                      <w:rFonts w:cs="宋体"/>
                      <w:kern w:val="13"/>
                      <w:sz w:val="21"/>
                      <w:szCs w:val="21"/>
                      <w:lang w:bidi="ar"/>
                    </w:rPr>
                    <w:t>螺类</w:t>
                  </w:r>
                </w:p>
              </w:tc>
              <w:tc>
                <w:tcPr>
                  <w:tcW w:w="1275" w:type="dxa"/>
                  <w:vMerge w:val="restart"/>
                  <w:vAlign w:val="center"/>
                </w:tcPr>
                <w:p>
                  <w:pPr>
                    <w:spacing w:line="320" w:lineRule="exact"/>
                    <w:jc w:val="center"/>
                    <w:rPr>
                      <w:rFonts w:cs="宋体"/>
                      <w:kern w:val="13"/>
                      <w:sz w:val="21"/>
                      <w:szCs w:val="21"/>
                      <w:lang w:bidi="ar"/>
                    </w:rPr>
                  </w:pPr>
                  <w:r>
                    <w:rPr>
                      <w:rFonts w:cs="宋体"/>
                      <w:kern w:val="13"/>
                      <w:sz w:val="21"/>
                      <w:szCs w:val="21"/>
                      <w:lang w:bidi="ar"/>
                    </w:rPr>
                    <w:t>田螺科</w:t>
                  </w: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中华园田螺C</w:t>
                  </w:r>
                  <w:r>
                    <w:rPr>
                      <w:rFonts w:hint="eastAsia" w:cs="宋体"/>
                      <w:kern w:val="13"/>
                      <w:sz w:val="21"/>
                      <w:szCs w:val="21"/>
                      <w:lang w:bidi="ar"/>
                    </w:rPr>
                    <w:t>.</w:t>
                  </w:r>
                  <w:r>
                    <w:rPr>
                      <w:rFonts w:cs="宋体"/>
                      <w:kern w:val="13"/>
                      <w:sz w:val="21"/>
                      <w:szCs w:val="21"/>
                      <w:lang w:bidi="ar"/>
                    </w:rPr>
                    <w:t xml:space="preserve"> cathayensis</w:t>
                  </w:r>
                  <w:r>
                    <w:rPr>
                      <w:rFonts w:hint="eastAsia" w:cs="宋体"/>
                      <w:kern w:val="13"/>
                      <w:sz w:val="21"/>
                      <w:szCs w:val="21"/>
                      <w:lang w:bidi="ar"/>
                    </w:rPr>
                    <w:t>（</w:t>
                  </w:r>
                  <w:r>
                    <w:rPr>
                      <w:rFonts w:cs="宋体"/>
                      <w:kern w:val="13"/>
                      <w:sz w:val="21"/>
                      <w:szCs w:val="21"/>
                      <w:lang w:bidi="ar"/>
                    </w:rPr>
                    <w:t>Heude</w:t>
                  </w:r>
                  <w:r>
                    <w:rPr>
                      <w:rFonts w:hint="eastAsia" w:cs="宋体"/>
                      <w:kern w:val="13"/>
                      <w:sz w:val="21"/>
                      <w:szCs w:val="21"/>
                      <w:lang w:bidi="ar"/>
                    </w:rPr>
                    <w:t>）</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vAlign w:val="center"/>
                </w:tcPr>
                <w:p>
                  <w:pPr>
                    <w:spacing w:line="320" w:lineRule="exact"/>
                    <w:jc w:val="center"/>
                    <w:rPr>
                      <w:rFonts w:cs="宋体"/>
                      <w:kern w:val="13"/>
                      <w:sz w:val="21"/>
                      <w:szCs w:val="21"/>
                      <w:lang w:bidi="ar"/>
                    </w:rPr>
                  </w:pPr>
                </w:p>
              </w:tc>
              <w:tc>
                <w:tcPr>
                  <w:tcW w:w="1275" w:type="dxa"/>
                  <w:vMerge w:val="continue"/>
                  <w:vAlign w:val="center"/>
                </w:tcPr>
                <w:p>
                  <w:pPr>
                    <w:spacing w:line="320" w:lineRule="exact"/>
                    <w:jc w:val="center"/>
                    <w:rPr>
                      <w:rFonts w:cs="宋体"/>
                      <w:kern w:val="13"/>
                      <w:sz w:val="21"/>
                      <w:szCs w:val="21"/>
                      <w:lang w:bidi="ar"/>
                    </w:rPr>
                  </w:pP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中国小百螺B</w:t>
                  </w:r>
                  <w:r>
                    <w:rPr>
                      <w:rFonts w:hint="eastAsia" w:cs="宋体"/>
                      <w:kern w:val="13"/>
                      <w:sz w:val="21"/>
                      <w:szCs w:val="21"/>
                      <w:lang w:bidi="ar"/>
                    </w:rPr>
                    <w:t>.</w:t>
                  </w:r>
                  <w:r>
                    <w:rPr>
                      <w:rFonts w:cs="宋体"/>
                      <w:kern w:val="13"/>
                      <w:sz w:val="21"/>
                      <w:szCs w:val="21"/>
                      <w:lang w:bidi="ar"/>
                    </w:rPr>
                    <w:t xml:space="preserve"> chinensis Lin et Zhang</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vAlign w:val="center"/>
                </w:tcPr>
                <w:p>
                  <w:pPr>
                    <w:spacing w:line="320" w:lineRule="exact"/>
                    <w:jc w:val="center"/>
                    <w:rPr>
                      <w:rFonts w:cs="宋体"/>
                      <w:kern w:val="13"/>
                      <w:sz w:val="21"/>
                      <w:szCs w:val="21"/>
                      <w:lang w:bidi="ar"/>
                    </w:rPr>
                  </w:pPr>
                </w:p>
              </w:tc>
              <w:tc>
                <w:tcPr>
                  <w:tcW w:w="1275" w:type="dxa"/>
                  <w:vMerge w:val="continue"/>
                  <w:vAlign w:val="center"/>
                </w:tcPr>
                <w:p>
                  <w:pPr>
                    <w:spacing w:line="320" w:lineRule="exact"/>
                    <w:jc w:val="center"/>
                    <w:rPr>
                      <w:rFonts w:cs="宋体"/>
                      <w:kern w:val="13"/>
                      <w:sz w:val="21"/>
                      <w:szCs w:val="21"/>
                      <w:lang w:bidi="ar"/>
                    </w:rPr>
                  </w:pP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卵河螺Rivulariaovum</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restart"/>
                  <w:vAlign w:val="center"/>
                </w:tcPr>
                <w:p>
                  <w:pPr>
                    <w:spacing w:line="320" w:lineRule="exact"/>
                    <w:jc w:val="center"/>
                    <w:rPr>
                      <w:rFonts w:cs="宋体"/>
                      <w:kern w:val="13"/>
                      <w:sz w:val="21"/>
                      <w:szCs w:val="21"/>
                      <w:lang w:bidi="ar"/>
                    </w:rPr>
                  </w:pPr>
                  <w:r>
                    <w:rPr>
                      <w:rFonts w:cs="宋体"/>
                      <w:kern w:val="13"/>
                      <w:sz w:val="21"/>
                      <w:szCs w:val="21"/>
                      <w:lang w:bidi="ar"/>
                    </w:rPr>
                    <w:t>真瓣鳃科</w:t>
                  </w:r>
                </w:p>
              </w:tc>
              <w:tc>
                <w:tcPr>
                  <w:tcW w:w="1275" w:type="dxa"/>
                  <w:vMerge w:val="restart"/>
                  <w:vAlign w:val="center"/>
                </w:tcPr>
                <w:p>
                  <w:pPr>
                    <w:spacing w:line="320" w:lineRule="exact"/>
                    <w:jc w:val="center"/>
                    <w:rPr>
                      <w:rFonts w:cs="宋体"/>
                      <w:kern w:val="13"/>
                      <w:sz w:val="21"/>
                      <w:szCs w:val="21"/>
                      <w:lang w:bidi="ar"/>
                    </w:rPr>
                  </w:pPr>
                  <w:r>
                    <w:rPr>
                      <w:rFonts w:cs="宋体"/>
                      <w:kern w:val="13"/>
                      <w:sz w:val="21"/>
                      <w:szCs w:val="21"/>
                      <w:lang w:bidi="ar"/>
                    </w:rPr>
                    <w:t>蚌科</w:t>
                  </w: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微红楔蚌C</w:t>
                  </w:r>
                  <w:r>
                    <w:rPr>
                      <w:rFonts w:hint="eastAsia" w:cs="宋体"/>
                      <w:kern w:val="13"/>
                      <w:sz w:val="21"/>
                      <w:szCs w:val="21"/>
                      <w:lang w:bidi="ar"/>
                    </w:rPr>
                    <w:t>.</w:t>
                  </w:r>
                  <w:r>
                    <w:rPr>
                      <w:rFonts w:cs="宋体"/>
                      <w:kern w:val="13"/>
                      <w:sz w:val="21"/>
                      <w:szCs w:val="21"/>
                      <w:lang w:bidi="ar"/>
                    </w:rPr>
                    <w:t xml:space="preserve"> rupescens</w:t>
                  </w:r>
                  <w:r>
                    <w:rPr>
                      <w:rFonts w:hint="eastAsia" w:cs="宋体"/>
                      <w:kern w:val="13"/>
                      <w:sz w:val="21"/>
                      <w:szCs w:val="21"/>
                      <w:lang w:bidi="ar"/>
                    </w:rPr>
                    <w:t>（</w:t>
                  </w:r>
                  <w:r>
                    <w:rPr>
                      <w:rFonts w:cs="宋体"/>
                      <w:kern w:val="13"/>
                      <w:sz w:val="21"/>
                      <w:szCs w:val="21"/>
                      <w:lang w:bidi="ar"/>
                    </w:rPr>
                    <w:t>Heude</w:t>
                  </w:r>
                  <w:r>
                    <w:rPr>
                      <w:rFonts w:hint="eastAsia" w:cs="宋体"/>
                      <w:kern w:val="13"/>
                      <w:sz w:val="21"/>
                      <w:szCs w:val="21"/>
                      <w:lang w:bidi="ar"/>
                    </w:rPr>
                    <w:t>）</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tcPr>
                <w:p>
                  <w:pPr>
                    <w:spacing w:line="320" w:lineRule="exact"/>
                    <w:jc w:val="center"/>
                    <w:rPr>
                      <w:rFonts w:cs="宋体"/>
                      <w:kern w:val="13"/>
                      <w:sz w:val="21"/>
                      <w:szCs w:val="21"/>
                      <w:lang w:bidi="ar"/>
                    </w:rPr>
                  </w:pPr>
                </w:p>
              </w:tc>
              <w:tc>
                <w:tcPr>
                  <w:tcW w:w="1275" w:type="dxa"/>
                  <w:vMerge w:val="continue"/>
                </w:tcPr>
                <w:p>
                  <w:pPr>
                    <w:spacing w:line="320" w:lineRule="exact"/>
                    <w:jc w:val="center"/>
                    <w:rPr>
                      <w:rFonts w:cs="宋体"/>
                      <w:kern w:val="13"/>
                      <w:sz w:val="21"/>
                      <w:szCs w:val="21"/>
                      <w:lang w:bidi="ar"/>
                    </w:rPr>
                  </w:pP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三型矛蚌L</w:t>
                  </w:r>
                  <w:r>
                    <w:rPr>
                      <w:rFonts w:hint="eastAsia" w:cs="宋体"/>
                      <w:kern w:val="13"/>
                      <w:sz w:val="21"/>
                      <w:szCs w:val="21"/>
                      <w:lang w:bidi="ar"/>
                    </w:rPr>
                    <w:t>.</w:t>
                  </w:r>
                  <w:r>
                    <w:rPr>
                      <w:rFonts w:cs="宋体"/>
                      <w:kern w:val="13"/>
                      <w:sz w:val="21"/>
                      <w:szCs w:val="21"/>
                      <w:lang w:bidi="ar"/>
                    </w:rPr>
                    <w:t xml:space="preserve"> triformis</w:t>
                  </w:r>
                  <w:r>
                    <w:rPr>
                      <w:rFonts w:hint="eastAsia" w:cs="宋体"/>
                      <w:kern w:val="13"/>
                      <w:sz w:val="21"/>
                      <w:szCs w:val="21"/>
                      <w:lang w:bidi="ar"/>
                    </w:rPr>
                    <w:t>（</w:t>
                  </w:r>
                  <w:r>
                    <w:rPr>
                      <w:rFonts w:cs="宋体"/>
                      <w:kern w:val="13"/>
                      <w:sz w:val="21"/>
                      <w:szCs w:val="21"/>
                      <w:lang w:bidi="ar"/>
                    </w:rPr>
                    <w:t>Heude</w:t>
                  </w:r>
                  <w:r>
                    <w:rPr>
                      <w:rFonts w:hint="eastAsia" w:cs="宋体"/>
                      <w:kern w:val="13"/>
                      <w:sz w:val="21"/>
                      <w:szCs w:val="21"/>
                      <w:lang w:bidi="ar"/>
                    </w:rPr>
                    <w:t>）</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tcPr>
                <w:p>
                  <w:pPr>
                    <w:spacing w:line="320" w:lineRule="exact"/>
                    <w:jc w:val="center"/>
                    <w:rPr>
                      <w:rFonts w:cs="宋体"/>
                      <w:kern w:val="13"/>
                      <w:sz w:val="21"/>
                      <w:szCs w:val="21"/>
                      <w:lang w:bidi="ar"/>
                    </w:rPr>
                  </w:pPr>
                </w:p>
              </w:tc>
              <w:tc>
                <w:tcPr>
                  <w:tcW w:w="1275" w:type="dxa"/>
                  <w:vMerge w:val="continue"/>
                </w:tcPr>
                <w:p>
                  <w:pPr>
                    <w:spacing w:line="320" w:lineRule="exact"/>
                    <w:jc w:val="center"/>
                    <w:rPr>
                      <w:rFonts w:cs="宋体"/>
                      <w:kern w:val="13"/>
                      <w:sz w:val="21"/>
                      <w:szCs w:val="21"/>
                      <w:lang w:bidi="ar"/>
                    </w:rPr>
                  </w:pP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常耳丽蚌L</w:t>
                  </w:r>
                  <w:r>
                    <w:rPr>
                      <w:rFonts w:hint="eastAsia" w:cs="宋体"/>
                      <w:kern w:val="13"/>
                      <w:sz w:val="21"/>
                      <w:szCs w:val="21"/>
                      <w:lang w:bidi="ar"/>
                    </w:rPr>
                    <w:t>.</w:t>
                  </w:r>
                  <w:r>
                    <w:rPr>
                      <w:rFonts w:cs="宋体"/>
                      <w:kern w:val="13"/>
                      <w:sz w:val="21"/>
                      <w:szCs w:val="21"/>
                      <w:lang w:bidi="ar"/>
                    </w:rPr>
                    <w:t xml:space="preserve"> rochechouarti</w:t>
                  </w:r>
                  <w:r>
                    <w:rPr>
                      <w:rFonts w:hint="eastAsia" w:cs="宋体"/>
                      <w:kern w:val="13"/>
                      <w:sz w:val="21"/>
                      <w:szCs w:val="21"/>
                      <w:lang w:bidi="ar"/>
                    </w:rPr>
                    <w:t>（</w:t>
                  </w:r>
                  <w:r>
                    <w:rPr>
                      <w:rFonts w:cs="宋体"/>
                      <w:kern w:val="13"/>
                      <w:sz w:val="21"/>
                      <w:szCs w:val="21"/>
                      <w:lang w:bidi="ar"/>
                    </w:rPr>
                    <w:t>Heude</w:t>
                  </w:r>
                  <w:r>
                    <w:rPr>
                      <w:rFonts w:hint="eastAsia" w:cs="宋体"/>
                      <w:kern w:val="13"/>
                      <w:sz w:val="21"/>
                      <w:szCs w:val="21"/>
                      <w:lang w:bidi="ar"/>
                    </w:rPr>
                    <w:t>）</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1" w:type="dxa"/>
                  <w:vMerge w:val="continue"/>
                </w:tcPr>
                <w:p>
                  <w:pPr>
                    <w:spacing w:line="320" w:lineRule="exact"/>
                    <w:jc w:val="center"/>
                    <w:rPr>
                      <w:rFonts w:cs="宋体"/>
                      <w:kern w:val="13"/>
                      <w:sz w:val="21"/>
                      <w:szCs w:val="21"/>
                      <w:lang w:bidi="ar"/>
                    </w:rPr>
                  </w:pPr>
                </w:p>
              </w:tc>
              <w:tc>
                <w:tcPr>
                  <w:tcW w:w="1275" w:type="dxa"/>
                  <w:vMerge w:val="continue"/>
                </w:tcPr>
                <w:p>
                  <w:pPr>
                    <w:spacing w:line="320" w:lineRule="exact"/>
                    <w:jc w:val="center"/>
                    <w:rPr>
                      <w:rFonts w:cs="宋体"/>
                      <w:kern w:val="13"/>
                      <w:sz w:val="21"/>
                      <w:szCs w:val="21"/>
                      <w:lang w:bidi="ar"/>
                    </w:rPr>
                  </w:pPr>
                </w:p>
              </w:tc>
              <w:tc>
                <w:tcPr>
                  <w:tcW w:w="3969" w:type="dxa"/>
                  <w:vAlign w:val="center"/>
                </w:tcPr>
                <w:p>
                  <w:pPr>
                    <w:spacing w:line="320" w:lineRule="exact"/>
                    <w:jc w:val="center"/>
                    <w:rPr>
                      <w:rFonts w:cs="宋体"/>
                      <w:kern w:val="13"/>
                      <w:sz w:val="21"/>
                      <w:szCs w:val="21"/>
                      <w:lang w:bidi="ar"/>
                    </w:rPr>
                  </w:pPr>
                  <w:r>
                    <w:rPr>
                      <w:rFonts w:cs="宋体"/>
                      <w:kern w:val="13"/>
                      <w:sz w:val="21"/>
                      <w:szCs w:val="21"/>
                      <w:lang w:bidi="ar"/>
                    </w:rPr>
                    <w:t>背瘤丽蚌Lamprotula leai Gray</w:t>
                  </w:r>
                </w:p>
              </w:tc>
              <w:tc>
                <w:tcPr>
                  <w:tcW w:w="1560" w:type="dxa"/>
                  <w:vAlign w:val="center"/>
                </w:tcPr>
                <w:p>
                  <w:pPr>
                    <w:spacing w:line="320" w:lineRule="exact"/>
                    <w:jc w:val="center"/>
                    <w:rPr>
                      <w:rFonts w:cs="宋体"/>
                      <w:kern w:val="13"/>
                      <w:sz w:val="21"/>
                      <w:szCs w:val="21"/>
                      <w:lang w:bidi="ar"/>
                    </w:rPr>
                  </w:pPr>
                  <w:r>
                    <w:rPr>
                      <w:rFonts w:cs="宋体"/>
                      <w:kern w:val="13"/>
                      <w:sz w:val="21"/>
                      <w:szCs w:val="21"/>
                      <w:lang w:bidi="ar"/>
                    </w:rPr>
                    <w:t>省重点</w:t>
                  </w:r>
                </w:p>
              </w:tc>
              <w:tc>
                <w:tcPr>
                  <w:tcW w:w="1381" w:type="dxa"/>
                  <w:vAlign w:val="center"/>
                </w:tcPr>
                <w:p>
                  <w:pPr>
                    <w:spacing w:line="320" w:lineRule="exact"/>
                    <w:jc w:val="center"/>
                    <w:rPr>
                      <w:rFonts w:cs="宋体"/>
                      <w:kern w:val="13"/>
                      <w:sz w:val="21"/>
                      <w:szCs w:val="21"/>
                      <w:lang w:bidi="ar"/>
                    </w:rPr>
                  </w:pPr>
                  <w:r>
                    <w:rPr>
                      <w:rFonts w:hint="eastAsia" w:cs="宋体"/>
                      <w:kern w:val="13"/>
                      <w:sz w:val="21"/>
                      <w:szCs w:val="21"/>
                      <w:lang w:bidi="ar"/>
                    </w:rPr>
                    <w:t>濒危</w:t>
                  </w:r>
                </w:p>
              </w:tc>
            </w:tr>
          </w:tbl>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保护区为猪耳丽蚌、背瘤丽蚌、三型矛蚌、微红楔蚌、中华园田螺、中国小豆螺、卵河螺的主要分布区，其中猪耳丽蚌、背瘤丽蚌等丽蚌类种类多，资源丰富，为我国丽蚌类资源最丰富的水域之一。其他种类在保护区水域有记载，但非主要分布区。</w:t>
            </w:r>
          </w:p>
          <w:p>
            <w:pPr>
              <w:rPr>
                <w:b/>
              </w:rPr>
            </w:pPr>
            <w:r>
              <w:rPr>
                <w:b/>
              </w:rPr>
              <w:t>6.</w:t>
            </w:r>
            <w:r>
              <w:rPr>
                <w:rFonts w:hint="eastAsia"/>
                <w:b/>
                <w:lang w:val="en-US" w:eastAsia="zh-CN"/>
              </w:rPr>
              <w:t>1</w:t>
            </w:r>
            <w:r>
              <w:rPr>
                <w:b/>
              </w:rPr>
              <w:t>.</w:t>
            </w:r>
            <w:r>
              <w:rPr>
                <w:rFonts w:hint="eastAsia"/>
                <w:b/>
                <w:lang w:val="en-US" w:eastAsia="zh-CN"/>
              </w:rPr>
              <w:t>3</w:t>
            </w:r>
            <w:r>
              <w:rPr>
                <w:b/>
              </w:rPr>
              <w:t>.</w:t>
            </w:r>
            <w:r>
              <w:rPr>
                <w:rFonts w:hint="eastAsia"/>
                <w:b/>
                <w:lang w:val="en-US" w:eastAsia="zh-CN"/>
              </w:rPr>
              <w:t>4</w:t>
            </w:r>
            <w:r>
              <w:rPr>
                <w:rFonts w:hint="eastAsia"/>
                <w:b/>
              </w:rPr>
              <w:t>保护区饵料生物资源现状</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（1）浮游生物</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保护区江段水域中共有浮游植物7门49属60余种，主要种类为硅藻门和绿藻门，各检出17和19属，其它各个门的种类较少。优势种主要有舟形藻、直链藻、针杆藻、羽纹藻、脆杆藻等。从时间变化上看，浮游藻类生物量个数近年来有减少趋势，优势藻类生物量所占比例则有所增加。</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鱼类繁殖和越冬期，浮游植物在数量方面的变化较大，其变幅为11.0～43.9×104ind./L，而在鱼类肥育期则浮游植物的数量较少。各类浮游植物的年均数量以硅藻占绝对优势，其次是绿藻、蓝藻。</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保护区内浮游动物有43种。浮游动物数量年变幅2.40～4.5ind./L，鱼类越冬期数量稍高，为4.5ind./L，育肥期和繁殖期数量较少，分别为2.4ind./L和3.6ind./L。各区段生物量最多的为轮虫，枝角类和桡足类数量很少。浮游动物生物量在位置分布和时间分布上无一定规律。</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（2）无脊椎底栖动物</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保护区内无脊椎底栖动物有4大类，共62种，其中，水生昆虫和软体动物为优势种群，环节动物和甲壳动物次之。寡毛类及水生昆虫17种，其平均密度986.03个/m</w:t>
            </w:r>
            <w:r>
              <w:rPr>
                <w:rStyle w:val="253"/>
                <w:rFonts w:hint="default" w:ascii="Times New Roman" w:hAnsi="宋体" w:eastAsia="宋体"/>
                <w:vertAlign w:val="superscript"/>
              </w:rPr>
              <w:t>2</w:t>
            </w:r>
            <w:r>
              <w:rPr>
                <w:rStyle w:val="253"/>
                <w:rFonts w:hint="default" w:ascii="Times New Roman" w:hAnsi="宋体" w:eastAsia="宋体"/>
              </w:rPr>
              <w:t>，平均生物量为0.9398g/m</w:t>
            </w:r>
            <w:r>
              <w:rPr>
                <w:rStyle w:val="253"/>
                <w:rFonts w:hint="default" w:ascii="Times New Roman" w:hAnsi="宋体" w:eastAsia="宋体"/>
                <w:vertAlign w:val="superscript"/>
              </w:rPr>
              <w:t>2</w:t>
            </w:r>
            <w:r>
              <w:rPr>
                <w:rStyle w:val="253"/>
                <w:rFonts w:hint="default" w:ascii="Times New Roman" w:hAnsi="宋体" w:eastAsia="宋体"/>
              </w:rPr>
              <w:t>。有单壳类软体动物10种，分别隶属于腹足纲的3科6属，其优势种群为环棱螺；有双壳类25种，分别隶属于瓣鳃纲的3科13属，其优势种群为三角帆蚌、丽蚌、河蚬等，底栖软体动物平均生物量为38.92g/m</w:t>
            </w:r>
            <w:r>
              <w:rPr>
                <w:rStyle w:val="253"/>
                <w:rFonts w:hint="default" w:ascii="Times New Roman" w:hAnsi="宋体" w:eastAsia="宋体"/>
                <w:vertAlign w:val="superscript"/>
              </w:rPr>
              <w:t>2</w:t>
            </w:r>
            <w:r>
              <w:rPr>
                <w:rStyle w:val="253"/>
                <w:rFonts w:hint="default" w:ascii="Times New Roman" w:hAnsi="宋体" w:eastAsia="宋体"/>
              </w:rPr>
              <w:t>。游泳亚目虾类6种、分属2科3属，其优势种群为青虾、秀丽白虾；爬行亚目虾类1种，即克氏整虾，为优势种；有爬行亚目蟹类3种，分属2科2属。</w:t>
            </w:r>
          </w:p>
          <w:p>
            <w:pPr>
              <w:spacing w:line="320" w:lineRule="exact"/>
              <w:jc w:val="center"/>
              <w:rPr>
                <w:rFonts w:cs="宋体"/>
                <w:b/>
                <w:kern w:val="13"/>
                <w:sz w:val="21"/>
                <w:szCs w:val="21"/>
                <w:lang w:bidi="ar"/>
              </w:rPr>
            </w:pPr>
            <w:r>
              <w:rPr>
                <w:rFonts w:hint="eastAsia" w:cs="宋体"/>
                <w:b/>
                <w:kern w:val="13"/>
                <w:sz w:val="21"/>
                <w:szCs w:val="21"/>
                <w:lang w:bidi="ar"/>
              </w:rPr>
              <w:t>表</w:t>
            </w:r>
            <w:r>
              <w:rPr>
                <w:rFonts w:cs="宋体"/>
                <w:b/>
                <w:kern w:val="13"/>
                <w:sz w:val="21"/>
                <w:szCs w:val="21"/>
                <w:lang w:bidi="ar"/>
              </w:rPr>
              <w:t>3-</w:t>
            </w:r>
            <w:r>
              <w:rPr>
                <w:rFonts w:hint="eastAsia" w:cs="宋体"/>
                <w:b/>
                <w:kern w:val="13"/>
                <w:sz w:val="21"/>
                <w:szCs w:val="21"/>
                <w:lang w:val="en-US" w:eastAsia="zh-CN" w:bidi="ar"/>
              </w:rPr>
              <w:t>15</w:t>
            </w:r>
            <w:r>
              <w:rPr>
                <w:rFonts w:hint="eastAsia" w:cs="宋体"/>
                <w:b/>
                <w:kern w:val="13"/>
                <w:sz w:val="21"/>
                <w:szCs w:val="21"/>
                <w:lang w:bidi="ar"/>
              </w:rPr>
              <w:t xml:space="preserve">  饵料生物资源现状</w:t>
            </w:r>
          </w:p>
          <w:tbl>
            <w:tblPr>
              <w:tblStyle w:val="44"/>
              <w:tblW w:w="0" w:type="auto"/>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660"/>
              <w:gridCol w:w="4678"/>
              <w:gridCol w:w="194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中文名</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拉丁名</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种群数量</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水生寡毛类</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Oligocheata</w:t>
                  </w:r>
                </w:p>
              </w:tc>
              <w:tc>
                <w:tcPr>
                  <w:tcW w:w="1948" w:type="dxa"/>
                  <w:vAlign w:val="center"/>
                </w:tcPr>
                <w:p>
                  <w:pPr>
                    <w:spacing w:line="320" w:lineRule="exact"/>
                    <w:jc w:val="center"/>
                    <w:rPr>
                      <w:rFonts w:cs="宋体"/>
                      <w:kern w:val="13"/>
                      <w:sz w:val="21"/>
                      <w:szCs w:val="21"/>
                      <w:lang w:bidi="ar"/>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苏氏尾鳃蚓</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Branchiura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霍甫水丝蚓</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L.hofimeisteri</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巨毛水丝蚓</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L.grandisetosus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淡水单孔蚓</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Monopylephorus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皮氏管水蚓</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|Aulodrilus piguti</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中华河蚯</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Rbyacodrilus sinicus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颤蚓</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Tubifex</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水生昆虫</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|Aquatic insecta</w:t>
                  </w:r>
                </w:p>
              </w:tc>
              <w:tc>
                <w:tcPr>
                  <w:tcW w:w="1948" w:type="dxa"/>
                  <w:vAlign w:val="center"/>
                </w:tcPr>
                <w:p>
                  <w:pPr>
                    <w:spacing w:line="320" w:lineRule="exact"/>
                    <w:jc w:val="center"/>
                    <w:rPr>
                      <w:rFonts w:cs="宋体"/>
                      <w:kern w:val="13"/>
                      <w:sz w:val="21"/>
                      <w:szCs w:val="21"/>
                      <w:lang w:bidi="ar"/>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褐附隐摇蚊</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Cfuscimanus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指突隐摇蚊</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|C.digitatum</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短角多足摇蚊</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Polbpedilum reviantenatus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雕短摇蚊</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Glyptotendipesp</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湖摇蚊属</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Limochironomus sp.</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齿班摇蚊</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Stictotenddipes sp.</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黄带齿班摇蚊</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S.Aavingula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麦附摇蚊</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Clinotanypussp</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巅峰麦附摇蚊</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C.nervosus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环足摇蚊</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Cricotopus sp.</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二色矮突摇蚊</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Nanoclacdius bicolor</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摇蚊属</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Tendipesse.</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蜉蝣目</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Ephemera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蜻蜓目</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Odonata</w:t>
                  </w:r>
                </w:p>
              </w:tc>
              <w:tc>
                <w:tcPr>
                  <w:tcW w:w="1948" w:type="dxa"/>
                  <w:vAlign w:val="center"/>
                </w:tcPr>
                <w:p>
                  <w:pPr>
                    <w:spacing w:line="320" w:lineRule="exact"/>
                    <w:jc w:val="center"/>
                    <w:rPr>
                      <w:rFonts w:cs="宋体"/>
                      <w:kern w:val="13"/>
                      <w:sz w:val="21"/>
                      <w:szCs w:val="21"/>
                      <w:lang w:bidi="ar"/>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箭蜓</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Gomphidae</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毛翅目</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Trichoptera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原石蛾</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Rhyacophilidae</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低头石蛾</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Neureclipsis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纹石蛾</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Hydropsychidae</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多距石城科</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Polbycentropodlictae</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蠓蚊</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Ceratopogonidae</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幽蚊</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Chaoboridae</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软体动物</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Mollicutes</w:t>
                  </w:r>
                </w:p>
              </w:tc>
              <w:tc>
                <w:tcPr>
                  <w:tcW w:w="1948" w:type="dxa"/>
                  <w:vAlign w:val="center"/>
                </w:tcPr>
                <w:p>
                  <w:pPr>
                    <w:spacing w:line="320" w:lineRule="exact"/>
                    <w:jc w:val="center"/>
                    <w:rPr>
                      <w:rFonts w:cs="宋体"/>
                      <w:kern w:val="13"/>
                      <w:sz w:val="21"/>
                      <w:szCs w:val="21"/>
                      <w:lang w:bidi="ar"/>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田螺科</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Viviparidae</w:t>
                  </w:r>
                </w:p>
              </w:tc>
              <w:tc>
                <w:tcPr>
                  <w:tcW w:w="1948" w:type="dxa"/>
                  <w:vAlign w:val="center"/>
                </w:tcPr>
                <w:p>
                  <w:pPr>
                    <w:spacing w:line="320" w:lineRule="exact"/>
                    <w:jc w:val="center"/>
                    <w:rPr>
                      <w:rFonts w:cs="宋体"/>
                      <w:kern w:val="13"/>
                      <w:sz w:val="21"/>
                      <w:szCs w:val="21"/>
                      <w:lang w:bidi="ar"/>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中国圆田螺|</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Cipangonaludina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梨形环棱螺</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Bellamya.purificata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铜锈环棱螺</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Bellamya.aeruginosa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耳河螺</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Rivlariacuriculata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长河螺</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Rivularia elongate Heude</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河螺一种</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Rivulariasp</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田螺一种</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Rivulariasp0</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黑螺科</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Semisulcospira</w:t>
                  </w:r>
                </w:p>
              </w:tc>
              <w:tc>
                <w:tcPr>
                  <w:tcW w:w="1948" w:type="dxa"/>
                  <w:vAlign w:val="center"/>
                </w:tcPr>
                <w:p>
                  <w:pPr>
                    <w:spacing w:line="320" w:lineRule="exact"/>
                    <w:jc w:val="center"/>
                    <w:rPr>
                      <w:rFonts w:cs="宋体"/>
                      <w:kern w:val="13"/>
                      <w:sz w:val="21"/>
                      <w:szCs w:val="21"/>
                      <w:lang w:bidi="ar"/>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方格短沟卷</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Semisulcospira cancellata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黑龙江短沟卷</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Semisulcospira amurensis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熊螺科</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Hydrobidae</w:t>
                  </w:r>
                </w:p>
              </w:tc>
              <w:tc>
                <w:tcPr>
                  <w:tcW w:w="1948" w:type="dxa"/>
                  <w:vAlign w:val="center"/>
                </w:tcPr>
                <w:p>
                  <w:pPr>
                    <w:spacing w:line="320" w:lineRule="exact"/>
                    <w:jc w:val="center"/>
                    <w:rPr>
                      <w:rFonts w:cs="宋体"/>
                      <w:kern w:val="13"/>
                      <w:sz w:val="21"/>
                      <w:szCs w:val="21"/>
                      <w:lang w:bidi="ar"/>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大绍螺</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Porafossaruluss eximius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贻贝科</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Mytilidae</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淡水壳菜</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Limnoperna.Lacustris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蚌科</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Unionidae</w:t>
                  </w:r>
                </w:p>
              </w:tc>
              <w:tc>
                <w:tcPr>
                  <w:tcW w:w="1948" w:type="dxa"/>
                  <w:vAlign w:val="center"/>
                </w:tcPr>
                <w:p>
                  <w:pPr>
                    <w:spacing w:line="320" w:lineRule="exact"/>
                    <w:jc w:val="center"/>
                    <w:rPr>
                      <w:rFonts w:cs="宋体"/>
                      <w:kern w:val="13"/>
                      <w:sz w:val="21"/>
                      <w:szCs w:val="21"/>
                      <w:lang w:bidi="ar"/>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圆顶珠蚌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Unio douglasiae</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杜氏珠蚌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Linio acuglasiae</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珠蚌一种</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|Linio sp</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珠蚌一种</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Linio sp</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圆头楔蚌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Cuneopsis heudei</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鱼尾楔蚌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Cuneopsis pisciculus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剑状矛蚌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Lanceolaria gladiola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短褶矛蚌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Lanceolaria grayana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三型矛蚌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Lanceolaria triformis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扭蚌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Arconaia lanceolata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尖脊蚌属</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Acuticosta</w:t>
                  </w:r>
                </w:p>
              </w:tc>
              <w:tc>
                <w:tcPr>
                  <w:tcW w:w="1948" w:type="dxa"/>
                  <w:vAlign w:val="center"/>
                </w:tcPr>
                <w:p>
                  <w:pPr>
                    <w:spacing w:line="320" w:lineRule="exact"/>
                    <w:jc w:val="center"/>
                    <w:rPr>
                      <w:rFonts w:cs="宋体"/>
                      <w:kern w:val="13"/>
                      <w:sz w:val="21"/>
                      <w:szCs w:val="21"/>
                      <w:lang w:bidi="ar"/>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中国尖脊</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Acuticosta Chinensis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卵形类脊蚌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Acuticosta ovata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三槽尖脊</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Acuti Coosta trlsulcata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射线裂峰蚌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Schistodesmuslampreyanu</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三角帆蚌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Hyriopsis cuningii</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背瘤丽蚌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Lamprotula leai</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洞穴丽蚌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Lamprotula caveata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猪耳丽蚌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Lamprotula rochechouarti</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刻裂丽蚌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Lamprotula Scripta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背角无齿蚌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Woodiana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球形无齿蚌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Anodonta globosula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蜡形无齿蚌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Anodonta arcaeformis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高顶鳞皮蚌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Lepidodesma languilati</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褶纹冠蚌</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Cristaria plicata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蚬科</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Corbiculidae</w:t>
                  </w:r>
                </w:p>
              </w:tc>
              <w:tc>
                <w:tcPr>
                  <w:tcW w:w="1948" w:type="dxa"/>
                  <w:vAlign w:val="center"/>
                </w:tcPr>
                <w:p>
                  <w:pPr>
                    <w:spacing w:line="320" w:lineRule="exact"/>
                    <w:jc w:val="center"/>
                    <w:rPr>
                      <w:rFonts w:cs="宋体"/>
                      <w:kern w:val="13"/>
                      <w:sz w:val="21"/>
                      <w:szCs w:val="21"/>
                      <w:lang w:bidi="ar"/>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河蚬</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Corbiculidae fluminea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虾蟹类</w:t>
                  </w:r>
                </w:p>
              </w:tc>
              <w:tc>
                <w:tcPr>
                  <w:tcW w:w="4678" w:type="dxa"/>
                  <w:vAlign w:val="center"/>
                </w:tcPr>
                <w:p>
                  <w:pPr>
                    <w:spacing w:line="320" w:lineRule="exact"/>
                    <w:jc w:val="center"/>
                    <w:rPr>
                      <w:rFonts w:cs="宋体"/>
                      <w:kern w:val="13"/>
                      <w:sz w:val="21"/>
                      <w:szCs w:val="21"/>
                      <w:lang w:bidi="ar"/>
                    </w:rPr>
                  </w:pPr>
                </w:p>
              </w:tc>
              <w:tc>
                <w:tcPr>
                  <w:tcW w:w="1948" w:type="dxa"/>
                  <w:vAlign w:val="center"/>
                </w:tcPr>
                <w:p>
                  <w:pPr>
                    <w:spacing w:line="320" w:lineRule="exact"/>
                    <w:jc w:val="center"/>
                    <w:rPr>
                      <w:rFonts w:cs="宋体"/>
                      <w:kern w:val="13"/>
                      <w:sz w:val="21"/>
                      <w:szCs w:val="21"/>
                      <w:lang w:bidi="ar"/>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游泳亚目</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Natantia</w:t>
                  </w:r>
                </w:p>
              </w:tc>
              <w:tc>
                <w:tcPr>
                  <w:tcW w:w="1948" w:type="dxa"/>
                  <w:vAlign w:val="center"/>
                </w:tcPr>
                <w:p>
                  <w:pPr>
                    <w:spacing w:line="320" w:lineRule="exact"/>
                    <w:jc w:val="center"/>
                    <w:rPr>
                      <w:rFonts w:cs="宋体"/>
                      <w:kern w:val="13"/>
                      <w:sz w:val="21"/>
                      <w:szCs w:val="21"/>
                      <w:lang w:bidi="ar"/>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日本沼虾</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Mnipponensis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喻氏沼虾</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M.yui</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细螫沼虾</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M.rosenbergi</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粗糙沼虾</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Masperulum</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秀丽白虾</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P(Exop,modestus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中华齿米虾</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C.denticulata sinensis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爬行亚目</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Reptantia</w:t>
                  </w:r>
                </w:p>
              </w:tc>
              <w:tc>
                <w:tcPr>
                  <w:tcW w:w="1948" w:type="dxa"/>
                  <w:vAlign w:val="center"/>
                </w:tcPr>
                <w:p>
                  <w:pPr>
                    <w:spacing w:line="320" w:lineRule="exact"/>
                    <w:jc w:val="center"/>
                    <w:rPr>
                      <w:rFonts w:cs="宋体"/>
                      <w:kern w:val="13"/>
                      <w:sz w:val="21"/>
                      <w:szCs w:val="21"/>
                      <w:lang w:bidi="ar"/>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克氏整虾</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Cambarus clarkia</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锯齿溪蟹</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Potamon denticulatus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腮刺溪蟹</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Potamon anacoluthon</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320" w:lineRule="exact"/>
                    <w:jc w:val="center"/>
                    <w:rPr>
                      <w:rFonts w:cs="宋体"/>
                      <w:kern w:val="13"/>
                      <w:sz w:val="21"/>
                      <w:szCs w:val="21"/>
                      <w:lang w:bidi="ar"/>
                    </w:rPr>
                  </w:pPr>
                  <w:r>
                    <w:rPr>
                      <w:rFonts w:hint="eastAsia" w:cs="宋体"/>
                      <w:kern w:val="13"/>
                      <w:sz w:val="21"/>
                      <w:szCs w:val="21"/>
                      <w:lang w:bidi="ar"/>
                    </w:rPr>
                    <w:t>中华绒蟹</w:t>
                  </w:r>
                </w:p>
              </w:tc>
              <w:tc>
                <w:tcPr>
                  <w:tcW w:w="4678" w:type="dxa"/>
                  <w:vAlign w:val="center"/>
                </w:tcPr>
                <w:p>
                  <w:pPr>
                    <w:spacing w:line="320" w:lineRule="exact"/>
                    <w:jc w:val="center"/>
                    <w:rPr>
                      <w:rFonts w:cs="宋体"/>
                      <w:kern w:val="13"/>
                      <w:sz w:val="21"/>
                      <w:szCs w:val="21"/>
                      <w:lang w:bidi="ar"/>
                    </w:rPr>
                  </w:pPr>
                  <w:r>
                    <w:rPr>
                      <w:rFonts w:hint="eastAsia" w:cs="宋体"/>
                      <w:kern w:val="13"/>
                      <w:sz w:val="21"/>
                      <w:szCs w:val="21"/>
                      <w:lang w:bidi="ar"/>
                    </w:rPr>
                    <w:t>Eriocheir sinensis</w:t>
                  </w:r>
                </w:p>
              </w:tc>
              <w:tc>
                <w:tcPr>
                  <w:tcW w:w="1948" w:type="dxa"/>
                  <w:vAlign w:val="center"/>
                </w:tcPr>
                <w:p>
                  <w:pPr>
                    <w:spacing w:line="320" w:lineRule="exact"/>
                    <w:jc w:val="center"/>
                    <w:rPr>
                      <w:rFonts w:cs="宋体"/>
                      <w:kern w:val="13"/>
                      <w:sz w:val="21"/>
                      <w:szCs w:val="21"/>
                      <w:lang w:bidi="ar"/>
                    </w:rPr>
                  </w:pPr>
                  <w:r>
                    <w:rPr>
                      <w:rFonts w:hint="eastAsia" w:cs="宋体"/>
                      <w:kern w:val="13"/>
                      <w:sz w:val="21"/>
                      <w:szCs w:val="21"/>
                      <w:lang w:bidi="ar"/>
                    </w:rPr>
                    <w:t>+</w:t>
                  </w:r>
                </w:p>
              </w:tc>
            </w:tr>
          </w:tbl>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注：“+++”表示丰富、“++”表示一般、“+”表示较少</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（3）大型水生植物资源</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保护区具有独特的地理环境，纳“四口”（加调关口华容河）、“四水”，流经或汇注于此，构成了保护区螺蚌、鱼类及其他水生生物的天然产卵场和索饵场，在维持东洞庭湖生物多样性和生态平衡中起着重要的作用。</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水位周期性变化，湖州、滩地类型较多，分布也十分广泛。因此其水生高等植物形成湖岸向湖心呈不规则的带状分布，敞水区分布较少。可分为湿生植被带、挺水植被带、浮叶植被带和沉水植被带。优势植被类型群为挺水植物，分布范围最为广泛，主要为芦苇；沉水植物优势种类为马来眼子菜；浮叶植物数量分布较少，主要在湖汉里。漂浮植物较少，只在各个湖区的岸边偶尔出现。</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调查到东洞庭湖水域共有104种大型水生植物，分属于18科26属，其中：眼子菜科（Potamogetonaceae）有19种、小二仙草科（Haloragidaceae）的狐尾藻属（Myriophyllum）4种、角果藻属的角果藻科1种、金鱼藻科（Ceratophyllaceae）的金鱼藻属（Ceratophyllum）4种、茨藻科（Najadaceae）的茨藻属（Najas）4种、菱科（Trapaceae）6种、水鳖科（Hydrocharitacea）的黑藻属（Hydrila)1种、苦草属（Vallisneria）4种、水车前属（Ottelia）4种、水鳖属（Hydrocharis）1种、水筛属（Blyxa）4种、睡莲科（Nymphaeaceae）凤眼莲属5种、浮萍科（Lmcae）的紫萍属（Sprolsced）2种、浮萍属（Lemna L.）4种、芜萍属（Woia Hork ex Scleid）1种、天南星科（Araceae）的菖蒲属（Acows Li.）4种、水芋属（cCallaLinn）1种及1种大萍、千屈菜科（Lythraceae）的千屈莱属（Lythrum）1种、禾本科（Poaceae）的芦竹属（Arundo）2种、稗属（Echimochloa)1种、莎草科（Cyperaceae）的藨草属（Scirpus）23种、蓼科（Polygonacea）的蓼属（Polygonum Linn)2种、雨久花科（Pontederiaceae）1种、灯心草科（Juncaceae）的灯心草属（Juncus L.）1种、科（Amaranthaceae）的虾钳菜属（Alternanthera Forsk）3种、伞形科（Umbelliferae）的水芹菜属（Oenanthe）1种。</w:t>
            </w:r>
          </w:p>
          <w:p>
            <w:pPr>
              <w:jc w:val="center"/>
            </w:pPr>
            <w:r>
              <w:drawing>
                <wp:inline distT="0" distB="0" distL="114300" distR="114300">
                  <wp:extent cx="4045585" cy="2443480"/>
                  <wp:effectExtent l="0" t="0" r="12065" b="13970"/>
                  <wp:docPr id="27" name="图片 22" descr="WM4FFFP8$F4]RJVKIY[3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2" descr="WM4FFFP8$F4]RJVKIY[3A)Y"/>
                          <pic:cNvPicPr>
                            <a:picLocks noChangeAspect="1"/>
                          </pic:cNvPicPr>
                        </pic:nvPicPr>
                        <pic:blipFill>
                          <a:blip r:embed="rId9"/>
                          <a:stretch>
                            <a:fillRect/>
                          </a:stretch>
                        </pic:blipFill>
                        <pic:spPr>
                          <a:xfrm>
                            <a:off x="0" y="0"/>
                            <a:ext cx="4045585" cy="2443480"/>
                          </a:xfrm>
                          <a:prstGeom prst="rect">
                            <a:avLst/>
                          </a:prstGeom>
                          <a:noFill/>
                          <a:ln>
                            <a:noFill/>
                          </a:ln>
                        </pic:spPr>
                      </pic:pic>
                    </a:graphicData>
                  </a:graphic>
                </wp:inline>
              </w:drawing>
            </w:r>
          </w:p>
          <w:p>
            <w:pPr>
              <w:jc w:val="center"/>
              <w:rPr>
                <w:rStyle w:val="253"/>
                <w:rFonts w:hint="default" w:ascii="Times New Roman" w:hAnsi="宋体" w:eastAsia="宋体"/>
                <w:b/>
              </w:rPr>
            </w:pPr>
            <w:r>
              <w:rPr>
                <w:rStyle w:val="253"/>
                <w:rFonts w:hint="default" w:ascii="Times New Roman" w:hAnsi="宋体" w:eastAsia="宋体"/>
                <w:b/>
              </w:rPr>
              <w:t>图3-</w:t>
            </w:r>
            <w:r>
              <w:rPr>
                <w:rStyle w:val="253"/>
                <w:rFonts w:hint="eastAsia" w:hAnsi="宋体"/>
                <w:b/>
                <w:lang w:val="en-US" w:eastAsia="zh-CN"/>
              </w:rPr>
              <w:t>3</w:t>
            </w:r>
            <w:r>
              <w:rPr>
                <w:rStyle w:val="253"/>
                <w:rFonts w:hint="default" w:ascii="Times New Roman" w:hAnsi="宋体" w:eastAsia="宋体"/>
                <w:b/>
              </w:rPr>
              <w:t xml:space="preserve"> 东洞庭湖高等水生植物种类组成</w:t>
            </w:r>
          </w:p>
          <w:p>
            <w:pPr>
              <w:jc w:val="center"/>
            </w:pPr>
            <w:r>
              <w:drawing>
                <wp:inline distT="0" distB="0" distL="114300" distR="114300">
                  <wp:extent cx="4497070" cy="3248660"/>
                  <wp:effectExtent l="0" t="0" r="17780" b="8890"/>
                  <wp:docPr id="9" name="图片 23" descr="[9F6V43Q55QWXBNF]DT@7H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3" descr="[9F6V43Q55QWXBNF]DT@7HE"/>
                          <pic:cNvPicPr>
                            <a:picLocks noChangeAspect="1"/>
                          </pic:cNvPicPr>
                        </pic:nvPicPr>
                        <pic:blipFill>
                          <a:blip r:embed="rId10"/>
                          <a:stretch>
                            <a:fillRect/>
                          </a:stretch>
                        </pic:blipFill>
                        <pic:spPr>
                          <a:xfrm>
                            <a:off x="0" y="0"/>
                            <a:ext cx="4497070" cy="3248660"/>
                          </a:xfrm>
                          <a:prstGeom prst="rect">
                            <a:avLst/>
                          </a:prstGeom>
                          <a:noFill/>
                          <a:ln>
                            <a:noFill/>
                          </a:ln>
                        </pic:spPr>
                      </pic:pic>
                    </a:graphicData>
                  </a:graphic>
                </wp:inline>
              </w:drawing>
            </w:r>
          </w:p>
          <w:p>
            <w:pPr>
              <w:jc w:val="center"/>
              <w:rPr>
                <w:rStyle w:val="253"/>
                <w:rFonts w:hint="default" w:ascii="Times New Roman" w:hAnsi="宋体" w:eastAsia="宋体"/>
                <w:b/>
              </w:rPr>
            </w:pPr>
            <w:r>
              <w:rPr>
                <w:rStyle w:val="253"/>
                <w:rFonts w:hint="default" w:ascii="Times New Roman" w:hAnsi="宋体" w:eastAsia="宋体"/>
                <w:b/>
              </w:rPr>
              <w:t>图3-</w:t>
            </w:r>
            <w:r>
              <w:rPr>
                <w:rStyle w:val="253"/>
                <w:rFonts w:hint="eastAsia" w:hAnsi="宋体"/>
                <w:b/>
                <w:lang w:val="en-US" w:eastAsia="zh-CN"/>
              </w:rPr>
              <w:t>4</w:t>
            </w:r>
            <w:r>
              <w:rPr>
                <w:rStyle w:val="253"/>
                <w:rFonts w:hint="default" w:ascii="Times New Roman" w:hAnsi="宋体" w:eastAsia="宋体"/>
                <w:b/>
              </w:rPr>
              <w:t xml:space="preserve">  东洞庭湖常见水生植物：a.满江红 b.芦苇 c.金鱼藻 d.小茨藻</w:t>
            </w:r>
          </w:p>
          <w:p>
            <w:pPr>
              <w:spacing w:line="480" w:lineRule="exact"/>
              <w:rPr>
                <w:rStyle w:val="253"/>
                <w:rFonts w:hint="default" w:ascii="Times New Roman" w:hAnsi="宋体" w:eastAsia="宋体"/>
                <w:b/>
              </w:rPr>
            </w:pPr>
            <w:r>
              <w:rPr>
                <w:rStyle w:val="253"/>
                <w:rFonts w:hint="default" w:ascii="Times New Roman" w:hAnsi="宋体" w:eastAsia="宋体"/>
                <w:b/>
              </w:rPr>
              <w:t>6.</w:t>
            </w:r>
            <w:r>
              <w:rPr>
                <w:rStyle w:val="253"/>
                <w:rFonts w:hint="eastAsia" w:hAnsi="宋体"/>
                <w:b/>
                <w:lang w:val="en-US" w:eastAsia="zh-CN"/>
              </w:rPr>
              <w:t>1</w:t>
            </w:r>
            <w:r>
              <w:rPr>
                <w:rStyle w:val="253"/>
                <w:rFonts w:hint="default" w:ascii="Times New Roman" w:hAnsi="宋体" w:eastAsia="宋体"/>
                <w:b/>
              </w:rPr>
              <w:t>.4 长江江段水生生物资源现状调查</w:t>
            </w:r>
          </w:p>
          <w:p>
            <w:pPr>
              <w:spacing w:line="480" w:lineRule="exact"/>
              <w:ind w:firstLine="361" w:firstLineChars="150"/>
              <w:rPr>
                <w:rStyle w:val="253"/>
                <w:rFonts w:hint="default" w:ascii="Times New Roman" w:hAnsi="宋体" w:eastAsia="宋体"/>
                <w:b/>
              </w:rPr>
            </w:pPr>
            <w:r>
              <w:rPr>
                <w:rStyle w:val="253"/>
                <w:rFonts w:hint="default" w:ascii="Times New Roman" w:hAnsi="宋体" w:eastAsia="宋体"/>
                <w:b/>
              </w:rPr>
              <w:t>6.</w:t>
            </w:r>
            <w:r>
              <w:rPr>
                <w:rStyle w:val="253"/>
                <w:rFonts w:hint="eastAsia" w:hAnsi="宋体"/>
                <w:b/>
                <w:lang w:val="en-US" w:eastAsia="zh-CN"/>
              </w:rPr>
              <w:t>1</w:t>
            </w:r>
            <w:r>
              <w:rPr>
                <w:rStyle w:val="253"/>
                <w:rFonts w:hint="default" w:ascii="Times New Roman" w:hAnsi="宋体" w:eastAsia="宋体"/>
                <w:b/>
              </w:rPr>
              <w:t>.4.</w:t>
            </w:r>
            <w:r>
              <w:rPr>
                <w:rStyle w:val="253"/>
                <w:rFonts w:hint="eastAsia" w:hAnsi="宋体"/>
                <w:b/>
                <w:lang w:val="en-US" w:eastAsia="zh-CN"/>
              </w:rPr>
              <w:t>1</w:t>
            </w:r>
            <w:r>
              <w:rPr>
                <w:rStyle w:val="253"/>
                <w:rFonts w:hint="default" w:ascii="Times New Roman" w:hAnsi="宋体" w:eastAsia="宋体"/>
                <w:b/>
              </w:rPr>
              <w:t xml:space="preserve"> 鱼类区系、种群结构与资源量现状与评价</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（1）鱼类种类现状及变化</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据《长江鱼类》及《长江水系渔业资源》、《湖南鱼类志》记载，调查江段所在的长江中游江段分布鱼类223种，隶属于13目27科。其中鲤科鱼类最多，124种，占总种数的55.61%；其后依次为鳅科、鲿科、脂科，分别为23种、15种和9种，分别占总种数的10.31%、6.73%和4.04%；其它科鱼类52种，占总种数的23.32%。</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综合以上资料及本次调查，并根据《中国动物志硬骨鱼纲鲤形目（中卷）》、《中国动物志硬骨鱼纲鲤形目（下卷）》、《中国淡水鱼类检索》、《中国动物志硬骨鱼纲鲇形目》、《中国动物志硬骨鱼纲鲈形目虾虎鱼亚目》等文献对部分种名及分布进行校核订正，调查江段分布鱼类计128种，隶属于11目25科78属（附表1）。调查江段128种鱼类中，鲟形目鲟科、匙吻鲟科均1属1种；鲱形目鳀科1属2种，鲱科1属1种；鲑形目银鱼科3属4种；鳗鲡目鳗鲡科1属1种；鲤形目亚口鱼科1属1种，鳅科5属11种，鲤科41属68种，平鳍鳅科2属2种；鲇形目鲇科1属2种，胡子鲇科1属1种，鲿科4属10种，钝头鮠科1属1种，鮡科1属2种；鳉形目青鳉科1属1种；颌针鱼目鱵科1属1种；合鳃鱼目合鳃鱼科1属1种；鲈形目鮨科2属5种，塘鳢科2属2种，鰕虎鱼科2属4种，斗鱼科1属2种，鳢科1属2种，刺鳅科1属1种；鲀形目鲀科1属1种（表4.8-15）。</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本江段鱼类的主要构成类群是鲤形目，82种，占鱼类总种数的64.06%；其次为鲇形目和鲈形目，均为16种，占鱼类总种数的12.50%。该江段25科鱼类中，鲤科种类最多，68种，占鱼类总种数的53.13%；其次为鳅科，11种，占鱼类总种数的8.59%；鲿科列第三，10种，占鱼类总种数的7.81%。</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本次现场调查在长江监利江段、城陵矶江段、界碑江段分别采集鱼类80种、76种、86种，分别占调查江段鱼类总种数的61.54%、58.46%和64.24%。</w:t>
            </w:r>
          </w:p>
          <w:p>
            <w:pPr>
              <w:spacing w:line="480" w:lineRule="exact"/>
              <w:ind w:firstLine="316" w:firstLineChars="150"/>
              <w:jc w:val="center"/>
              <w:rPr>
                <w:rStyle w:val="253"/>
                <w:rFonts w:hint="default" w:ascii="Times New Roman" w:hAnsi="宋体" w:eastAsia="宋体"/>
                <w:b/>
                <w:sz w:val="21"/>
                <w:szCs w:val="21"/>
              </w:rPr>
            </w:pPr>
            <w:r>
              <w:rPr>
                <w:rStyle w:val="253"/>
                <w:rFonts w:hint="default" w:ascii="Times New Roman" w:hAnsi="宋体" w:eastAsia="宋体"/>
                <w:b/>
                <w:sz w:val="21"/>
                <w:szCs w:val="21"/>
              </w:rPr>
              <w:t>表3-</w:t>
            </w:r>
            <w:r>
              <w:rPr>
                <w:rStyle w:val="253"/>
                <w:rFonts w:hint="eastAsia" w:hAnsi="宋体"/>
                <w:b/>
                <w:sz w:val="21"/>
                <w:szCs w:val="21"/>
                <w:lang w:val="en-US" w:eastAsia="zh-CN"/>
              </w:rPr>
              <w:t>16</w:t>
            </w:r>
            <w:r>
              <w:rPr>
                <w:rStyle w:val="253"/>
                <w:rFonts w:hint="default" w:ascii="Times New Roman" w:hAnsi="宋体" w:eastAsia="宋体"/>
                <w:b/>
                <w:sz w:val="21"/>
                <w:szCs w:val="21"/>
              </w:rPr>
              <w:t xml:space="preserve">  保护区江段鱼类分类构成</w:t>
            </w:r>
          </w:p>
          <w:tbl>
            <w:tblPr>
              <w:tblStyle w:val="44"/>
              <w:tblW w:w="0" w:type="auto"/>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107"/>
              <w:gridCol w:w="2174"/>
              <w:gridCol w:w="1653"/>
              <w:gridCol w:w="1653"/>
              <w:gridCol w:w="150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Align w:val="center"/>
                </w:tcPr>
                <w:p>
                  <w:pPr>
                    <w:spacing w:line="320" w:lineRule="exact"/>
                    <w:jc w:val="center"/>
                    <w:rPr>
                      <w:rFonts w:cs="宋体"/>
                      <w:kern w:val="13"/>
                      <w:sz w:val="21"/>
                      <w:szCs w:val="21"/>
                      <w:lang w:bidi="ar"/>
                    </w:rPr>
                  </w:pPr>
                  <w:r>
                    <w:rPr>
                      <w:rFonts w:cs="宋体"/>
                      <w:kern w:val="13"/>
                      <w:sz w:val="21"/>
                      <w:szCs w:val="21"/>
                      <w:lang w:bidi="ar"/>
                    </w:rPr>
                    <w:t>目</w:t>
                  </w: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属</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种</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restart"/>
                  <w:vAlign w:val="center"/>
                </w:tcPr>
                <w:p>
                  <w:pPr>
                    <w:spacing w:line="320" w:lineRule="exact"/>
                    <w:jc w:val="center"/>
                    <w:rPr>
                      <w:rFonts w:cs="宋体"/>
                      <w:kern w:val="13"/>
                      <w:sz w:val="21"/>
                      <w:szCs w:val="21"/>
                      <w:lang w:bidi="ar"/>
                    </w:rPr>
                  </w:pPr>
                  <w:r>
                    <w:rPr>
                      <w:rFonts w:cs="宋体"/>
                      <w:kern w:val="13"/>
                      <w:sz w:val="21"/>
                      <w:szCs w:val="21"/>
                      <w:lang w:bidi="ar"/>
                    </w:rPr>
                    <w:t>鲟形目</w:t>
                  </w: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鲟科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0.77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continue"/>
                  <w:vAlign w:val="center"/>
                </w:tcPr>
                <w:p>
                  <w:pPr>
                    <w:spacing w:line="320" w:lineRule="exact"/>
                    <w:jc w:val="center"/>
                    <w:rPr>
                      <w:rFonts w:cs="宋体"/>
                      <w:kern w:val="13"/>
                      <w:sz w:val="21"/>
                      <w:szCs w:val="21"/>
                      <w:lang w:bidi="ar"/>
                    </w:rPr>
                  </w:pP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匙吻鲟科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0.77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restart"/>
                  <w:vAlign w:val="center"/>
                </w:tcPr>
                <w:p>
                  <w:pPr>
                    <w:spacing w:line="320" w:lineRule="exact"/>
                    <w:jc w:val="center"/>
                    <w:rPr>
                      <w:rFonts w:cs="宋体"/>
                      <w:kern w:val="13"/>
                      <w:sz w:val="21"/>
                      <w:szCs w:val="21"/>
                      <w:lang w:bidi="ar"/>
                    </w:rPr>
                  </w:pPr>
                  <w:r>
                    <w:rPr>
                      <w:rFonts w:cs="宋体"/>
                      <w:kern w:val="13"/>
                      <w:sz w:val="21"/>
                      <w:szCs w:val="21"/>
                      <w:lang w:bidi="ar"/>
                    </w:rPr>
                    <w:t>鲱形目</w:t>
                  </w: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鯷科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2</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1.54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continue"/>
                  <w:vAlign w:val="center"/>
                </w:tcPr>
                <w:p>
                  <w:pPr>
                    <w:spacing w:line="320" w:lineRule="exact"/>
                    <w:jc w:val="center"/>
                    <w:rPr>
                      <w:rFonts w:cs="宋体"/>
                      <w:kern w:val="13"/>
                      <w:sz w:val="21"/>
                      <w:szCs w:val="21"/>
                      <w:lang w:bidi="ar"/>
                    </w:rPr>
                  </w:pP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鲱科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0.77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Align w:val="center"/>
                </w:tcPr>
                <w:p>
                  <w:pPr>
                    <w:spacing w:line="320" w:lineRule="exact"/>
                    <w:jc w:val="center"/>
                    <w:rPr>
                      <w:rFonts w:cs="宋体"/>
                      <w:kern w:val="13"/>
                      <w:sz w:val="21"/>
                      <w:szCs w:val="21"/>
                      <w:lang w:bidi="ar"/>
                    </w:rPr>
                  </w:pPr>
                  <w:r>
                    <w:rPr>
                      <w:rFonts w:cs="宋体"/>
                      <w:kern w:val="13"/>
                      <w:sz w:val="21"/>
                      <w:szCs w:val="21"/>
                      <w:lang w:bidi="ar"/>
                    </w:rPr>
                    <w:t>鲑形目</w:t>
                  </w: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银鱼科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3</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4</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3.08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Align w:val="center"/>
                </w:tcPr>
                <w:p>
                  <w:pPr>
                    <w:spacing w:line="320" w:lineRule="exact"/>
                    <w:jc w:val="center"/>
                    <w:rPr>
                      <w:rFonts w:cs="宋体"/>
                      <w:kern w:val="13"/>
                      <w:sz w:val="21"/>
                      <w:szCs w:val="21"/>
                      <w:lang w:bidi="ar"/>
                    </w:rPr>
                  </w:pPr>
                  <w:r>
                    <w:rPr>
                      <w:rFonts w:cs="宋体"/>
                      <w:kern w:val="13"/>
                      <w:sz w:val="21"/>
                      <w:szCs w:val="21"/>
                      <w:lang w:bidi="ar"/>
                    </w:rPr>
                    <w:t>鳗鲡目</w:t>
                  </w: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鳗鲡科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0.77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restart"/>
                  <w:vAlign w:val="center"/>
                </w:tcPr>
                <w:p>
                  <w:pPr>
                    <w:spacing w:line="320" w:lineRule="exact"/>
                    <w:jc w:val="center"/>
                    <w:rPr>
                      <w:rFonts w:cs="宋体"/>
                      <w:kern w:val="13"/>
                      <w:sz w:val="21"/>
                      <w:szCs w:val="21"/>
                      <w:lang w:bidi="ar"/>
                    </w:rPr>
                  </w:pPr>
                  <w:r>
                    <w:rPr>
                      <w:rFonts w:cs="宋体"/>
                      <w:kern w:val="13"/>
                      <w:sz w:val="21"/>
                      <w:szCs w:val="21"/>
                      <w:lang w:bidi="ar"/>
                    </w:rPr>
                    <w:t>鲤形目</w:t>
                  </w: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亚口鱼科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0.77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continue"/>
                  <w:vAlign w:val="center"/>
                </w:tcPr>
                <w:p>
                  <w:pPr>
                    <w:spacing w:line="320" w:lineRule="exact"/>
                    <w:jc w:val="center"/>
                    <w:rPr>
                      <w:rFonts w:cs="宋体"/>
                      <w:kern w:val="13"/>
                      <w:sz w:val="21"/>
                      <w:szCs w:val="21"/>
                      <w:lang w:bidi="ar"/>
                    </w:rPr>
                  </w:pP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鳅科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5</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11</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8.46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continue"/>
                  <w:vAlign w:val="center"/>
                </w:tcPr>
                <w:p>
                  <w:pPr>
                    <w:spacing w:line="320" w:lineRule="exact"/>
                    <w:jc w:val="center"/>
                    <w:rPr>
                      <w:rFonts w:cs="宋体"/>
                      <w:kern w:val="13"/>
                      <w:sz w:val="21"/>
                      <w:szCs w:val="21"/>
                      <w:lang w:bidi="ar"/>
                    </w:rPr>
                  </w:pP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鲤科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4</w:t>
                  </w:r>
                  <w:r>
                    <w:rPr>
                      <w:rFonts w:hint="eastAsia"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hint="eastAsia" w:cs="宋体"/>
                      <w:kern w:val="13"/>
                      <w:sz w:val="21"/>
                      <w:szCs w:val="21"/>
                      <w:lang w:bidi="ar"/>
                    </w:rPr>
                    <w:t>68</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53.85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continue"/>
                  <w:vAlign w:val="center"/>
                </w:tcPr>
                <w:p>
                  <w:pPr>
                    <w:spacing w:line="320" w:lineRule="exact"/>
                    <w:jc w:val="center"/>
                    <w:rPr>
                      <w:rFonts w:cs="宋体"/>
                      <w:kern w:val="13"/>
                      <w:sz w:val="21"/>
                      <w:szCs w:val="21"/>
                      <w:lang w:bidi="ar"/>
                    </w:rPr>
                  </w:pP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平鳍鳅科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2</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2</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1.54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restart"/>
                  <w:vAlign w:val="center"/>
                </w:tcPr>
                <w:p>
                  <w:pPr>
                    <w:spacing w:line="320" w:lineRule="exact"/>
                    <w:jc w:val="center"/>
                    <w:rPr>
                      <w:rFonts w:cs="宋体"/>
                      <w:kern w:val="13"/>
                      <w:sz w:val="21"/>
                      <w:szCs w:val="21"/>
                      <w:lang w:bidi="ar"/>
                    </w:rPr>
                  </w:pPr>
                  <w:r>
                    <w:rPr>
                      <w:rFonts w:cs="宋体"/>
                      <w:kern w:val="13"/>
                      <w:sz w:val="21"/>
                      <w:szCs w:val="21"/>
                      <w:lang w:bidi="ar"/>
                    </w:rPr>
                    <w:t>鲇形目</w:t>
                  </w: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鲇科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2</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1.54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continue"/>
                  <w:vAlign w:val="center"/>
                </w:tcPr>
                <w:p>
                  <w:pPr>
                    <w:spacing w:line="320" w:lineRule="exact"/>
                    <w:jc w:val="center"/>
                    <w:rPr>
                      <w:rFonts w:cs="宋体"/>
                      <w:kern w:val="13"/>
                      <w:sz w:val="21"/>
                      <w:szCs w:val="21"/>
                      <w:lang w:bidi="ar"/>
                    </w:rPr>
                  </w:pP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胡子鲇科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0.77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continue"/>
                  <w:vAlign w:val="center"/>
                </w:tcPr>
                <w:p>
                  <w:pPr>
                    <w:spacing w:line="320" w:lineRule="exact"/>
                    <w:jc w:val="center"/>
                    <w:rPr>
                      <w:rFonts w:cs="宋体"/>
                      <w:kern w:val="13"/>
                      <w:sz w:val="21"/>
                      <w:szCs w:val="21"/>
                      <w:lang w:bidi="ar"/>
                    </w:rPr>
                  </w:pP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鲿科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4</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10</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7.69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continue"/>
                  <w:vAlign w:val="center"/>
                </w:tcPr>
                <w:p>
                  <w:pPr>
                    <w:spacing w:line="320" w:lineRule="exact"/>
                    <w:jc w:val="center"/>
                    <w:rPr>
                      <w:rFonts w:cs="宋体"/>
                      <w:kern w:val="13"/>
                      <w:sz w:val="21"/>
                      <w:szCs w:val="21"/>
                      <w:lang w:bidi="ar"/>
                    </w:rPr>
                  </w:pP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钝头鮠科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0.77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continue"/>
                  <w:vAlign w:val="center"/>
                </w:tcPr>
                <w:p>
                  <w:pPr>
                    <w:spacing w:line="320" w:lineRule="exact"/>
                    <w:jc w:val="center"/>
                    <w:rPr>
                      <w:rFonts w:cs="宋体"/>
                      <w:kern w:val="13"/>
                      <w:sz w:val="21"/>
                      <w:szCs w:val="21"/>
                      <w:lang w:bidi="ar"/>
                    </w:rPr>
                  </w:pP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鮡科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2</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1.54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Align w:val="center"/>
                </w:tcPr>
                <w:p>
                  <w:pPr>
                    <w:spacing w:line="320" w:lineRule="exact"/>
                    <w:jc w:val="center"/>
                    <w:rPr>
                      <w:rFonts w:cs="宋体"/>
                      <w:kern w:val="13"/>
                      <w:sz w:val="21"/>
                      <w:szCs w:val="21"/>
                      <w:lang w:bidi="ar"/>
                    </w:rPr>
                  </w:pPr>
                  <w:r>
                    <w:rPr>
                      <w:rFonts w:cs="宋体"/>
                      <w:kern w:val="13"/>
                      <w:sz w:val="21"/>
                      <w:szCs w:val="21"/>
                      <w:lang w:bidi="ar"/>
                    </w:rPr>
                    <w:t>鳉形目</w:t>
                  </w: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青鳉科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0.77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Align w:val="center"/>
                </w:tcPr>
                <w:p>
                  <w:pPr>
                    <w:spacing w:line="320" w:lineRule="exact"/>
                    <w:jc w:val="center"/>
                    <w:rPr>
                      <w:rFonts w:cs="宋体"/>
                      <w:kern w:val="13"/>
                      <w:sz w:val="21"/>
                      <w:szCs w:val="21"/>
                      <w:lang w:bidi="ar"/>
                    </w:rPr>
                  </w:pPr>
                  <w:r>
                    <w:rPr>
                      <w:rFonts w:cs="宋体"/>
                      <w:kern w:val="13"/>
                      <w:sz w:val="21"/>
                      <w:szCs w:val="21"/>
                      <w:lang w:bidi="ar"/>
                    </w:rPr>
                    <w:t>颌针鱼目</w:t>
                  </w: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鱵科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0.77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Align w:val="center"/>
                </w:tcPr>
                <w:p>
                  <w:pPr>
                    <w:spacing w:line="320" w:lineRule="exact"/>
                    <w:jc w:val="center"/>
                    <w:rPr>
                      <w:rFonts w:cs="宋体"/>
                      <w:kern w:val="13"/>
                      <w:sz w:val="21"/>
                      <w:szCs w:val="21"/>
                      <w:lang w:bidi="ar"/>
                    </w:rPr>
                  </w:pPr>
                  <w:r>
                    <w:rPr>
                      <w:rFonts w:cs="宋体"/>
                      <w:kern w:val="13"/>
                      <w:sz w:val="21"/>
                      <w:szCs w:val="21"/>
                      <w:lang w:bidi="ar"/>
                    </w:rPr>
                    <w:t>合鳃鱼目</w:t>
                  </w: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合鳃鱼科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0.77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restart"/>
                  <w:vAlign w:val="center"/>
                </w:tcPr>
                <w:p>
                  <w:pPr>
                    <w:spacing w:line="320" w:lineRule="exact"/>
                    <w:jc w:val="center"/>
                    <w:rPr>
                      <w:rFonts w:cs="宋体"/>
                      <w:kern w:val="13"/>
                      <w:sz w:val="21"/>
                      <w:szCs w:val="21"/>
                      <w:lang w:bidi="ar"/>
                    </w:rPr>
                  </w:pPr>
                  <w:r>
                    <w:rPr>
                      <w:rFonts w:cs="宋体"/>
                      <w:kern w:val="13"/>
                      <w:sz w:val="21"/>
                      <w:szCs w:val="21"/>
                      <w:lang w:bidi="ar"/>
                    </w:rPr>
                    <w:t>鲈形目</w:t>
                  </w: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鮨科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2</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5</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3.85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continue"/>
                  <w:vAlign w:val="center"/>
                </w:tcPr>
                <w:p>
                  <w:pPr>
                    <w:spacing w:line="320" w:lineRule="exact"/>
                    <w:jc w:val="center"/>
                    <w:rPr>
                      <w:rFonts w:cs="宋体"/>
                      <w:kern w:val="13"/>
                      <w:sz w:val="21"/>
                      <w:szCs w:val="21"/>
                      <w:lang w:bidi="ar"/>
                    </w:rPr>
                  </w:pP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塘鳢科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2</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2</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1.54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continue"/>
                  <w:vAlign w:val="center"/>
                </w:tcPr>
                <w:p>
                  <w:pPr>
                    <w:spacing w:line="320" w:lineRule="exact"/>
                    <w:jc w:val="center"/>
                    <w:rPr>
                      <w:rFonts w:cs="宋体"/>
                      <w:kern w:val="13"/>
                      <w:sz w:val="21"/>
                      <w:szCs w:val="21"/>
                      <w:lang w:bidi="ar"/>
                    </w:rPr>
                  </w:pP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虾虎鱼科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2</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4</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3.08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continue"/>
                  <w:vAlign w:val="center"/>
                </w:tcPr>
                <w:p>
                  <w:pPr>
                    <w:spacing w:line="320" w:lineRule="exact"/>
                    <w:jc w:val="center"/>
                    <w:rPr>
                      <w:rFonts w:cs="宋体"/>
                      <w:kern w:val="13"/>
                      <w:sz w:val="21"/>
                      <w:szCs w:val="21"/>
                      <w:lang w:bidi="ar"/>
                    </w:rPr>
                  </w:pP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斗鱼科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2</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1.54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continue"/>
                  <w:vAlign w:val="center"/>
                </w:tcPr>
                <w:p>
                  <w:pPr>
                    <w:spacing w:line="320" w:lineRule="exact"/>
                    <w:jc w:val="center"/>
                    <w:rPr>
                      <w:rFonts w:cs="宋体"/>
                      <w:kern w:val="13"/>
                      <w:sz w:val="21"/>
                      <w:szCs w:val="21"/>
                      <w:lang w:bidi="ar"/>
                    </w:rPr>
                  </w:pP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鳢科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2</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1.54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Merge w:val="continue"/>
                  <w:vAlign w:val="center"/>
                </w:tcPr>
                <w:p>
                  <w:pPr>
                    <w:spacing w:line="320" w:lineRule="exact"/>
                    <w:jc w:val="center"/>
                    <w:rPr>
                      <w:rFonts w:cs="宋体"/>
                      <w:kern w:val="13"/>
                      <w:sz w:val="21"/>
                      <w:szCs w:val="21"/>
                      <w:lang w:bidi="ar"/>
                    </w:rPr>
                  </w:pP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刺鳅科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0.77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107" w:type="dxa"/>
                  <w:vAlign w:val="center"/>
                </w:tcPr>
                <w:p>
                  <w:pPr>
                    <w:spacing w:line="320" w:lineRule="exact"/>
                    <w:jc w:val="center"/>
                    <w:rPr>
                      <w:rFonts w:cs="宋体"/>
                      <w:kern w:val="13"/>
                      <w:sz w:val="21"/>
                      <w:szCs w:val="21"/>
                      <w:lang w:bidi="ar"/>
                    </w:rPr>
                  </w:pPr>
                  <w:r>
                    <w:rPr>
                      <w:rFonts w:cs="宋体"/>
                      <w:kern w:val="13"/>
                      <w:sz w:val="21"/>
                      <w:szCs w:val="21"/>
                      <w:lang w:bidi="ar"/>
                    </w:rPr>
                    <w:t>鲀形目</w:t>
                  </w:r>
                </w:p>
              </w:tc>
              <w:tc>
                <w:tcPr>
                  <w:tcW w:w="2174" w:type="dxa"/>
                  <w:vAlign w:val="center"/>
                </w:tcPr>
                <w:p>
                  <w:pPr>
                    <w:spacing w:line="320" w:lineRule="exact"/>
                    <w:jc w:val="center"/>
                    <w:rPr>
                      <w:rFonts w:cs="宋体"/>
                      <w:kern w:val="13"/>
                      <w:sz w:val="21"/>
                      <w:szCs w:val="21"/>
                      <w:lang w:bidi="ar"/>
                    </w:rPr>
                  </w:pPr>
                  <w:r>
                    <w:rPr>
                      <w:rFonts w:cs="宋体"/>
                      <w:kern w:val="13"/>
                      <w:sz w:val="21"/>
                      <w:szCs w:val="21"/>
                      <w:lang w:bidi="ar"/>
                    </w:rPr>
                    <w:t>鲀科</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0.77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4281" w:type="dxa"/>
                  <w:gridSpan w:val="2"/>
                  <w:vAlign w:val="center"/>
                </w:tcPr>
                <w:p>
                  <w:pPr>
                    <w:spacing w:line="320" w:lineRule="exact"/>
                    <w:jc w:val="center"/>
                    <w:rPr>
                      <w:rFonts w:cs="宋体"/>
                      <w:kern w:val="13"/>
                      <w:sz w:val="21"/>
                      <w:szCs w:val="21"/>
                      <w:lang w:bidi="ar"/>
                    </w:rPr>
                  </w:pPr>
                  <w:r>
                    <w:rPr>
                      <w:rFonts w:cs="宋体"/>
                      <w:kern w:val="13"/>
                      <w:sz w:val="21"/>
                      <w:szCs w:val="21"/>
                      <w:lang w:bidi="ar"/>
                    </w:rPr>
                    <w:t>总计</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79</w:t>
                  </w:r>
                </w:p>
              </w:tc>
              <w:tc>
                <w:tcPr>
                  <w:tcW w:w="1653" w:type="dxa"/>
                  <w:vAlign w:val="center"/>
                </w:tcPr>
                <w:p>
                  <w:pPr>
                    <w:spacing w:line="320" w:lineRule="exact"/>
                    <w:jc w:val="center"/>
                    <w:rPr>
                      <w:rFonts w:cs="宋体"/>
                      <w:kern w:val="13"/>
                      <w:sz w:val="21"/>
                      <w:szCs w:val="21"/>
                      <w:lang w:bidi="ar"/>
                    </w:rPr>
                  </w:pPr>
                  <w:r>
                    <w:rPr>
                      <w:rFonts w:cs="宋体"/>
                      <w:kern w:val="13"/>
                      <w:sz w:val="21"/>
                      <w:szCs w:val="21"/>
                      <w:lang w:bidi="ar"/>
                    </w:rPr>
                    <w:t>130</w:t>
                  </w:r>
                </w:p>
              </w:tc>
              <w:tc>
                <w:tcPr>
                  <w:tcW w:w="1508" w:type="dxa"/>
                  <w:vAlign w:val="center"/>
                </w:tcPr>
                <w:p>
                  <w:pPr>
                    <w:spacing w:line="320" w:lineRule="exact"/>
                    <w:jc w:val="center"/>
                    <w:rPr>
                      <w:rFonts w:cs="宋体"/>
                      <w:kern w:val="13"/>
                      <w:sz w:val="21"/>
                      <w:szCs w:val="21"/>
                      <w:lang w:bidi="ar"/>
                    </w:rPr>
                  </w:pPr>
                  <w:r>
                    <w:rPr>
                      <w:rFonts w:cs="宋体"/>
                      <w:kern w:val="13"/>
                      <w:sz w:val="21"/>
                      <w:szCs w:val="21"/>
                      <w:lang w:bidi="ar"/>
                    </w:rPr>
                    <w:t>100.0</w:t>
                  </w:r>
                </w:p>
              </w:tc>
            </w:tr>
          </w:tbl>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（2）鱼类组成及习性</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1）鱼类区系组成</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调查江段128种鱼类由6个区系鱼类类群组成：</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①东亚平原类群是调查江段鱼类的主要构成类群，占鱼类种类的50%以上。包括鳅科的沙鳅亚科沙鳅属、副沙鳅属、薄鳅属种类，鲤科的鲌亚科、鲴亚科、鲢亚科、鳅鮀亚科、鮈亚科及雅罗鱼亚科的鱼类。这部分鱼多产漂流性卵，一部分虽产粘性卵但粘性不大，卵产出后附着在物体上，不久即脱落而顺水漂流并发育。产卵习性对水位变动敏感，许多种类在水位升高时从湖泊进入江河产卵，幼鱼及产过卵的亲鱼多入湖泊育肥。</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②南方平原类群主要包括鲇形目鲿科、鲈形目鳢属种类及黄鳝、青鳉、刺鳅、小黄黝鱼等。常具拟草色，身上花纹较多，有些种类具棘和吸取游离氧的副呼吸器官。喜暖水，在较高水温的夏季繁殖，多有护卵、护幼习性。</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③老第三纪类群包括鲤科的鲃亚科、鲤亚科、鳑鮍亚科和鲇形目鲇科种类。该类群嗅觉较视觉发达，适于在浑浊水体中生活，多以底栖生物为食。</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④南方山地类群包括平鳍鳅科、钝头鮠科、鮡科的种类，是具特化吸附构造，能适应激流生活的小型鱼类。</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⑤北方平原类群包括中华鲟、白鲟等种类。</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⑥河海洄游鱼类群包括长颌鲚、鲥、日本鳗鲡、暗纹东方鲀等。</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调查江段鱼类的主体是鲤科鱼类东亚平原类群，其次是南方平原类群、老第三纪类群和南方山地类群，还具备少量河海洄游种类，但缺乏上游江段两大青藏高原类群裂腹鱼及高原鳅类，表明该江段鱼类分布呈现所处长江上中游交界更接近中游流域的种群分布特点。</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2）栖息习性</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调查水域所在长江中游江段，河网发达，既有微弯分汊型河道，又有蜿蜒型河道，该江段江面较宽、流速较缓，河道弯曲，形成诸多较为开阔的江湾，与所处地理环境及水文条件相适应。根据鱼类栖息水域特征，调查水域鱼类大致可分为以下4个类群。</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①流水类群。此类群主要或完全生活在江河流水环境中，体长形，略侧扁，游泳能力强，适于流水生活。由于生活水域河湖相连，部分种类也常到食物丰富的相邻湖泊觅食，也能适应一定的静缓流生活，部分种类也可归于静缓流种类。它们或以水底砾石等物体表面附着藻类为食，或以有机碎屑为食，或以底栖无脊椎动物及软体动物为食，或主要以水草为食，或主要以小型鱼虾类为食，或以浮游动植物为食，多为杂食性、肉食性种类。该类群有胭脂鱼、中华沙鳅、花斑副沙鳅、长薄鳅、红唇薄鳅、紫薄鳅、宽鳍鱲、马口鱼、中华细鲫、唇䱻、岩原鲤、青鱼、草鱼、鲤、鲫、鯮、鳤、鳡、鳙、鲢、飘鱼、寡鳞飘鱼、鳊、银鮈、铜鱼、圆口铜鱼、吻鮈、圆筒吻鮈、长鳍吻鮈、蛇鮈、长蛇鮈、光唇蛇鮈、宜昌鳅鮀、长须鳅鮀、刺鲃、中华倒刺鲃、白甲鱼、多鳞白甲鱼、瓣结鱼、长吻鮠、粗唇鮠、乌苏拟鲿、白边拟鲿、细体拟鲿、瓦氏黄颡鱼、光泽黄颡鱼、大鳍鳠、鲇、大口鲇、长体鳜等，是该江段种类最多的类群。</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②静缓流类群。此类群适宜生活于静缓流水水体中，或以浮游动植物为食，或杂食，或动物性食性，部分种类须在流水环境下产漂流性卵亦可归于流水性种类，该类群种类有赤眼鳟、银鲴、黄尾鲴、圆吻鲴、花䱻、华鳈、黑鳍鳈、翘嘴鲌、蒙古鲌、达氏鲌、拟尖头鲌、红鳍原鲌、䱗、贝氏䱗、花鳅、中华花鳅、大斑花鳅、泥鳅、彩石鳑鲏、麦穗鱼、棒花鱼、黄颡鱼、长须黄颡鱼、鳜、大眼鳜、斑鳜、乌鳢、黄鳝、叉尾斗鱼等，为该江段第二大类群。</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③急流底栖类群。此类群部分种类具特化的吸盘或类似吸盘的附着结构，适于附着在急流河底物体上生活，以附着藻类及有机碎屑等为食，也有少数头部不具特化的吸附结构但习惯于生活于激流的种类，或以藻类及有机碎屑、或以小型鱼类及软体动物等为食。由于荆江段河流特点，这一类鱼群种类很少，多分布于激流河段，有犁头鳅、中华金沙鳅、福建纹胸鮡等。</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④洄游性类群。该类群在生活史的特定阶段中需要在江河淡水与河口海洋咸水中摄食生长或成熟繁殖，进行河海洄游，种类有长颌鲚、鲥鱼、日本鳗鲡、暗纹东方鲀等，该类群种类较少，且近年鲜有发现。</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（3）渔获物组成与渔获量变化</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1）主要渔获物组成</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2017年7月份评价区尚处于禁渔期，鱼类调查以走访调查为主。8月份禁渔期结束后，鱼类调查以现场捕捞为主。另外通过市场调查、走访专兼业渔民了解评价区鱼类资源。在保护区长江干流监利江段、城陵矶江段、界碑江段有常年作业渔船80余艘。作业区域为湖口及湖口外长江上下游江段。渔具以电拖网为主，也有部分刺网、水下延绳钓钩及小网目的“刁子网”等。</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本次调查水域处于长江中游江段水域，鱼类资源较为丰富，既有流水性鱼类，也有静缓流种类。本次调查主要渔获物见表3-</w:t>
            </w:r>
            <w:r>
              <w:rPr>
                <w:rStyle w:val="253"/>
                <w:rFonts w:hint="eastAsia" w:hAnsi="宋体"/>
                <w:lang w:val="en-US" w:eastAsia="zh-CN"/>
              </w:rPr>
              <w:t>17</w:t>
            </w:r>
            <w:r>
              <w:rPr>
                <w:rStyle w:val="253"/>
                <w:rFonts w:hint="default" w:ascii="Times New Roman" w:hAnsi="宋体" w:eastAsia="宋体"/>
              </w:rPr>
              <w:t>。</w:t>
            </w:r>
          </w:p>
          <w:p>
            <w:pPr>
              <w:jc w:val="center"/>
              <w:rPr>
                <w:b/>
                <w:sz w:val="21"/>
                <w:szCs w:val="21"/>
              </w:rPr>
            </w:pPr>
            <w:r>
              <w:rPr>
                <w:b/>
                <w:sz w:val="21"/>
                <w:szCs w:val="21"/>
              </w:rPr>
              <w:t>表3-</w:t>
            </w:r>
            <w:r>
              <w:rPr>
                <w:rFonts w:hint="eastAsia"/>
                <w:b/>
                <w:sz w:val="21"/>
                <w:szCs w:val="21"/>
                <w:lang w:val="en-US" w:eastAsia="zh-CN"/>
              </w:rPr>
              <w:t>17</w:t>
            </w:r>
            <w:r>
              <w:rPr>
                <w:rFonts w:hint="eastAsia"/>
                <w:b/>
                <w:sz w:val="21"/>
                <w:szCs w:val="21"/>
              </w:rPr>
              <w:t xml:space="preserve"> </w:t>
            </w:r>
            <w:r>
              <w:rPr>
                <w:b/>
                <w:sz w:val="21"/>
                <w:szCs w:val="21"/>
              </w:rPr>
              <w:t>调查江段主要渔获物组成</w:t>
            </w:r>
          </w:p>
          <w:tbl>
            <w:tblPr>
              <w:tblStyle w:val="44"/>
              <w:tblW w:w="0" w:type="auto"/>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574"/>
              <w:gridCol w:w="1606"/>
              <w:gridCol w:w="845"/>
              <w:gridCol w:w="1909"/>
              <w:gridCol w:w="999"/>
              <w:gridCol w:w="1176"/>
              <w:gridCol w:w="1177"/>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574" w:type="dxa"/>
                  <w:vMerge w:val="restart"/>
                  <w:vAlign w:val="center"/>
                </w:tcPr>
                <w:p>
                  <w:pPr>
                    <w:spacing w:line="320" w:lineRule="exact"/>
                    <w:jc w:val="center"/>
                    <w:rPr>
                      <w:rFonts w:cs="宋体"/>
                      <w:kern w:val="13"/>
                      <w:sz w:val="21"/>
                      <w:szCs w:val="21"/>
                      <w:lang w:bidi="ar"/>
                    </w:rPr>
                  </w:pPr>
                  <w:r>
                    <w:rPr>
                      <w:rFonts w:cs="宋体"/>
                      <w:kern w:val="13"/>
                      <w:sz w:val="21"/>
                      <w:szCs w:val="21"/>
                      <w:lang w:bidi="ar"/>
                    </w:rPr>
                    <w:t>种类</w:t>
                  </w:r>
                </w:p>
              </w:tc>
              <w:tc>
                <w:tcPr>
                  <w:tcW w:w="2451" w:type="dxa"/>
                  <w:gridSpan w:val="2"/>
                  <w:vAlign w:val="center"/>
                </w:tcPr>
                <w:p>
                  <w:pPr>
                    <w:spacing w:line="320" w:lineRule="exact"/>
                    <w:jc w:val="center"/>
                    <w:rPr>
                      <w:rFonts w:cs="宋体"/>
                      <w:kern w:val="13"/>
                      <w:sz w:val="21"/>
                      <w:szCs w:val="21"/>
                      <w:lang w:bidi="ar"/>
                    </w:rPr>
                  </w:pPr>
                  <w:r>
                    <w:rPr>
                      <w:rFonts w:cs="宋体"/>
                      <w:kern w:val="13"/>
                      <w:sz w:val="21"/>
                      <w:szCs w:val="21"/>
                      <w:lang w:bidi="ar"/>
                    </w:rPr>
                    <w:t>体长（cm）</w:t>
                  </w:r>
                </w:p>
              </w:tc>
              <w:tc>
                <w:tcPr>
                  <w:tcW w:w="2908" w:type="dxa"/>
                  <w:gridSpan w:val="2"/>
                  <w:vAlign w:val="center"/>
                </w:tcPr>
                <w:p>
                  <w:pPr>
                    <w:spacing w:line="320" w:lineRule="exact"/>
                    <w:jc w:val="center"/>
                    <w:rPr>
                      <w:rFonts w:cs="宋体"/>
                      <w:kern w:val="13"/>
                      <w:sz w:val="21"/>
                      <w:szCs w:val="21"/>
                      <w:lang w:bidi="ar"/>
                    </w:rPr>
                  </w:pPr>
                  <w:r>
                    <w:rPr>
                      <w:rFonts w:cs="宋体"/>
                      <w:kern w:val="13"/>
                      <w:sz w:val="21"/>
                      <w:szCs w:val="21"/>
                      <w:lang w:bidi="ar"/>
                    </w:rPr>
                    <w:t>体重（g）</w:t>
                  </w:r>
                </w:p>
              </w:tc>
              <w:tc>
                <w:tcPr>
                  <w:tcW w:w="2353" w:type="dxa"/>
                  <w:gridSpan w:val="2"/>
                  <w:vAlign w:val="center"/>
                </w:tcPr>
                <w:p>
                  <w:pPr>
                    <w:spacing w:line="320" w:lineRule="exact"/>
                    <w:jc w:val="center"/>
                    <w:rPr>
                      <w:rFonts w:cs="宋体"/>
                      <w:kern w:val="13"/>
                      <w:sz w:val="21"/>
                      <w:szCs w:val="21"/>
                      <w:lang w:bidi="ar"/>
                    </w:rPr>
                  </w:pPr>
                  <w:r>
                    <w:rPr>
                      <w:rFonts w:cs="宋体"/>
                      <w:kern w:val="13"/>
                      <w:sz w:val="21"/>
                      <w:szCs w:val="21"/>
                      <w:lang w:bidi="ar"/>
                    </w:rPr>
                    <w:t>比例（%）</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574" w:type="dxa"/>
                  <w:vMerge w:val="continue"/>
                  <w:vAlign w:val="center"/>
                </w:tcPr>
                <w:p>
                  <w:pPr>
                    <w:spacing w:line="320" w:lineRule="exact"/>
                    <w:jc w:val="center"/>
                    <w:rPr>
                      <w:rFonts w:cs="宋体"/>
                      <w:kern w:val="13"/>
                      <w:sz w:val="21"/>
                      <w:szCs w:val="21"/>
                      <w:lang w:bidi="ar"/>
                    </w:rPr>
                  </w:pP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范围</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平均</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范围</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平均</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尾数</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重量</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短颌鲚</w:t>
                  </w:r>
                </w:p>
              </w:tc>
              <w:tc>
                <w:tcPr>
                  <w:tcW w:w="1606" w:type="dxa"/>
                  <w:vAlign w:val="center"/>
                </w:tcPr>
                <w:p>
                  <w:pPr>
                    <w:spacing w:line="320" w:lineRule="exact"/>
                    <w:jc w:val="center"/>
                    <w:rPr>
                      <w:rFonts w:cs="宋体"/>
                      <w:kern w:val="13"/>
                      <w:sz w:val="21"/>
                      <w:szCs w:val="21"/>
                      <w:lang w:bidi="ar"/>
                    </w:rPr>
                  </w:pPr>
                  <w:r>
                    <w:rPr>
                      <w:rFonts w:hint="eastAsia" w:cs="宋体"/>
                      <w:kern w:val="13"/>
                      <w:sz w:val="21"/>
                      <w:szCs w:val="21"/>
                      <w:lang w:bidi="ar"/>
                    </w:rPr>
                    <w:t>6.8</w:t>
                  </w:r>
                  <w:r>
                    <w:rPr>
                      <w:rFonts w:cs="宋体"/>
                      <w:kern w:val="13"/>
                      <w:sz w:val="21"/>
                      <w:szCs w:val="21"/>
                      <w:lang w:bidi="ar"/>
                    </w:rPr>
                    <w:t>.7</w:t>
                  </w:r>
                  <w:r>
                    <w:rPr>
                      <w:rFonts w:hint="eastAsia" w:cs="宋体"/>
                      <w:kern w:val="13"/>
                      <w:sz w:val="21"/>
                      <w:szCs w:val="21"/>
                      <w:lang w:bidi="ar"/>
                    </w:rPr>
                    <w:t>～</w:t>
                  </w:r>
                  <w:r>
                    <w:rPr>
                      <w:rFonts w:cs="宋体"/>
                      <w:kern w:val="13"/>
                      <w:sz w:val="21"/>
                      <w:szCs w:val="21"/>
                      <w:lang w:bidi="ar"/>
                    </w:rPr>
                    <w:t>2</w:t>
                  </w:r>
                  <w:r>
                    <w:rPr>
                      <w:rFonts w:hint="eastAsia" w:cs="宋体"/>
                      <w:kern w:val="13"/>
                      <w:sz w:val="21"/>
                      <w:szCs w:val="21"/>
                      <w:lang w:bidi="ar"/>
                    </w:rPr>
                    <w:t>6</w:t>
                  </w:r>
                  <w:r>
                    <w:rPr>
                      <w:rFonts w:cs="宋体"/>
                      <w:kern w:val="13"/>
                      <w:sz w:val="21"/>
                      <w:szCs w:val="21"/>
                      <w:lang w:bidi="ar"/>
                    </w:rPr>
                    <w:t>.</w:t>
                  </w:r>
                  <w:r>
                    <w:rPr>
                      <w:rFonts w:hint="eastAsia" w:cs="宋体"/>
                      <w:kern w:val="13"/>
                      <w:sz w:val="21"/>
                      <w:szCs w:val="21"/>
                      <w:lang w:bidi="ar"/>
                    </w:rPr>
                    <w:t>.4</w:t>
                  </w:r>
                </w:p>
              </w:tc>
              <w:tc>
                <w:tcPr>
                  <w:tcW w:w="845" w:type="dxa"/>
                  <w:vAlign w:val="center"/>
                </w:tcPr>
                <w:p>
                  <w:pPr>
                    <w:spacing w:line="320" w:lineRule="exact"/>
                    <w:jc w:val="center"/>
                    <w:rPr>
                      <w:rFonts w:cs="宋体"/>
                      <w:kern w:val="13"/>
                      <w:sz w:val="21"/>
                      <w:szCs w:val="21"/>
                      <w:lang w:bidi="ar"/>
                    </w:rPr>
                  </w:pPr>
                  <w:r>
                    <w:rPr>
                      <w:rFonts w:hint="eastAsia" w:cs="宋体"/>
                      <w:kern w:val="13"/>
                      <w:sz w:val="21"/>
                      <w:szCs w:val="21"/>
                      <w:lang w:bidi="ar"/>
                    </w:rPr>
                    <w:t>19.2</w:t>
                  </w:r>
                </w:p>
              </w:tc>
              <w:tc>
                <w:tcPr>
                  <w:tcW w:w="1909" w:type="dxa"/>
                  <w:vAlign w:val="center"/>
                </w:tcPr>
                <w:p>
                  <w:pPr>
                    <w:spacing w:line="320" w:lineRule="exact"/>
                    <w:jc w:val="center"/>
                    <w:rPr>
                      <w:rFonts w:cs="宋体"/>
                      <w:kern w:val="13"/>
                      <w:sz w:val="21"/>
                      <w:szCs w:val="21"/>
                      <w:lang w:bidi="ar"/>
                    </w:rPr>
                  </w:pPr>
                  <w:r>
                    <w:rPr>
                      <w:rFonts w:hint="eastAsia" w:cs="宋体"/>
                      <w:kern w:val="13"/>
                      <w:sz w:val="21"/>
                      <w:szCs w:val="21"/>
                      <w:lang w:bidi="ar"/>
                    </w:rPr>
                    <w:t>5.3～</w:t>
                  </w:r>
                  <w:r>
                    <w:rPr>
                      <w:rFonts w:cs="宋体"/>
                      <w:kern w:val="13"/>
                      <w:sz w:val="21"/>
                      <w:szCs w:val="21"/>
                      <w:lang w:bidi="ar"/>
                    </w:rPr>
                    <w:t>1</w:t>
                  </w:r>
                  <w:r>
                    <w:rPr>
                      <w:rFonts w:hint="eastAsia" w:cs="宋体"/>
                      <w:kern w:val="13"/>
                      <w:sz w:val="21"/>
                      <w:szCs w:val="21"/>
                      <w:lang w:bidi="ar"/>
                    </w:rPr>
                    <w:t>13</w:t>
                  </w:r>
                  <w:r>
                    <w:rPr>
                      <w:rFonts w:cs="宋体"/>
                      <w:kern w:val="13"/>
                      <w:sz w:val="21"/>
                      <w:szCs w:val="21"/>
                      <w:lang w:bidi="ar"/>
                    </w:rPr>
                    <w:t>.5</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2</w:t>
                  </w:r>
                  <w:r>
                    <w:rPr>
                      <w:rFonts w:hint="eastAsia" w:cs="宋体"/>
                      <w:kern w:val="13"/>
                      <w:sz w:val="21"/>
                      <w:szCs w:val="21"/>
                      <w:lang w:bidi="ar"/>
                    </w:rPr>
                    <w:t>0</w:t>
                  </w:r>
                  <w:r>
                    <w:rPr>
                      <w:rFonts w:cs="宋体"/>
                      <w:kern w:val="13"/>
                      <w:sz w:val="21"/>
                      <w:szCs w:val="21"/>
                      <w:lang w:bidi="ar"/>
                    </w:rPr>
                    <w:t>.</w:t>
                  </w:r>
                  <w:r>
                    <w:rPr>
                      <w:rFonts w:hint="eastAsia" w:cs="宋体"/>
                      <w:kern w:val="13"/>
                      <w:sz w:val="21"/>
                      <w:szCs w:val="21"/>
                      <w:lang w:bidi="ar"/>
                    </w:rPr>
                    <w:t>4</w:t>
                  </w:r>
                </w:p>
              </w:tc>
              <w:tc>
                <w:tcPr>
                  <w:tcW w:w="1176" w:type="dxa"/>
                  <w:vAlign w:val="center"/>
                </w:tcPr>
                <w:p>
                  <w:pPr>
                    <w:spacing w:line="320" w:lineRule="exact"/>
                    <w:jc w:val="center"/>
                    <w:rPr>
                      <w:rFonts w:cs="宋体"/>
                      <w:kern w:val="13"/>
                      <w:sz w:val="21"/>
                      <w:szCs w:val="21"/>
                      <w:lang w:bidi="ar"/>
                    </w:rPr>
                  </w:pPr>
                  <w:r>
                    <w:rPr>
                      <w:rFonts w:hint="eastAsia" w:cs="宋体"/>
                      <w:kern w:val="13"/>
                      <w:sz w:val="21"/>
                      <w:szCs w:val="21"/>
                      <w:lang w:bidi="ar"/>
                    </w:rPr>
                    <w:t>7</w:t>
                  </w:r>
                  <w:r>
                    <w:rPr>
                      <w:rFonts w:cs="宋体"/>
                      <w:kern w:val="13"/>
                      <w:sz w:val="21"/>
                      <w:szCs w:val="21"/>
                      <w:lang w:bidi="ar"/>
                    </w:rPr>
                    <w:t>.</w:t>
                  </w:r>
                  <w:r>
                    <w:rPr>
                      <w:rFonts w:hint="eastAsia" w:cs="宋体"/>
                      <w:kern w:val="13"/>
                      <w:sz w:val="21"/>
                      <w:szCs w:val="21"/>
                      <w:lang w:bidi="ar"/>
                    </w:rPr>
                    <w:t>26</w:t>
                  </w:r>
                </w:p>
              </w:tc>
              <w:tc>
                <w:tcPr>
                  <w:tcW w:w="1177" w:type="dxa"/>
                  <w:vAlign w:val="center"/>
                </w:tcPr>
                <w:p>
                  <w:pPr>
                    <w:spacing w:line="320" w:lineRule="exact"/>
                    <w:jc w:val="center"/>
                    <w:rPr>
                      <w:rFonts w:cs="宋体"/>
                      <w:kern w:val="13"/>
                      <w:sz w:val="21"/>
                      <w:szCs w:val="21"/>
                      <w:lang w:bidi="ar"/>
                    </w:rPr>
                  </w:pPr>
                  <w:r>
                    <w:rPr>
                      <w:rFonts w:hint="eastAsia" w:cs="宋体"/>
                      <w:kern w:val="13"/>
                      <w:sz w:val="21"/>
                      <w:szCs w:val="21"/>
                      <w:lang w:bidi="ar"/>
                    </w:rPr>
                    <w:t>0.76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青鱼</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25.2</w:t>
                  </w:r>
                  <w:r>
                    <w:rPr>
                      <w:rFonts w:hint="eastAsia" w:cs="宋体"/>
                      <w:kern w:val="13"/>
                      <w:sz w:val="21"/>
                      <w:szCs w:val="21"/>
                      <w:lang w:bidi="ar"/>
                    </w:rPr>
                    <w:t>～</w:t>
                  </w:r>
                  <w:r>
                    <w:rPr>
                      <w:rFonts w:cs="宋体"/>
                      <w:kern w:val="13"/>
                      <w:sz w:val="21"/>
                      <w:szCs w:val="21"/>
                      <w:lang w:bidi="ar"/>
                    </w:rPr>
                    <w:t>55.5</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43.5</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422</w:t>
                  </w:r>
                  <w:r>
                    <w:rPr>
                      <w:rFonts w:hint="eastAsia" w:cs="宋体"/>
                      <w:kern w:val="13"/>
                      <w:sz w:val="21"/>
                      <w:szCs w:val="21"/>
                      <w:lang w:bidi="ar"/>
                    </w:rPr>
                    <w:t>～</w:t>
                  </w:r>
                  <w:r>
                    <w:rPr>
                      <w:rFonts w:cs="宋体"/>
                      <w:kern w:val="13"/>
                      <w:sz w:val="21"/>
                      <w:szCs w:val="21"/>
                      <w:lang w:bidi="ar"/>
                    </w:rPr>
                    <w:t>2610</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1750</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0.11</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2.01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草鱼</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19.8</w:t>
                  </w:r>
                  <w:r>
                    <w:rPr>
                      <w:rFonts w:hint="eastAsia" w:cs="宋体"/>
                      <w:kern w:val="13"/>
                      <w:sz w:val="21"/>
                      <w:szCs w:val="21"/>
                      <w:lang w:bidi="ar"/>
                    </w:rPr>
                    <w:t>～</w:t>
                  </w:r>
                  <w:r>
                    <w:rPr>
                      <w:rFonts w:cs="宋体"/>
                      <w:kern w:val="13"/>
                      <w:sz w:val="21"/>
                      <w:szCs w:val="21"/>
                      <w:lang w:bidi="ar"/>
                    </w:rPr>
                    <w:t>50.3</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41.5</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292</w:t>
                  </w:r>
                  <w:r>
                    <w:rPr>
                      <w:rFonts w:hint="eastAsia" w:cs="宋体"/>
                      <w:kern w:val="13"/>
                      <w:sz w:val="21"/>
                      <w:szCs w:val="21"/>
                      <w:lang w:bidi="ar"/>
                    </w:rPr>
                    <w:t>～</w:t>
                  </w:r>
                  <w:r>
                    <w:rPr>
                      <w:rFonts w:cs="宋体"/>
                      <w:kern w:val="13"/>
                      <w:sz w:val="21"/>
                      <w:szCs w:val="21"/>
                      <w:lang w:bidi="ar"/>
                    </w:rPr>
                    <w:t>2260</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1725</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0.26</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4.65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赤眼鳟</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16.5</w:t>
                  </w:r>
                  <w:r>
                    <w:rPr>
                      <w:rFonts w:hint="eastAsia" w:cs="宋体"/>
                      <w:kern w:val="13"/>
                      <w:sz w:val="21"/>
                      <w:szCs w:val="21"/>
                      <w:lang w:bidi="ar"/>
                    </w:rPr>
                    <w:t>～</w:t>
                  </w:r>
                  <w:r>
                    <w:rPr>
                      <w:rFonts w:cs="宋体"/>
                      <w:kern w:val="13"/>
                      <w:sz w:val="21"/>
                      <w:szCs w:val="21"/>
                      <w:lang w:bidi="ar"/>
                    </w:rPr>
                    <w:t>30.3</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27.2</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123.5</w:t>
                  </w:r>
                  <w:r>
                    <w:rPr>
                      <w:rFonts w:hint="eastAsia" w:cs="宋体"/>
                      <w:kern w:val="13"/>
                      <w:sz w:val="21"/>
                      <w:szCs w:val="21"/>
                      <w:lang w:bidi="ar"/>
                    </w:rPr>
                    <w:t>～</w:t>
                  </w:r>
                  <w:r>
                    <w:rPr>
                      <w:rFonts w:cs="宋体"/>
                      <w:kern w:val="13"/>
                      <w:sz w:val="21"/>
                      <w:szCs w:val="21"/>
                      <w:lang w:bidi="ar"/>
                    </w:rPr>
                    <w:t>533.0</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266.8</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1.68</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4.62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鳡</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19.6</w:t>
                  </w:r>
                  <w:r>
                    <w:rPr>
                      <w:rFonts w:hint="eastAsia" w:cs="宋体"/>
                      <w:kern w:val="13"/>
                      <w:sz w:val="21"/>
                      <w:szCs w:val="21"/>
                      <w:lang w:bidi="ar"/>
                    </w:rPr>
                    <w:t>～</w:t>
                  </w:r>
                  <w:r>
                    <w:rPr>
                      <w:rFonts w:cs="宋体"/>
                      <w:kern w:val="13"/>
                      <w:sz w:val="21"/>
                      <w:szCs w:val="21"/>
                      <w:lang w:bidi="ar"/>
                    </w:rPr>
                    <w:t>43.7</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29.8</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193.9</w:t>
                  </w:r>
                  <w:r>
                    <w:rPr>
                      <w:rFonts w:hint="eastAsia" w:cs="宋体"/>
                      <w:kern w:val="13"/>
                      <w:sz w:val="21"/>
                      <w:szCs w:val="21"/>
                      <w:lang w:bidi="ar"/>
                    </w:rPr>
                    <w:t>～</w:t>
                  </w:r>
                  <w:r>
                    <w:rPr>
                      <w:rFonts w:cs="宋体"/>
                      <w:kern w:val="13"/>
                      <w:sz w:val="21"/>
                      <w:szCs w:val="21"/>
                      <w:lang w:bidi="ar"/>
                    </w:rPr>
                    <w:t>1590</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990</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0.09</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0.96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翘嘴鲌</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14.9</w:t>
                  </w:r>
                  <w:r>
                    <w:rPr>
                      <w:rFonts w:hint="eastAsia" w:cs="宋体"/>
                      <w:kern w:val="13"/>
                      <w:sz w:val="21"/>
                      <w:szCs w:val="21"/>
                      <w:lang w:bidi="ar"/>
                    </w:rPr>
                    <w:t>～</w:t>
                  </w:r>
                  <w:r>
                    <w:rPr>
                      <w:rFonts w:cs="宋体"/>
                      <w:kern w:val="13"/>
                      <w:sz w:val="21"/>
                      <w:szCs w:val="21"/>
                      <w:lang w:bidi="ar"/>
                    </w:rPr>
                    <w:t>56.4</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42.3</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23.7</w:t>
                  </w:r>
                  <w:r>
                    <w:rPr>
                      <w:rFonts w:hint="eastAsia" w:cs="宋体"/>
                      <w:kern w:val="13"/>
                      <w:sz w:val="21"/>
                      <w:szCs w:val="21"/>
                      <w:lang w:bidi="ar"/>
                    </w:rPr>
                    <w:t>～</w:t>
                  </w:r>
                  <w:r>
                    <w:rPr>
                      <w:rFonts w:cs="宋体"/>
                      <w:kern w:val="13"/>
                      <w:sz w:val="21"/>
                      <w:szCs w:val="21"/>
                      <w:lang w:bidi="ar"/>
                    </w:rPr>
                    <w:t>2225</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639</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0.34</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2.22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蒙古鲌</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15.7</w:t>
                  </w:r>
                  <w:r>
                    <w:rPr>
                      <w:rFonts w:hint="eastAsia" w:cs="宋体"/>
                      <w:kern w:val="13"/>
                      <w:sz w:val="21"/>
                      <w:szCs w:val="21"/>
                      <w:lang w:bidi="ar"/>
                    </w:rPr>
                    <w:t>～</w:t>
                  </w:r>
                  <w:r>
                    <w:rPr>
                      <w:rFonts w:cs="宋体"/>
                      <w:kern w:val="13"/>
                      <w:sz w:val="21"/>
                      <w:szCs w:val="21"/>
                      <w:lang w:bidi="ar"/>
                    </w:rPr>
                    <w:t>32.9</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29.6</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20.3</w:t>
                  </w:r>
                  <w:r>
                    <w:rPr>
                      <w:rFonts w:hint="eastAsia" w:cs="宋体"/>
                      <w:kern w:val="13"/>
                      <w:sz w:val="21"/>
                      <w:szCs w:val="21"/>
                      <w:lang w:bidi="ar"/>
                    </w:rPr>
                    <w:t>～</w:t>
                  </w:r>
                  <w:r>
                    <w:rPr>
                      <w:rFonts w:cs="宋体"/>
                      <w:kern w:val="13"/>
                      <w:sz w:val="21"/>
                      <w:szCs w:val="21"/>
                      <w:lang w:bidi="ar"/>
                    </w:rPr>
                    <w:t>491.8</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334.3</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0.26</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0.90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䱗</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7.3</w:t>
                  </w:r>
                  <w:r>
                    <w:rPr>
                      <w:rFonts w:hint="eastAsia" w:cs="宋体"/>
                      <w:kern w:val="13"/>
                      <w:sz w:val="21"/>
                      <w:szCs w:val="21"/>
                      <w:lang w:bidi="ar"/>
                    </w:rPr>
                    <w:t>～</w:t>
                  </w:r>
                  <w:r>
                    <w:rPr>
                      <w:rFonts w:cs="宋体"/>
                      <w:kern w:val="13"/>
                      <w:sz w:val="21"/>
                      <w:szCs w:val="21"/>
                      <w:lang w:bidi="ar"/>
                    </w:rPr>
                    <w:t>16.9</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15.7</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9.3</w:t>
                  </w:r>
                  <w:r>
                    <w:rPr>
                      <w:rFonts w:hint="eastAsia" w:cs="宋体"/>
                      <w:kern w:val="13"/>
                      <w:sz w:val="21"/>
                      <w:szCs w:val="21"/>
                      <w:lang w:bidi="ar"/>
                    </w:rPr>
                    <w:t>～</w:t>
                  </w:r>
                  <w:r>
                    <w:rPr>
                      <w:rFonts w:cs="宋体"/>
                      <w:kern w:val="13"/>
                      <w:sz w:val="21"/>
                      <w:szCs w:val="21"/>
                      <w:lang w:bidi="ar"/>
                    </w:rPr>
                    <w:t>33.5</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19.2</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6.43</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1.28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贝氏䱗</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8.1</w:t>
                  </w:r>
                  <w:r>
                    <w:rPr>
                      <w:rFonts w:hint="eastAsia" w:cs="宋体"/>
                      <w:kern w:val="13"/>
                      <w:sz w:val="21"/>
                      <w:szCs w:val="21"/>
                      <w:lang w:bidi="ar"/>
                    </w:rPr>
                    <w:t>～</w:t>
                  </w:r>
                  <w:r>
                    <w:rPr>
                      <w:rFonts w:cs="宋体"/>
                      <w:kern w:val="13"/>
                      <w:sz w:val="21"/>
                      <w:szCs w:val="21"/>
                      <w:lang w:bidi="ar"/>
                    </w:rPr>
                    <w:t>15.8</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14.3</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7.5</w:t>
                  </w:r>
                  <w:r>
                    <w:rPr>
                      <w:rFonts w:hint="eastAsia" w:cs="宋体"/>
                      <w:kern w:val="13"/>
                      <w:sz w:val="21"/>
                      <w:szCs w:val="21"/>
                      <w:lang w:bidi="ar"/>
                    </w:rPr>
                    <w:t>～</w:t>
                  </w:r>
                  <w:r>
                    <w:rPr>
                      <w:rFonts w:cs="宋体"/>
                      <w:kern w:val="13"/>
                      <w:sz w:val="21"/>
                      <w:szCs w:val="21"/>
                      <w:lang w:bidi="ar"/>
                    </w:rPr>
                    <w:t>43.7</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18.8</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4.54</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0.88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鳊</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24.4</w:t>
                  </w:r>
                  <w:r>
                    <w:rPr>
                      <w:rFonts w:hint="eastAsia" w:cs="宋体"/>
                      <w:kern w:val="13"/>
                      <w:sz w:val="21"/>
                      <w:szCs w:val="21"/>
                      <w:lang w:bidi="ar"/>
                    </w:rPr>
                    <w:t>～</w:t>
                  </w:r>
                  <w:r>
                    <w:rPr>
                      <w:rFonts w:cs="宋体"/>
                      <w:kern w:val="13"/>
                      <w:sz w:val="21"/>
                      <w:szCs w:val="21"/>
                      <w:lang w:bidi="ar"/>
                    </w:rPr>
                    <w:t>34.7</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29.5</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220.3</w:t>
                  </w:r>
                  <w:r>
                    <w:rPr>
                      <w:rFonts w:hint="eastAsia" w:cs="宋体"/>
                      <w:kern w:val="13"/>
                      <w:sz w:val="21"/>
                      <w:szCs w:val="21"/>
                      <w:lang w:bidi="ar"/>
                    </w:rPr>
                    <w:t>～</w:t>
                  </w:r>
                  <w:r>
                    <w:rPr>
                      <w:rFonts w:cs="宋体"/>
                      <w:kern w:val="13"/>
                      <w:sz w:val="21"/>
                      <w:szCs w:val="21"/>
                      <w:lang w:bidi="ar"/>
                    </w:rPr>
                    <w:t>588.7</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359.2</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1.30</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4.84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黄尾鲴</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22.5</w:t>
                  </w:r>
                  <w:r>
                    <w:rPr>
                      <w:rFonts w:hint="eastAsia" w:cs="宋体"/>
                      <w:kern w:val="13"/>
                      <w:sz w:val="21"/>
                      <w:szCs w:val="21"/>
                      <w:lang w:bidi="ar"/>
                    </w:rPr>
                    <w:t>～</w:t>
                  </w:r>
                  <w:r>
                    <w:rPr>
                      <w:rFonts w:cs="宋体"/>
                      <w:kern w:val="13"/>
                      <w:sz w:val="21"/>
                      <w:szCs w:val="21"/>
                      <w:lang w:bidi="ar"/>
                    </w:rPr>
                    <w:t>35.1</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29.8</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203.9</w:t>
                  </w:r>
                  <w:r>
                    <w:rPr>
                      <w:rFonts w:hint="eastAsia" w:cs="宋体"/>
                      <w:kern w:val="13"/>
                      <w:sz w:val="21"/>
                      <w:szCs w:val="21"/>
                      <w:lang w:bidi="ar"/>
                    </w:rPr>
                    <w:t>～</w:t>
                  </w:r>
                  <w:r>
                    <w:rPr>
                      <w:rFonts w:cs="宋体"/>
                      <w:kern w:val="13"/>
                      <w:sz w:val="21"/>
                      <w:szCs w:val="21"/>
                      <w:lang w:bidi="ar"/>
                    </w:rPr>
                    <w:t>561.8</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195.7</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0.86</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1.74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92"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花䱻</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21.5</w:t>
                  </w:r>
                  <w:r>
                    <w:rPr>
                      <w:rFonts w:hint="eastAsia" w:cs="宋体"/>
                      <w:kern w:val="13"/>
                      <w:sz w:val="21"/>
                      <w:szCs w:val="21"/>
                      <w:lang w:bidi="ar"/>
                    </w:rPr>
                    <w:t>～</w:t>
                  </w:r>
                  <w:r>
                    <w:rPr>
                      <w:rFonts w:cs="宋体"/>
                      <w:kern w:val="13"/>
                      <w:sz w:val="21"/>
                      <w:szCs w:val="21"/>
                      <w:lang w:bidi="ar"/>
                    </w:rPr>
                    <w:t>25.6</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23.1</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108.4</w:t>
                  </w:r>
                  <w:r>
                    <w:rPr>
                      <w:rFonts w:hint="eastAsia" w:cs="宋体"/>
                      <w:kern w:val="13"/>
                      <w:sz w:val="21"/>
                      <w:szCs w:val="21"/>
                      <w:lang w:bidi="ar"/>
                    </w:rPr>
                    <w:t>～</w:t>
                  </w:r>
                  <w:r>
                    <w:rPr>
                      <w:rFonts w:cs="宋体"/>
                      <w:kern w:val="13"/>
                      <w:sz w:val="21"/>
                      <w:szCs w:val="21"/>
                      <w:lang w:bidi="ar"/>
                    </w:rPr>
                    <w:t>161.7</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128.6</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0.75</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0.99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麦穗鱼</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4.7</w:t>
                  </w:r>
                  <w:r>
                    <w:rPr>
                      <w:rFonts w:hint="eastAsia" w:cs="宋体"/>
                      <w:kern w:val="13"/>
                      <w:sz w:val="21"/>
                      <w:szCs w:val="21"/>
                      <w:lang w:bidi="ar"/>
                    </w:rPr>
                    <w:t>～</w:t>
                  </w:r>
                  <w:r>
                    <w:rPr>
                      <w:rFonts w:cs="宋体"/>
                      <w:kern w:val="13"/>
                      <w:sz w:val="21"/>
                      <w:szCs w:val="21"/>
                      <w:lang w:bidi="ar"/>
                    </w:rPr>
                    <w:t>7.6</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6.0</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1.6</w:t>
                  </w:r>
                  <w:r>
                    <w:rPr>
                      <w:rFonts w:hint="eastAsia" w:cs="宋体"/>
                      <w:kern w:val="13"/>
                      <w:sz w:val="21"/>
                      <w:szCs w:val="21"/>
                      <w:lang w:bidi="ar"/>
                    </w:rPr>
                    <w:t>～</w:t>
                  </w:r>
                  <w:r>
                    <w:rPr>
                      <w:rFonts w:cs="宋体"/>
                      <w:kern w:val="13"/>
                      <w:sz w:val="21"/>
                      <w:szCs w:val="21"/>
                      <w:lang w:bidi="ar"/>
                    </w:rPr>
                    <w:t>8.1</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4.8</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16.84</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0.84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铜鱼</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11.8</w:t>
                  </w:r>
                  <w:r>
                    <w:rPr>
                      <w:rFonts w:hint="eastAsia" w:cs="宋体"/>
                      <w:kern w:val="13"/>
                      <w:sz w:val="21"/>
                      <w:szCs w:val="21"/>
                      <w:lang w:bidi="ar"/>
                    </w:rPr>
                    <w:t>～</w:t>
                  </w:r>
                  <w:r>
                    <w:rPr>
                      <w:rFonts w:cs="宋体"/>
                      <w:kern w:val="13"/>
                      <w:sz w:val="21"/>
                      <w:szCs w:val="21"/>
                      <w:lang w:bidi="ar"/>
                    </w:rPr>
                    <w:t>28.5</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25.7</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26.3</w:t>
                  </w:r>
                  <w:r>
                    <w:rPr>
                      <w:rFonts w:hint="eastAsia" w:cs="宋体"/>
                      <w:kern w:val="13"/>
                      <w:sz w:val="21"/>
                      <w:szCs w:val="21"/>
                      <w:lang w:bidi="ar"/>
                    </w:rPr>
                    <w:t>～</w:t>
                  </w:r>
                  <w:r>
                    <w:rPr>
                      <w:rFonts w:cs="宋体"/>
                      <w:kern w:val="13"/>
                      <w:sz w:val="21"/>
                      <w:szCs w:val="21"/>
                      <w:lang w:bidi="ar"/>
                    </w:rPr>
                    <w:t>350.9</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223.1</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3.06</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7.04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吻鮈</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18.9</w:t>
                  </w:r>
                  <w:r>
                    <w:rPr>
                      <w:rFonts w:hint="eastAsia" w:cs="宋体"/>
                      <w:kern w:val="13"/>
                      <w:sz w:val="21"/>
                      <w:szCs w:val="21"/>
                      <w:lang w:bidi="ar"/>
                    </w:rPr>
                    <w:t>～</w:t>
                  </w:r>
                  <w:r>
                    <w:rPr>
                      <w:rFonts w:cs="宋体"/>
                      <w:kern w:val="13"/>
                      <w:sz w:val="21"/>
                      <w:szCs w:val="21"/>
                      <w:lang w:bidi="ar"/>
                    </w:rPr>
                    <w:t>24.7</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21.3</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68.5</w:t>
                  </w:r>
                  <w:r>
                    <w:rPr>
                      <w:rFonts w:hint="eastAsia" w:cs="宋体"/>
                      <w:kern w:val="13"/>
                      <w:sz w:val="21"/>
                      <w:szCs w:val="21"/>
                      <w:lang w:bidi="ar"/>
                    </w:rPr>
                    <w:t>～</w:t>
                  </w:r>
                  <w:r>
                    <w:rPr>
                      <w:rFonts w:cs="宋体"/>
                      <w:kern w:val="13"/>
                      <w:sz w:val="21"/>
                      <w:szCs w:val="21"/>
                      <w:lang w:bidi="ar"/>
                    </w:rPr>
                    <w:t>145.9</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93.5</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1.03</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0.99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蛇鮈</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4.8</w:t>
                  </w:r>
                  <w:r>
                    <w:rPr>
                      <w:rFonts w:hint="eastAsia" w:cs="宋体"/>
                      <w:kern w:val="13"/>
                      <w:sz w:val="21"/>
                      <w:szCs w:val="21"/>
                      <w:lang w:bidi="ar"/>
                    </w:rPr>
                    <w:t>～</w:t>
                  </w:r>
                  <w:r>
                    <w:rPr>
                      <w:rFonts w:cs="宋体"/>
                      <w:kern w:val="13"/>
                      <w:sz w:val="21"/>
                      <w:szCs w:val="21"/>
                      <w:lang w:bidi="ar"/>
                    </w:rPr>
                    <w:t>15.2</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12.6</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3.5</w:t>
                  </w:r>
                  <w:r>
                    <w:rPr>
                      <w:rFonts w:hint="eastAsia" w:cs="宋体"/>
                      <w:kern w:val="13"/>
                      <w:sz w:val="21"/>
                      <w:szCs w:val="21"/>
                      <w:lang w:bidi="ar"/>
                    </w:rPr>
                    <w:t>～</w:t>
                  </w:r>
                  <w:r>
                    <w:rPr>
                      <w:rFonts w:cs="宋体"/>
                      <w:kern w:val="13"/>
                      <w:sz w:val="21"/>
                      <w:szCs w:val="21"/>
                      <w:lang w:bidi="ar"/>
                    </w:rPr>
                    <w:t>36.7</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15.8</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12.80</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2.09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鲤</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8.3</w:t>
                  </w:r>
                  <w:r>
                    <w:rPr>
                      <w:rFonts w:hint="eastAsia" w:cs="宋体"/>
                      <w:kern w:val="13"/>
                      <w:sz w:val="21"/>
                      <w:szCs w:val="21"/>
                      <w:lang w:bidi="ar"/>
                    </w:rPr>
                    <w:t>～</w:t>
                  </w:r>
                  <w:r>
                    <w:rPr>
                      <w:rFonts w:cs="宋体"/>
                      <w:kern w:val="13"/>
                      <w:sz w:val="21"/>
                      <w:szCs w:val="21"/>
                      <w:lang w:bidi="ar"/>
                    </w:rPr>
                    <w:t>55.5</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40.5</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9.8</w:t>
                  </w:r>
                  <w:r>
                    <w:rPr>
                      <w:rFonts w:hint="eastAsia" w:cs="宋体"/>
                      <w:kern w:val="13"/>
                      <w:sz w:val="21"/>
                      <w:szCs w:val="21"/>
                      <w:lang w:bidi="ar"/>
                    </w:rPr>
                    <w:t>～</w:t>
                  </w:r>
                  <w:r>
                    <w:rPr>
                      <w:rFonts w:cs="宋体"/>
                      <w:kern w:val="13"/>
                      <w:sz w:val="21"/>
                      <w:szCs w:val="21"/>
                      <w:lang w:bidi="ar"/>
                    </w:rPr>
                    <w:t>3890</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1531</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1.21</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19.15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鲫</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8.5</w:t>
                  </w:r>
                  <w:r>
                    <w:rPr>
                      <w:rFonts w:hint="eastAsia" w:cs="宋体"/>
                      <w:kern w:val="13"/>
                      <w:sz w:val="21"/>
                      <w:szCs w:val="21"/>
                      <w:lang w:bidi="ar"/>
                    </w:rPr>
                    <w:t>～</w:t>
                  </w:r>
                  <w:r>
                    <w:rPr>
                      <w:rFonts w:cs="宋体"/>
                      <w:kern w:val="13"/>
                      <w:sz w:val="21"/>
                      <w:szCs w:val="21"/>
                      <w:lang w:bidi="ar"/>
                    </w:rPr>
                    <w:t>26.0</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12.9</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9.7</w:t>
                  </w:r>
                  <w:r>
                    <w:rPr>
                      <w:rFonts w:hint="eastAsia" w:cs="宋体"/>
                      <w:kern w:val="13"/>
                      <w:sz w:val="21"/>
                      <w:szCs w:val="21"/>
                      <w:lang w:bidi="ar"/>
                    </w:rPr>
                    <w:t>～</w:t>
                  </w:r>
                  <w:r>
                    <w:rPr>
                      <w:rFonts w:cs="宋体"/>
                      <w:kern w:val="13"/>
                      <w:sz w:val="21"/>
                      <w:szCs w:val="21"/>
                      <w:lang w:bidi="ar"/>
                    </w:rPr>
                    <w:t>303.5</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55.6</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8.59</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4.93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鲢</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24.2</w:t>
                  </w:r>
                  <w:r>
                    <w:rPr>
                      <w:rFonts w:hint="eastAsia" w:cs="宋体"/>
                      <w:kern w:val="13"/>
                      <w:sz w:val="21"/>
                      <w:szCs w:val="21"/>
                      <w:lang w:bidi="ar"/>
                    </w:rPr>
                    <w:t>～</w:t>
                  </w:r>
                  <w:r>
                    <w:rPr>
                      <w:rFonts w:cs="宋体"/>
                      <w:kern w:val="13"/>
                      <w:sz w:val="21"/>
                      <w:szCs w:val="21"/>
                      <w:lang w:bidi="ar"/>
                    </w:rPr>
                    <w:t>52.4</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37.7</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235</w:t>
                  </w:r>
                  <w:r>
                    <w:rPr>
                      <w:rFonts w:hint="eastAsia" w:cs="宋体"/>
                      <w:kern w:val="13"/>
                      <w:sz w:val="21"/>
                      <w:szCs w:val="21"/>
                      <w:lang w:bidi="ar"/>
                    </w:rPr>
                    <w:t>～</w:t>
                  </w:r>
                  <w:r>
                    <w:rPr>
                      <w:rFonts w:cs="宋体"/>
                      <w:kern w:val="13"/>
                      <w:sz w:val="21"/>
                      <w:szCs w:val="21"/>
                      <w:lang w:bidi="ar"/>
                    </w:rPr>
                    <w:t>2305</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1741</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0.35</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6.37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鳙</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17.5</w:t>
                  </w:r>
                  <w:r>
                    <w:rPr>
                      <w:rFonts w:hint="eastAsia" w:cs="宋体"/>
                      <w:kern w:val="13"/>
                      <w:sz w:val="21"/>
                      <w:szCs w:val="21"/>
                      <w:lang w:bidi="ar"/>
                    </w:rPr>
                    <w:t>～</w:t>
                  </w:r>
                  <w:r>
                    <w:rPr>
                      <w:rFonts w:cs="宋体"/>
                      <w:kern w:val="13"/>
                      <w:sz w:val="21"/>
                      <w:szCs w:val="21"/>
                      <w:lang w:bidi="ar"/>
                    </w:rPr>
                    <w:t>46.3</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40.7</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155</w:t>
                  </w:r>
                  <w:r>
                    <w:rPr>
                      <w:rFonts w:hint="eastAsia" w:cs="宋体"/>
                      <w:kern w:val="13"/>
                      <w:sz w:val="21"/>
                      <w:szCs w:val="21"/>
                      <w:lang w:bidi="ar"/>
                    </w:rPr>
                    <w:t>～</w:t>
                  </w:r>
                  <w:r>
                    <w:rPr>
                      <w:rFonts w:cs="宋体"/>
                      <w:kern w:val="13"/>
                      <w:sz w:val="21"/>
                      <w:szCs w:val="21"/>
                      <w:lang w:bidi="ar"/>
                    </w:rPr>
                    <w:t>2135</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1833</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0.17</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3.16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鲇</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30.3</w:t>
                  </w:r>
                  <w:r>
                    <w:rPr>
                      <w:rFonts w:hint="eastAsia" w:cs="宋体"/>
                      <w:kern w:val="13"/>
                      <w:sz w:val="21"/>
                      <w:szCs w:val="21"/>
                      <w:lang w:bidi="ar"/>
                    </w:rPr>
                    <w:t>～</w:t>
                  </w:r>
                  <w:r>
                    <w:rPr>
                      <w:rFonts w:cs="宋体"/>
                      <w:kern w:val="13"/>
                      <w:sz w:val="21"/>
                      <w:szCs w:val="21"/>
                      <w:lang w:bidi="ar"/>
                    </w:rPr>
                    <w:t>43.0</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36.1</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307.5</w:t>
                  </w:r>
                  <w:r>
                    <w:rPr>
                      <w:rFonts w:hint="eastAsia" w:cs="宋体"/>
                      <w:kern w:val="13"/>
                      <w:sz w:val="21"/>
                      <w:szCs w:val="21"/>
                      <w:lang w:bidi="ar"/>
                    </w:rPr>
                    <w:t>～</w:t>
                  </w:r>
                  <w:r>
                    <w:rPr>
                      <w:rFonts w:cs="宋体"/>
                      <w:kern w:val="13"/>
                      <w:sz w:val="21"/>
                      <w:szCs w:val="21"/>
                      <w:lang w:bidi="ar"/>
                    </w:rPr>
                    <w:t>856.4</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520.3</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0.22</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1.21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大口鲇</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12.7</w:t>
                  </w:r>
                  <w:r>
                    <w:rPr>
                      <w:rFonts w:hint="eastAsia" w:cs="宋体"/>
                      <w:kern w:val="13"/>
                      <w:sz w:val="21"/>
                      <w:szCs w:val="21"/>
                      <w:lang w:bidi="ar"/>
                    </w:rPr>
                    <w:t>～</w:t>
                  </w:r>
                  <w:r>
                    <w:rPr>
                      <w:rFonts w:cs="宋体"/>
                      <w:kern w:val="13"/>
                      <w:sz w:val="21"/>
                      <w:szCs w:val="21"/>
                      <w:lang w:bidi="ar"/>
                    </w:rPr>
                    <w:t>60.5</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56.3</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19.5</w:t>
                  </w:r>
                  <w:r>
                    <w:rPr>
                      <w:rFonts w:hint="eastAsia" w:cs="宋体"/>
                      <w:kern w:val="13"/>
                      <w:sz w:val="21"/>
                      <w:szCs w:val="21"/>
                      <w:lang w:bidi="ar"/>
                    </w:rPr>
                    <w:t>～</w:t>
                  </w:r>
                  <w:r>
                    <w:rPr>
                      <w:rFonts w:cs="宋体"/>
                      <w:kern w:val="13"/>
                      <w:sz w:val="21"/>
                      <w:szCs w:val="21"/>
                      <w:lang w:bidi="ar"/>
                    </w:rPr>
                    <w:t>5250</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1827</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0.48</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9.11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黄颡鱼</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8.5</w:t>
                  </w:r>
                  <w:r>
                    <w:rPr>
                      <w:rFonts w:hint="eastAsia" w:cs="宋体"/>
                      <w:kern w:val="13"/>
                      <w:sz w:val="21"/>
                      <w:szCs w:val="21"/>
                      <w:lang w:bidi="ar"/>
                    </w:rPr>
                    <w:t>～</w:t>
                  </w:r>
                  <w:r>
                    <w:rPr>
                      <w:rFonts w:cs="宋体"/>
                      <w:kern w:val="13"/>
                      <w:sz w:val="21"/>
                      <w:szCs w:val="21"/>
                      <w:lang w:bidi="ar"/>
                    </w:rPr>
                    <w:t>19.8</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14.1</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6.9</w:t>
                  </w:r>
                  <w:r>
                    <w:rPr>
                      <w:rFonts w:hint="eastAsia" w:cs="宋体"/>
                      <w:kern w:val="13"/>
                      <w:sz w:val="21"/>
                      <w:szCs w:val="21"/>
                      <w:lang w:bidi="ar"/>
                    </w:rPr>
                    <w:t>～</w:t>
                  </w:r>
                  <w:r>
                    <w:rPr>
                      <w:rFonts w:cs="宋体"/>
                      <w:kern w:val="13"/>
                      <w:sz w:val="21"/>
                      <w:szCs w:val="21"/>
                      <w:lang w:bidi="ar"/>
                    </w:rPr>
                    <w:t>144.2</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43.2</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4.77</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2.13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瓦氏黄颡鱼</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9.7</w:t>
                  </w:r>
                  <w:r>
                    <w:rPr>
                      <w:rFonts w:hint="eastAsia" w:cs="宋体"/>
                      <w:kern w:val="13"/>
                      <w:sz w:val="21"/>
                      <w:szCs w:val="21"/>
                      <w:lang w:bidi="ar"/>
                    </w:rPr>
                    <w:t>～</w:t>
                  </w:r>
                  <w:r>
                    <w:rPr>
                      <w:rFonts w:cs="宋体"/>
                      <w:kern w:val="13"/>
                      <w:sz w:val="21"/>
                      <w:szCs w:val="21"/>
                      <w:lang w:bidi="ar"/>
                    </w:rPr>
                    <w:t>24.3</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16.7</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7.4</w:t>
                  </w:r>
                  <w:r>
                    <w:rPr>
                      <w:rFonts w:hint="eastAsia" w:cs="宋体"/>
                      <w:kern w:val="13"/>
                      <w:sz w:val="21"/>
                      <w:szCs w:val="21"/>
                      <w:lang w:bidi="ar"/>
                    </w:rPr>
                    <w:t>～</w:t>
                  </w:r>
                  <w:r>
                    <w:rPr>
                      <w:rFonts w:cs="宋体"/>
                      <w:kern w:val="13"/>
                      <w:sz w:val="21"/>
                      <w:szCs w:val="21"/>
                      <w:lang w:bidi="ar"/>
                    </w:rPr>
                    <w:t>175.6</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59.5</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7.00</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4.31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鳜</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20.3</w:t>
                  </w:r>
                  <w:r>
                    <w:rPr>
                      <w:rFonts w:hint="eastAsia" w:cs="宋体"/>
                      <w:kern w:val="13"/>
                      <w:sz w:val="21"/>
                      <w:szCs w:val="21"/>
                      <w:lang w:bidi="ar"/>
                    </w:rPr>
                    <w:t>～</w:t>
                  </w:r>
                  <w:r>
                    <w:rPr>
                      <w:rFonts w:cs="宋体"/>
                      <w:kern w:val="13"/>
                      <w:sz w:val="21"/>
                      <w:szCs w:val="21"/>
                      <w:lang w:bidi="ar"/>
                    </w:rPr>
                    <w:t>28.9</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25.1</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279.5</w:t>
                  </w:r>
                  <w:r>
                    <w:rPr>
                      <w:rFonts w:hint="eastAsia" w:cs="宋体"/>
                      <w:kern w:val="13"/>
                      <w:sz w:val="21"/>
                      <w:szCs w:val="21"/>
                      <w:lang w:bidi="ar"/>
                    </w:rPr>
                    <w:t>～</w:t>
                  </w:r>
                  <w:r>
                    <w:rPr>
                      <w:rFonts w:cs="宋体"/>
                      <w:kern w:val="13"/>
                      <w:sz w:val="21"/>
                      <w:szCs w:val="21"/>
                      <w:lang w:bidi="ar"/>
                    </w:rPr>
                    <w:t>756.8</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451.7</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0.30</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1.39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大眼鳜</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17.1</w:t>
                  </w:r>
                  <w:r>
                    <w:rPr>
                      <w:rFonts w:hint="eastAsia" w:cs="宋体"/>
                      <w:kern w:val="13"/>
                      <w:sz w:val="21"/>
                      <w:szCs w:val="21"/>
                      <w:lang w:bidi="ar"/>
                    </w:rPr>
                    <w:t>～</w:t>
                  </w:r>
                  <w:r>
                    <w:rPr>
                      <w:rFonts w:cs="宋体"/>
                      <w:kern w:val="13"/>
                      <w:sz w:val="21"/>
                      <w:szCs w:val="21"/>
                      <w:lang w:bidi="ar"/>
                    </w:rPr>
                    <w:t>31.7</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28.9</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164.9</w:t>
                  </w:r>
                  <w:r>
                    <w:rPr>
                      <w:rFonts w:hint="eastAsia" w:cs="宋体"/>
                      <w:kern w:val="13"/>
                      <w:sz w:val="21"/>
                      <w:szCs w:val="21"/>
                      <w:lang w:bidi="ar"/>
                    </w:rPr>
                    <w:t>～</w:t>
                  </w:r>
                  <w:r>
                    <w:rPr>
                      <w:rFonts w:cs="宋体"/>
                      <w:kern w:val="13"/>
                      <w:sz w:val="21"/>
                      <w:szCs w:val="21"/>
                      <w:lang w:bidi="ar"/>
                    </w:rPr>
                    <w:t>788.3</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352.2</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0.58</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2.10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74" w:type="dxa"/>
                  <w:vAlign w:val="center"/>
                </w:tcPr>
                <w:p>
                  <w:pPr>
                    <w:spacing w:line="320" w:lineRule="exact"/>
                    <w:jc w:val="center"/>
                    <w:rPr>
                      <w:rFonts w:cs="宋体"/>
                      <w:kern w:val="13"/>
                      <w:sz w:val="21"/>
                      <w:szCs w:val="21"/>
                      <w:lang w:bidi="ar"/>
                    </w:rPr>
                  </w:pPr>
                  <w:r>
                    <w:rPr>
                      <w:rFonts w:cs="宋体"/>
                      <w:kern w:val="13"/>
                      <w:sz w:val="21"/>
                      <w:szCs w:val="21"/>
                      <w:lang w:bidi="ar"/>
                    </w:rPr>
                    <w:t>乌鳢</w:t>
                  </w:r>
                </w:p>
              </w:tc>
              <w:tc>
                <w:tcPr>
                  <w:tcW w:w="1606" w:type="dxa"/>
                  <w:vAlign w:val="center"/>
                </w:tcPr>
                <w:p>
                  <w:pPr>
                    <w:spacing w:line="320" w:lineRule="exact"/>
                    <w:jc w:val="center"/>
                    <w:rPr>
                      <w:rFonts w:cs="宋体"/>
                      <w:kern w:val="13"/>
                      <w:sz w:val="21"/>
                      <w:szCs w:val="21"/>
                      <w:lang w:bidi="ar"/>
                    </w:rPr>
                  </w:pPr>
                  <w:r>
                    <w:rPr>
                      <w:rFonts w:cs="宋体"/>
                      <w:kern w:val="13"/>
                      <w:sz w:val="21"/>
                      <w:szCs w:val="21"/>
                      <w:lang w:bidi="ar"/>
                    </w:rPr>
                    <w:t>19.5</w:t>
                  </w:r>
                  <w:r>
                    <w:rPr>
                      <w:rFonts w:hint="eastAsia" w:cs="宋体"/>
                      <w:kern w:val="13"/>
                      <w:sz w:val="21"/>
                      <w:szCs w:val="21"/>
                      <w:lang w:bidi="ar"/>
                    </w:rPr>
                    <w:t>～</w:t>
                  </w:r>
                  <w:r>
                    <w:rPr>
                      <w:rFonts w:cs="宋体"/>
                      <w:kern w:val="13"/>
                      <w:sz w:val="21"/>
                      <w:szCs w:val="21"/>
                      <w:lang w:bidi="ar"/>
                    </w:rPr>
                    <w:t>33.7</w:t>
                  </w:r>
                </w:p>
              </w:tc>
              <w:tc>
                <w:tcPr>
                  <w:tcW w:w="845" w:type="dxa"/>
                  <w:vAlign w:val="center"/>
                </w:tcPr>
                <w:p>
                  <w:pPr>
                    <w:spacing w:line="320" w:lineRule="exact"/>
                    <w:jc w:val="center"/>
                    <w:rPr>
                      <w:rFonts w:cs="宋体"/>
                      <w:kern w:val="13"/>
                      <w:sz w:val="21"/>
                      <w:szCs w:val="21"/>
                      <w:lang w:bidi="ar"/>
                    </w:rPr>
                  </w:pPr>
                  <w:r>
                    <w:rPr>
                      <w:rFonts w:cs="宋体"/>
                      <w:kern w:val="13"/>
                      <w:sz w:val="21"/>
                      <w:szCs w:val="21"/>
                      <w:lang w:bidi="ar"/>
                    </w:rPr>
                    <w:t>29.3</w:t>
                  </w:r>
                </w:p>
              </w:tc>
              <w:tc>
                <w:tcPr>
                  <w:tcW w:w="1909" w:type="dxa"/>
                  <w:vAlign w:val="center"/>
                </w:tcPr>
                <w:p>
                  <w:pPr>
                    <w:spacing w:line="320" w:lineRule="exact"/>
                    <w:jc w:val="center"/>
                    <w:rPr>
                      <w:rFonts w:cs="宋体"/>
                      <w:kern w:val="13"/>
                      <w:sz w:val="21"/>
                      <w:szCs w:val="21"/>
                      <w:lang w:bidi="ar"/>
                    </w:rPr>
                  </w:pPr>
                  <w:r>
                    <w:rPr>
                      <w:rFonts w:cs="宋体"/>
                      <w:kern w:val="13"/>
                      <w:sz w:val="21"/>
                      <w:szCs w:val="21"/>
                      <w:lang w:bidi="ar"/>
                    </w:rPr>
                    <w:t>169.3</w:t>
                  </w:r>
                  <w:r>
                    <w:rPr>
                      <w:rFonts w:hint="eastAsia" w:cs="宋体"/>
                      <w:kern w:val="13"/>
                      <w:sz w:val="21"/>
                      <w:szCs w:val="21"/>
                      <w:lang w:bidi="ar"/>
                    </w:rPr>
                    <w:t>～</w:t>
                  </w:r>
                  <w:r>
                    <w:rPr>
                      <w:rFonts w:cs="宋体"/>
                      <w:kern w:val="13"/>
                      <w:sz w:val="21"/>
                      <w:szCs w:val="21"/>
                      <w:lang w:bidi="ar"/>
                    </w:rPr>
                    <w:t>890</w:t>
                  </w:r>
                </w:p>
              </w:tc>
              <w:tc>
                <w:tcPr>
                  <w:tcW w:w="999" w:type="dxa"/>
                  <w:vAlign w:val="center"/>
                </w:tcPr>
                <w:p>
                  <w:pPr>
                    <w:spacing w:line="320" w:lineRule="exact"/>
                    <w:jc w:val="center"/>
                    <w:rPr>
                      <w:rFonts w:cs="宋体"/>
                      <w:kern w:val="13"/>
                      <w:sz w:val="21"/>
                      <w:szCs w:val="21"/>
                      <w:lang w:bidi="ar"/>
                    </w:rPr>
                  </w:pPr>
                  <w:r>
                    <w:rPr>
                      <w:rFonts w:cs="宋体"/>
                      <w:kern w:val="13"/>
                      <w:sz w:val="21"/>
                      <w:szCs w:val="21"/>
                      <w:lang w:bidi="ar"/>
                    </w:rPr>
                    <w:t>276.9</w:t>
                  </w:r>
                </w:p>
              </w:tc>
              <w:tc>
                <w:tcPr>
                  <w:tcW w:w="1176" w:type="dxa"/>
                  <w:vAlign w:val="center"/>
                </w:tcPr>
                <w:p>
                  <w:pPr>
                    <w:spacing w:line="320" w:lineRule="exact"/>
                    <w:jc w:val="center"/>
                    <w:rPr>
                      <w:rFonts w:cs="宋体"/>
                      <w:kern w:val="13"/>
                      <w:sz w:val="21"/>
                      <w:szCs w:val="21"/>
                      <w:lang w:bidi="ar"/>
                    </w:rPr>
                  </w:pPr>
                  <w:r>
                    <w:rPr>
                      <w:rFonts w:cs="宋体"/>
                      <w:kern w:val="13"/>
                      <w:sz w:val="21"/>
                      <w:szCs w:val="21"/>
                      <w:lang w:bidi="ar"/>
                    </w:rPr>
                    <w:t>0.34</w:t>
                  </w:r>
                </w:p>
              </w:tc>
              <w:tc>
                <w:tcPr>
                  <w:tcW w:w="1177" w:type="dxa"/>
                  <w:vAlign w:val="center"/>
                </w:tcPr>
                <w:p>
                  <w:pPr>
                    <w:spacing w:line="320" w:lineRule="exact"/>
                    <w:jc w:val="center"/>
                    <w:rPr>
                      <w:rFonts w:cs="宋体"/>
                      <w:kern w:val="13"/>
                      <w:sz w:val="21"/>
                      <w:szCs w:val="21"/>
                      <w:lang w:bidi="ar"/>
                    </w:rPr>
                  </w:pPr>
                  <w:r>
                    <w:rPr>
                      <w:rFonts w:cs="宋体"/>
                      <w:kern w:val="13"/>
                      <w:sz w:val="21"/>
                      <w:szCs w:val="21"/>
                      <w:lang w:bidi="ar"/>
                    </w:rPr>
                    <w:t>0.96</w:t>
                  </w:r>
                </w:p>
              </w:tc>
            </w:tr>
          </w:tbl>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在渔获物中，监利江段和界碑江段由于四大家鱼保护区区域，因此合并调查，两个江段鲢、鳙、草鱼渔获量居于前3位，渔获量占比分别为16.42%、12.23%和10.38%。城陵矶江段内有铜鱼和短颌鲚保护区，鲤、大口鲇、铜鱼居渔获物重量的前3位，鲤占渔获物重量的19.15%，大口鲇占渔获物重量的9.11%，铜鱼占渔获物重量的7.04%；其次为鲢（6.37%）、鲫（4.93%）、鳊（4.84%）、草鱼（4.65%）；该江段另一主要保护对象短颌鲚占渔获物重量的0.88%，但数量占比高达8.07%。</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对主要捕捞对象的生物学测定与分析表明，调查江段中主要经济鱼类体长、体重有一定的分布梯度，中小型鱼类如麦穗鱼、蛇鮈、短颌鲚、铜鱼、鲫、赤眼鳟、黄颡鱼类、䱗类、鳊等在渔获物中数量所占比例较大，年龄构成以1～2龄鱼为主；大型鱼类鲤、大口鲇、四大家鱼、翘嘴鲌等在渔获物中重量所比例较大，年龄以2～4龄鱼为主。调查结果显示，鱼类资源小型化、低龄化趋势明显。由于价值低，渔民极少专门捕捞的蛇鮈、䱗类、飘鱼等在该江段成为一些专业渔民的主要渔获物，表明了调查江段渔业资源状况呈恶化趋势。</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与上世纪90年代《长江水系渔业资源》（1990）调查结果比较，调查江段除渔产量大幅下降外，鱼类资源组成变动还表现出以下趋势特点：①江湖半洄游性鱼类在渔获物中的比重下降。在总产量下降的同时，长江水系系渔获物中青、草、鲢、鳙等半洄游性鱼类的比重下降最为显著。②定居性鱼类在渔获物组成的比重相对稳定。主要经济鱼类中定居性鱼类的种类较多，在总渔获量下降的情况下，鲤鲫等定居性鱼类在渔获物组成中的比重相对稳定。</w:t>
            </w:r>
            <w:r>
              <w:rPr>
                <w:rFonts w:hAnsi="宋体"/>
              </w:rPr>
              <w:fldChar w:fldCharType="begin"/>
            </w:r>
            <w:r>
              <w:rPr>
                <w:rStyle w:val="253"/>
                <w:rFonts w:hint="default" w:ascii="Times New Roman" w:hAnsi="宋体" w:eastAsia="宋体"/>
              </w:rPr>
              <w:instrText xml:space="preserve"> = 3 \* GB3 </w:instrText>
            </w:r>
            <w:r>
              <w:rPr>
                <w:rFonts w:hAnsi="宋体"/>
              </w:rPr>
              <w:fldChar w:fldCharType="separate"/>
            </w:r>
            <w:r>
              <w:rPr>
                <w:rStyle w:val="253"/>
                <w:rFonts w:hint="default" w:ascii="Times New Roman" w:hAnsi="宋体" w:eastAsia="宋体"/>
              </w:rPr>
              <w:t>③</w:t>
            </w:r>
            <w:r>
              <w:rPr>
                <w:rFonts w:hAnsi="宋体"/>
              </w:rPr>
              <w:fldChar w:fldCharType="end"/>
            </w:r>
            <w:r>
              <w:rPr>
                <w:rStyle w:val="253"/>
                <w:rFonts w:hint="default" w:ascii="Times New Roman" w:hAnsi="宋体" w:eastAsia="宋体"/>
              </w:rPr>
              <w:t>小型鱼类在渔获物组成中相对上升。小型鱼类的种类较多，小型鱼类在渔获物组成中相对上升。</w:t>
            </w:r>
            <w:r>
              <w:rPr>
                <w:rFonts w:hAnsi="宋体"/>
              </w:rPr>
              <w:fldChar w:fldCharType="begin"/>
            </w:r>
            <w:r>
              <w:rPr>
                <w:rStyle w:val="253"/>
                <w:rFonts w:hint="default" w:ascii="Times New Roman" w:hAnsi="宋体" w:eastAsia="宋体"/>
              </w:rPr>
              <w:instrText xml:space="preserve"> = 4 \* GB3 </w:instrText>
            </w:r>
            <w:r>
              <w:rPr>
                <w:rFonts w:hAnsi="宋体"/>
              </w:rPr>
              <w:fldChar w:fldCharType="separate"/>
            </w:r>
            <w:r>
              <w:rPr>
                <w:rStyle w:val="253"/>
                <w:rFonts w:hint="default" w:ascii="Times New Roman" w:hAnsi="宋体" w:eastAsia="宋体"/>
              </w:rPr>
              <w:t>④</w:t>
            </w:r>
            <w:r>
              <w:rPr>
                <w:rFonts w:hAnsi="宋体"/>
              </w:rPr>
              <w:fldChar w:fldCharType="end"/>
            </w:r>
            <w:r>
              <w:rPr>
                <w:rStyle w:val="253"/>
                <w:rFonts w:hint="default" w:ascii="Times New Roman" w:hAnsi="宋体" w:eastAsia="宋体"/>
              </w:rPr>
              <w:t>铜鱼、长吻鮠等在渔获组成中呈下降趋势。⑤肉食性的鳡、鲌类等在渔获物组成中比重相对下降。⑥鯮、鳤等少数种类资源衰退严重，在渔获物中已十分罕见。</w:t>
            </w:r>
            <w:r>
              <w:rPr>
                <w:rFonts w:hAnsi="宋体"/>
              </w:rPr>
              <w:fldChar w:fldCharType="begin"/>
            </w:r>
            <w:r>
              <w:rPr>
                <w:rStyle w:val="253"/>
                <w:rFonts w:hint="default" w:ascii="Times New Roman" w:hAnsi="宋体" w:eastAsia="宋体"/>
              </w:rPr>
              <w:instrText xml:space="preserve"> = 7 \* GB3 \* MERGEFORMAT </w:instrText>
            </w:r>
            <w:r>
              <w:rPr>
                <w:rFonts w:hAnsi="宋体"/>
              </w:rPr>
              <w:fldChar w:fldCharType="separate"/>
            </w:r>
            <w:r>
              <w:rPr>
                <w:rStyle w:val="253"/>
                <w:rFonts w:hint="default" w:ascii="Times New Roman" w:hAnsi="宋体" w:eastAsia="宋体"/>
              </w:rPr>
              <w:t>⑦</w:t>
            </w:r>
            <w:r>
              <w:rPr>
                <w:rFonts w:hAnsi="宋体"/>
              </w:rPr>
              <w:fldChar w:fldCharType="end"/>
            </w:r>
            <w:r>
              <w:rPr>
                <w:rStyle w:val="253"/>
                <w:rFonts w:hint="default" w:ascii="Times New Roman" w:hAnsi="宋体" w:eastAsia="宋体"/>
              </w:rPr>
              <w:t>江豚、白鱀豚近年来在渔获物几乎没有。</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根据本次对渔民走访调查，近40年来，由于葛洲坝及三峡水利枢纽相继建成并投入运行，虽然每年都实施禁渔期制度及人工放流，但由于水利工程阻隔，非法渔具渔法使用，长江运输船只逐年增多，水体污染加剧，调查江段的鱼类资源变动在上述趋势基础上继续恶化。</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以种类论，白鲟在调查江段仅剩分布记录；中华鲟虽偶有撞网，均为小型的人工放流个体；调查江段渔民由于数十年未见鯮，大都认为鯮在调查江段已绝迹；鳤近年来极少在渔获物中出现，已较罕见；本次调查仅见到少数体长10～20cm的长吻鮠幼鱼，其资源状况堪忧。鱼类以外的珍稀水生动物白鱀豚以多年未见踪迹，江豚种群逐年萎缩、出现频率逐年减少。</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2）渔业捕捞产量及变化</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近年来，调查江段的渔业捕捞产量下降较为严重，2009年的捕捞产量仅为1998年捕捞产量的29.40%。2001年以后下降速度有所趋缓，并于2010年后开始缓慢的恢复性增长，这主要与连续多年实施禁渔期及大规模水生生物增殖放流措施有关。调查江段渔业捕捞产量见图</w:t>
            </w:r>
            <w:r>
              <w:rPr>
                <w:rStyle w:val="253"/>
                <w:rFonts w:hint="eastAsia" w:hAnsi="宋体"/>
                <w:lang w:val="en-US" w:eastAsia="zh-CN"/>
              </w:rPr>
              <w:t>3</w:t>
            </w:r>
            <w:r>
              <w:rPr>
                <w:rStyle w:val="253"/>
                <w:rFonts w:hint="default" w:ascii="Times New Roman" w:hAnsi="宋体" w:eastAsia="宋体"/>
              </w:rPr>
              <w:t>-6，铜鱼和短颌鲚历年捕捞产量变动情况见表</w:t>
            </w:r>
            <w:r>
              <w:rPr>
                <w:rStyle w:val="253"/>
                <w:rFonts w:hint="eastAsia" w:hAnsi="宋体"/>
                <w:lang w:val="en-US" w:eastAsia="zh-CN"/>
              </w:rPr>
              <w:t>3</w:t>
            </w:r>
            <w:r>
              <w:rPr>
                <w:rStyle w:val="253"/>
                <w:rFonts w:hint="default" w:ascii="Times New Roman" w:hAnsi="宋体" w:eastAsia="宋体"/>
              </w:rPr>
              <w:t>-1</w:t>
            </w:r>
            <w:r>
              <w:rPr>
                <w:rStyle w:val="253"/>
                <w:rFonts w:hint="eastAsia" w:hAnsi="宋体"/>
                <w:lang w:val="en-US" w:eastAsia="zh-CN"/>
              </w:rPr>
              <w:t>8</w:t>
            </w:r>
            <w:r>
              <w:rPr>
                <w:rStyle w:val="253"/>
                <w:rFonts w:hint="default" w:ascii="Times New Roman" w:hAnsi="宋体" w:eastAsia="宋体"/>
              </w:rPr>
              <w:t>。</w:t>
            </w:r>
          </w:p>
          <w:p>
            <w:pPr>
              <w:jc w:val="center"/>
            </w:pPr>
            <w:r>
              <w:drawing>
                <wp:inline distT="0" distB="0" distL="114300" distR="114300">
                  <wp:extent cx="4828540" cy="2011680"/>
                  <wp:effectExtent l="0" t="0" r="10160" b="7620"/>
                  <wp:docPr id="8" name="图片 24" descr="6884BF0FBDD64EC9A64CD43891C6822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4" descr="6884BF0FBDD64EC9A64CD43891C6822A"/>
                          <pic:cNvPicPr>
                            <a:picLocks noChangeAspect="1"/>
                          </pic:cNvPicPr>
                        </pic:nvPicPr>
                        <pic:blipFill>
                          <a:blip r:embed="rId11"/>
                          <a:stretch>
                            <a:fillRect/>
                          </a:stretch>
                        </pic:blipFill>
                        <pic:spPr>
                          <a:xfrm>
                            <a:off x="0" y="0"/>
                            <a:ext cx="4828540" cy="2011680"/>
                          </a:xfrm>
                          <a:prstGeom prst="rect">
                            <a:avLst/>
                          </a:prstGeom>
                          <a:noFill/>
                          <a:ln>
                            <a:noFill/>
                          </a:ln>
                        </pic:spPr>
                      </pic:pic>
                    </a:graphicData>
                  </a:graphic>
                </wp:inline>
              </w:drawing>
            </w:r>
          </w:p>
          <w:p>
            <w:pPr>
              <w:spacing w:line="480" w:lineRule="exact"/>
              <w:ind w:firstLine="316" w:firstLineChars="150"/>
              <w:jc w:val="center"/>
              <w:rPr>
                <w:rStyle w:val="253"/>
                <w:rFonts w:hint="default" w:ascii="Times New Roman" w:hAnsi="宋体" w:eastAsia="宋体"/>
                <w:b/>
                <w:sz w:val="21"/>
                <w:szCs w:val="21"/>
              </w:rPr>
            </w:pPr>
            <w:r>
              <w:rPr>
                <w:rStyle w:val="253"/>
                <w:rFonts w:hint="default" w:ascii="Times New Roman" w:hAnsi="宋体" w:eastAsia="宋体"/>
                <w:b/>
                <w:sz w:val="21"/>
                <w:szCs w:val="21"/>
              </w:rPr>
              <w:t>图3-</w:t>
            </w:r>
            <w:r>
              <w:rPr>
                <w:rStyle w:val="253"/>
                <w:rFonts w:hint="eastAsia" w:hAnsi="宋体"/>
                <w:b/>
                <w:sz w:val="21"/>
                <w:szCs w:val="21"/>
                <w:lang w:val="en-US" w:eastAsia="zh-CN"/>
              </w:rPr>
              <w:t>5</w:t>
            </w:r>
            <w:r>
              <w:rPr>
                <w:rStyle w:val="253"/>
                <w:rFonts w:hint="default" w:ascii="Times New Roman" w:hAnsi="宋体" w:eastAsia="宋体"/>
                <w:b/>
                <w:sz w:val="21"/>
                <w:szCs w:val="21"/>
              </w:rPr>
              <w:t xml:space="preserve">   调查江段历年渔业捕捞产量变动情况</w:t>
            </w:r>
          </w:p>
          <w:p>
            <w:pPr>
              <w:spacing w:line="480" w:lineRule="exact"/>
              <w:ind w:firstLine="316" w:firstLineChars="150"/>
              <w:jc w:val="center"/>
              <w:rPr>
                <w:rStyle w:val="253"/>
                <w:rFonts w:hint="default" w:ascii="Times New Roman" w:hAnsi="宋体" w:eastAsia="宋体"/>
                <w:b/>
                <w:sz w:val="21"/>
                <w:szCs w:val="21"/>
              </w:rPr>
            </w:pPr>
            <w:r>
              <w:rPr>
                <w:rStyle w:val="253"/>
                <w:rFonts w:hint="default" w:ascii="Times New Roman" w:hAnsi="宋体" w:eastAsia="宋体"/>
                <w:b/>
                <w:sz w:val="21"/>
                <w:szCs w:val="21"/>
              </w:rPr>
              <w:t>表3-</w:t>
            </w:r>
            <w:r>
              <w:rPr>
                <w:rStyle w:val="253"/>
                <w:rFonts w:hint="eastAsia" w:hAnsi="宋体"/>
                <w:b/>
                <w:sz w:val="21"/>
                <w:szCs w:val="21"/>
                <w:lang w:val="en-US" w:eastAsia="zh-CN"/>
              </w:rPr>
              <w:t>18</w:t>
            </w:r>
            <w:r>
              <w:rPr>
                <w:rStyle w:val="253"/>
                <w:rFonts w:hint="default" w:ascii="Times New Roman" w:hAnsi="宋体" w:eastAsia="宋体"/>
                <w:b/>
                <w:sz w:val="21"/>
                <w:szCs w:val="21"/>
              </w:rPr>
              <w:t xml:space="preserve">  铜鱼和短颌鲚历年捕捞产量变动情况</w:t>
            </w:r>
          </w:p>
          <w:tbl>
            <w:tblPr>
              <w:tblStyle w:val="44"/>
              <w:tblW w:w="0" w:type="auto"/>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547"/>
              <w:gridCol w:w="1547"/>
              <w:gridCol w:w="1547"/>
              <w:gridCol w:w="1547"/>
              <w:gridCol w:w="1549"/>
              <w:gridCol w:w="154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547" w:type="dxa"/>
                  <w:vMerge w:val="restart"/>
                  <w:vAlign w:val="center"/>
                </w:tcPr>
                <w:p>
                  <w:pPr>
                    <w:spacing w:line="320" w:lineRule="exact"/>
                    <w:jc w:val="center"/>
                    <w:rPr>
                      <w:rFonts w:cs="宋体"/>
                      <w:kern w:val="13"/>
                      <w:sz w:val="21"/>
                      <w:szCs w:val="21"/>
                      <w:lang w:bidi="ar"/>
                    </w:rPr>
                  </w:pPr>
                  <w:r>
                    <w:rPr>
                      <w:rFonts w:cs="宋体"/>
                      <w:kern w:val="13"/>
                      <w:sz w:val="21"/>
                      <w:szCs w:val="21"/>
                      <w:lang w:bidi="ar"/>
                    </w:rPr>
                    <w:t>年份</w:t>
                  </w:r>
                </w:p>
              </w:tc>
              <w:tc>
                <w:tcPr>
                  <w:tcW w:w="1547" w:type="dxa"/>
                  <w:vMerge w:val="restart"/>
                  <w:vAlign w:val="center"/>
                </w:tcPr>
                <w:p>
                  <w:pPr>
                    <w:spacing w:line="320" w:lineRule="exact"/>
                    <w:jc w:val="center"/>
                    <w:rPr>
                      <w:rFonts w:cs="宋体"/>
                      <w:kern w:val="13"/>
                      <w:sz w:val="21"/>
                      <w:szCs w:val="21"/>
                      <w:lang w:bidi="ar"/>
                    </w:rPr>
                  </w:pPr>
                  <w:r>
                    <w:rPr>
                      <w:rFonts w:cs="宋体"/>
                      <w:kern w:val="13"/>
                      <w:sz w:val="21"/>
                      <w:szCs w:val="21"/>
                      <w:lang w:bidi="ar"/>
                    </w:rPr>
                    <w:t>总产量（t）</w:t>
                  </w:r>
                </w:p>
              </w:tc>
              <w:tc>
                <w:tcPr>
                  <w:tcW w:w="3094" w:type="dxa"/>
                  <w:gridSpan w:val="2"/>
                  <w:vAlign w:val="center"/>
                </w:tcPr>
                <w:p>
                  <w:pPr>
                    <w:spacing w:line="320" w:lineRule="exact"/>
                    <w:jc w:val="center"/>
                    <w:rPr>
                      <w:rFonts w:cs="宋体"/>
                      <w:kern w:val="13"/>
                      <w:sz w:val="21"/>
                      <w:szCs w:val="21"/>
                      <w:lang w:bidi="ar"/>
                    </w:rPr>
                  </w:pPr>
                  <w:r>
                    <w:rPr>
                      <w:rFonts w:cs="宋体"/>
                      <w:kern w:val="13"/>
                      <w:sz w:val="21"/>
                      <w:szCs w:val="21"/>
                      <w:lang w:bidi="ar"/>
                    </w:rPr>
                    <w:t>铜鱼</w:t>
                  </w:r>
                </w:p>
              </w:tc>
              <w:tc>
                <w:tcPr>
                  <w:tcW w:w="3098" w:type="dxa"/>
                  <w:gridSpan w:val="2"/>
                  <w:vAlign w:val="center"/>
                </w:tcPr>
                <w:p>
                  <w:pPr>
                    <w:spacing w:line="320" w:lineRule="exact"/>
                    <w:jc w:val="center"/>
                    <w:rPr>
                      <w:rFonts w:cs="宋体"/>
                      <w:kern w:val="13"/>
                      <w:sz w:val="21"/>
                      <w:szCs w:val="21"/>
                      <w:lang w:bidi="ar"/>
                    </w:rPr>
                  </w:pPr>
                  <w:r>
                    <w:rPr>
                      <w:rFonts w:cs="宋体"/>
                      <w:kern w:val="13"/>
                      <w:sz w:val="21"/>
                      <w:szCs w:val="21"/>
                      <w:lang w:bidi="ar"/>
                    </w:rPr>
                    <w:t>短颌鲚</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547" w:type="dxa"/>
                  <w:vMerge w:val="continue"/>
                  <w:vAlign w:val="center"/>
                </w:tcPr>
                <w:p>
                  <w:pPr>
                    <w:spacing w:line="320" w:lineRule="exact"/>
                    <w:jc w:val="center"/>
                    <w:rPr>
                      <w:rFonts w:cs="宋体"/>
                      <w:kern w:val="13"/>
                      <w:sz w:val="21"/>
                      <w:szCs w:val="21"/>
                      <w:lang w:bidi="ar"/>
                    </w:rPr>
                  </w:pPr>
                </w:p>
              </w:tc>
              <w:tc>
                <w:tcPr>
                  <w:tcW w:w="1547" w:type="dxa"/>
                  <w:vMerge w:val="continue"/>
                  <w:vAlign w:val="center"/>
                </w:tcPr>
                <w:p>
                  <w:pPr>
                    <w:spacing w:line="320" w:lineRule="exact"/>
                    <w:jc w:val="center"/>
                    <w:rPr>
                      <w:rFonts w:cs="宋体"/>
                      <w:kern w:val="13"/>
                      <w:sz w:val="21"/>
                      <w:szCs w:val="21"/>
                      <w:lang w:bidi="ar"/>
                    </w:rPr>
                  </w:pP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产量（t）</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比例（%）</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产量（t）</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比例（%）</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2002</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252</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57.61</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22.86</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1.51</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0.60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2003</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224</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86.33</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38.54</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1.95</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0.87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2009</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151</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26.59</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17.61</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0.69</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0.46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2010</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155</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11.02</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7.11</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0.26</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0.17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2011</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158</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7.22</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4.57</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3.07</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1.94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2012</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180</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13.57</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7.54</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2.39</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1.33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2013</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195</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15.38</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7.97</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3.43</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1.76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2014</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199</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14.94</w:t>
                  </w:r>
                </w:p>
              </w:tc>
              <w:tc>
                <w:tcPr>
                  <w:tcW w:w="1547" w:type="dxa"/>
                  <w:vAlign w:val="center"/>
                </w:tcPr>
                <w:p>
                  <w:pPr>
                    <w:spacing w:line="320" w:lineRule="exact"/>
                    <w:jc w:val="center"/>
                    <w:rPr>
                      <w:rFonts w:cs="宋体"/>
                      <w:kern w:val="13"/>
                      <w:sz w:val="21"/>
                      <w:szCs w:val="21"/>
                      <w:lang w:bidi="ar"/>
                    </w:rPr>
                  </w:pPr>
                  <w:r>
                    <w:rPr>
                      <w:rFonts w:cs="宋体"/>
                      <w:kern w:val="13"/>
                      <w:sz w:val="21"/>
                      <w:szCs w:val="21"/>
                      <w:lang w:bidi="ar"/>
                    </w:rPr>
                    <w:t>7.51</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3.62</w:t>
                  </w:r>
                </w:p>
              </w:tc>
              <w:tc>
                <w:tcPr>
                  <w:tcW w:w="1549" w:type="dxa"/>
                  <w:vAlign w:val="center"/>
                </w:tcPr>
                <w:p>
                  <w:pPr>
                    <w:spacing w:line="320" w:lineRule="exact"/>
                    <w:jc w:val="center"/>
                    <w:rPr>
                      <w:rFonts w:cs="宋体"/>
                      <w:kern w:val="13"/>
                      <w:sz w:val="21"/>
                      <w:szCs w:val="21"/>
                      <w:lang w:bidi="ar"/>
                    </w:rPr>
                  </w:pPr>
                  <w:r>
                    <w:rPr>
                      <w:rFonts w:cs="宋体"/>
                      <w:kern w:val="13"/>
                      <w:sz w:val="21"/>
                      <w:szCs w:val="21"/>
                      <w:lang w:bidi="ar"/>
                    </w:rPr>
                    <w:t>1.82</w:t>
                  </w:r>
                </w:p>
              </w:tc>
            </w:tr>
          </w:tbl>
          <w:p>
            <w:pPr>
              <w:ind w:firstLine="120" w:firstLineChars="50"/>
              <w:rPr>
                <w:rStyle w:val="253"/>
                <w:rFonts w:hint="default" w:ascii="Times New Roman" w:hAnsi="宋体" w:eastAsia="宋体"/>
              </w:rPr>
            </w:pPr>
            <w:r>
              <w:rPr>
                <w:rStyle w:val="253"/>
                <w:rFonts w:hint="default" w:ascii="Times New Roman" w:hAnsi="宋体" w:eastAsia="宋体"/>
              </w:rPr>
              <w:t>3）江段涉及四大家鱼保护区资源量及变化</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近年来监测结果表明，长江中游渔获物种类组成与规格均发生了较大变化。洄游和半洄游性鱼类种类进一步减少，定居性鱼类比例上升，高龄鱼减少，低龄鱼及幼鱼比重增加，四大家鱼资源量明显下降。据长江水产研究所多年监测结果，长江干流葛洲坝下渔业资源迅速下降，从1996年的2.3万吨在不到20年的短时间内骤降到2008年的1317吨。在上世纪50～60年代，“四大家鱼”是长江中游的主要渔获物，渔获比例在20～30%，近年的数据表明，“四大家鱼”在渔获中的比例迅速下降，目前只占渔获物的6％左右，下降非常明显。主要渔获对象由“四大家鱼”、铜鱼为主的江湖半洄游性鱼类转变为以鲤、鲇等为主的定居性鱼类。上世纪70年代宜昌江段渔获物中四大家鱼尾数比为6%，重量比为34%，90年代宜昌江段渔获物中四大家鱼尾数比降为3%，重量比则降为10%。本项目调查保护区江段渔获物中四大家鱼尾数比降到不足1%，在渔获物中出现频率明显下降。</w:t>
            </w:r>
          </w:p>
          <w:p>
            <w:pPr>
              <w:spacing w:line="480" w:lineRule="exact"/>
              <w:ind w:firstLine="361" w:firstLineChars="150"/>
              <w:rPr>
                <w:rStyle w:val="253"/>
                <w:rFonts w:hint="default" w:ascii="Times New Roman" w:hAnsi="宋体" w:eastAsia="宋体"/>
                <w:b/>
              </w:rPr>
            </w:pPr>
            <w:r>
              <w:rPr>
                <w:rStyle w:val="253"/>
                <w:rFonts w:hint="default" w:ascii="Times New Roman" w:hAnsi="宋体" w:eastAsia="宋体"/>
                <w:b/>
              </w:rPr>
              <w:t>6.</w:t>
            </w:r>
            <w:r>
              <w:rPr>
                <w:rStyle w:val="253"/>
                <w:rFonts w:hint="eastAsia" w:hAnsi="宋体"/>
                <w:b/>
                <w:lang w:val="en-US" w:eastAsia="zh-CN"/>
              </w:rPr>
              <w:t>1.4.2</w:t>
            </w:r>
            <w:r>
              <w:rPr>
                <w:rStyle w:val="253"/>
                <w:rFonts w:hint="default" w:ascii="Times New Roman" w:hAnsi="宋体" w:eastAsia="宋体"/>
                <w:b/>
              </w:rPr>
              <w:t>珍稀、特有和濒危水生生物现状与评价</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在保护区江段分布或曾记录分布的保护鱼类有20种之多。其中国家级3种，分别为国家I级保护水生野生动物中华鲟、白鲟，国家II级保护水生野生动物胭脂鱼；列入湖南省级保护鱼类有17种，分别为长颌鲚、鲥鱼、太湖新银鱼、长薄鳅、鯮、鳤、瓣结鱼、中华倒刺鲃、白甲鱼、洞庭小鰾鮈、岩原鲤、胡子鲇、长吻鮠、波纹鳜、长身鳜、叉尾斗鱼、月鱧。</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在保护区鱼类种类中列入红皮书及红色名录共有12种。红皮书种类8种，其中濒危种（EN）2种为白鲟、鲥鱼，易危种（VU）6种为中华鲟、胭脂鱼、长薄鳅、鯮、岩原鲤、长身鳜。红色名录种类12种，其中极危种（CR）1种为白鲟，濒危种（EN）3种为中华鲟、鲥鱼、白缘䱀，易危种（VU）8种为胭脂鱼、长薄鳅、鯮、岩原鲤、长须黄颡鱼、青鳉、波纹鳜、长身鳜。</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此外，在该江段分布或曾分布的兽纲鲸目的白鱀豚为国家Ⅰ级保护水生野生动物，江豚为国家Ⅱ级保护水生野生动物。白鱀豚为红皮书濒危种（EN），红色名录极危种（CR）。江豚在红皮书及红色名录中均被列为濒危种（EN）。</w:t>
            </w:r>
          </w:p>
          <w:p>
            <w:pPr>
              <w:spacing w:line="480" w:lineRule="exact"/>
              <w:ind w:firstLine="361" w:firstLineChars="150"/>
              <w:rPr>
                <w:rStyle w:val="253"/>
                <w:rFonts w:hint="default" w:ascii="Times New Roman" w:hAnsi="宋体" w:eastAsia="宋体"/>
                <w:b/>
              </w:rPr>
            </w:pPr>
            <w:r>
              <w:rPr>
                <w:rStyle w:val="253"/>
                <w:rFonts w:hint="default" w:ascii="Times New Roman" w:hAnsi="宋体" w:eastAsia="宋体"/>
                <w:b/>
              </w:rPr>
              <w:t>6.</w:t>
            </w:r>
            <w:r>
              <w:rPr>
                <w:rStyle w:val="253"/>
                <w:rFonts w:hint="eastAsia" w:hAnsi="宋体"/>
                <w:b/>
                <w:lang w:val="en-US" w:eastAsia="zh-CN"/>
              </w:rPr>
              <w:t>1.4.3</w:t>
            </w:r>
            <w:r>
              <w:rPr>
                <w:rStyle w:val="253"/>
                <w:rFonts w:hint="default" w:ascii="Times New Roman" w:hAnsi="宋体" w:eastAsia="宋体"/>
                <w:b/>
              </w:rPr>
              <w:t xml:space="preserve"> 水生生物生态功能区调查与评价</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（1）生态功能区环境条件</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长江湖南江段上起华容县五马口，下迄临湘县铁山咀，五马口至城陵矶江段属于下荆江，属蜿蜒型河道，长约88km，平均宽度约900m，河道平面摆动较大，近200多年来河段摆幅达30km，弯曲系数为2.83。沿江南岸平原广阔，河湖交织，人工渠系纵横，散布丘陵和孤丘。两岸湖泊众多，南岸丘陵阶地的河谷间发育有现代高河漫滩和低河漫滩。城陵矶至铁山咀则长顺直段，长约54km，平均宽度约1200m，城陵矶处有洞庭湖水系入汇。</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（2）主要经济鱼类产卵场、索饵/育幼场、越冬场分布</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1）产卵场</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长江湖南江段主要经济鱼类有四大家鱼、铜鱼、短颌鲚等，其重要生境分布分别为：</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①四大家鱼：近几年文献报道和本项目监测结果表明，长江湖南江段有四大家鱼产卵场三个，即白螺镇～螺山江段、三州～荆江门江段、塔市驿～老河下口段江段，结合调查江段现状生态水文情势分析和渔民走访调查判断，四大家鱼产卵场未发生大的变化，只是产卵规模有所减小或位置稍有上移，鱼苗资源已明显衰退。</w:t>
            </w:r>
          </w:p>
          <w:p>
            <w:r>
              <w:drawing>
                <wp:inline distT="0" distB="0" distL="114300" distR="114300">
                  <wp:extent cx="5571490" cy="3371215"/>
                  <wp:effectExtent l="0" t="0" r="10160" b="635"/>
                  <wp:docPr id="7" name="图片 25" descr="}B1XL~BU]WU7(I[)L0DK~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5" descr="}B1XL~BU]WU7(I[)L0DK~SS"/>
                          <pic:cNvPicPr>
                            <a:picLocks noChangeAspect="1"/>
                          </pic:cNvPicPr>
                        </pic:nvPicPr>
                        <pic:blipFill>
                          <a:blip r:embed="rId12"/>
                          <a:stretch>
                            <a:fillRect/>
                          </a:stretch>
                        </pic:blipFill>
                        <pic:spPr>
                          <a:xfrm>
                            <a:off x="0" y="0"/>
                            <a:ext cx="5571490" cy="3371215"/>
                          </a:xfrm>
                          <a:prstGeom prst="rect">
                            <a:avLst/>
                          </a:prstGeom>
                          <a:noFill/>
                          <a:ln>
                            <a:noFill/>
                          </a:ln>
                        </pic:spPr>
                      </pic:pic>
                    </a:graphicData>
                  </a:graphic>
                </wp:inline>
              </w:drawing>
            </w:r>
          </w:p>
          <w:p>
            <w:pPr>
              <w:spacing w:line="480" w:lineRule="exact"/>
              <w:ind w:firstLine="316" w:firstLineChars="150"/>
              <w:jc w:val="center"/>
              <w:rPr>
                <w:rStyle w:val="253"/>
                <w:rFonts w:hint="default" w:ascii="Times New Roman" w:hAnsi="宋体" w:eastAsia="宋体"/>
                <w:b/>
                <w:sz w:val="21"/>
                <w:szCs w:val="21"/>
              </w:rPr>
            </w:pPr>
            <w:r>
              <w:rPr>
                <w:rStyle w:val="253"/>
                <w:rFonts w:hint="default" w:ascii="Times New Roman" w:hAnsi="宋体" w:eastAsia="宋体"/>
                <w:b/>
                <w:sz w:val="21"/>
                <w:szCs w:val="21"/>
              </w:rPr>
              <w:t>图3-</w:t>
            </w:r>
            <w:r>
              <w:rPr>
                <w:rStyle w:val="253"/>
                <w:rFonts w:hint="eastAsia" w:hAnsi="宋体"/>
                <w:b/>
                <w:sz w:val="21"/>
                <w:szCs w:val="21"/>
                <w:lang w:val="en-US" w:eastAsia="zh-CN"/>
              </w:rPr>
              <w:t>6</w:t>
            </w:r>
            <w:r>
              <w:rPr>
                <w:rStyle w:val="253"/>
                <w:rFonts w:hint="default" w:ascii="Times New Roman" w:hAnsi="宋体" w:eastAsia="宋体"/>
                <w:b/>
                <w:sz w:val="21"/>
                <w:szCs w:val="21"/>
              </w:rPr>
              <w:t xml:space="preserve">    四大家鱼产卵场分布示意图</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②铜鱼：调查江段不存在铜鱼产卵场，但由于铜鱼短颌鲚种质资源保护区处在长江和洞庭湖交汇口，该水域是铜鱼鱼苗入湖及出湖入江上溯的重要通道，也是铜鱼幼鱼索饵肥育及越冬的重要场所。</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③短颌鲚：经查阅历史资料和现场走访渔民调查，在洞庭湖三江口、注滋口、擂鼓台一带存在短颌鲚产卵场，以三江口产卵场规模最大，但由于洞庭湖上游水利枢纽工程的建设及洞庭湖的整治，洞庭湖水文情势发生了较大变化，近年产卵场规模萎缩。</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④鲤鲫等：产粘性卵鱼类常在微流水或静水洲滩、岸边有水草、沙石或硬底质等有浅水区产卵，这些水域也是适于幼鱼生存与生长的庇护场所。定居性鱼类对产卵繁殖条件要求不高，产卵场主要分布于长江湖南段南岸水草丰茂河漫洲区及沙石底质的缓流浅水沿岸带。虽然进入产卵场前这类鱼有短距离逆水洄游的习性，但其产卵活动对水位涨落、流速改变没有特别要求。定居性鱼类是保护区水域鱼类主体，其中草粘性卵的鱼类如鲤、鲫、团头鲂等，繁殖季节主要在3～5月，4月为繁殖盛期；粘沉性卵的鱼类如黄颡鱼、鲇等，繁殖季节为4～6月，以5月为繁殖盛期。</w:t>
            </w:r>
          </w:p>
          <w:p>
            <w:r>
              <w:drawing>
                <wp:inline distT="0" distB="0" distL="114300" distR="114300">
                  <wp:extent cx="5304790" cy="3009265"/>
                  <wp:effectExtent l="0" t="0" r="10160" b="635"/>
                  <wp:docPr id="32" name="图片 26" descr="5)(PS4B)8WNRJKT6`26C8X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26" descr="5)(PS4B)8WNRJKT6`26C8XY"/>
                          <pic:cNvPicPr>
                            <a:picLocks noChangeAspect="1"/>
                          </pic:cNvPicPr>
                        </pic:nvPicPr>
                        <pic:blipFill>
                          <a:blip r:embed="rId13"/>
                          <a:stretch>
                            <a:fillRect/>
                          </a:stretch>
                        </pic:blipFill>
                        <pic:spPr>
                          <a:xfrm>
                            <a:off x="0" y="0"/>
                            <a:ext cx="5304790" cy="3009265"/>
                          </a:xfrm>
                          <a:prstGeom prst="rect">
                            <a:avLst/>
                          </a:prstGeom>
                          <a:noFill/>
                          <a:ln>
                            <a:noFill/>
                          </a:ln>
                        </pic:spPr>
                      </pic:pic>
                    </a:graphicData>
                  </a:graphic>
                </wp:inline>
              </w:drawing>
            </w:r>
          </w:p>
          <w:p>
            <w:pPr>
              <w:spacing w:line="480" w:lineRule="exact"/>
              <w:ind w:firstLine="316" w:firstLineChars="150"/>
              <w:jc w:val="center"/>
              <w:rPr>
                <w:rStyle w:val="253"/>
                <w:rFonts w:hint="default" w:ascii="Times New Roman" w:hAnsi="宋体" w:eastAsia="宋体"/>
                <w:b/>
                <w:sz w:val="21"/>
                <w:szCs w:val="21"/>
              </w:rPr>
            </w:pPr>
            <w:r>
              <w:rPr>
                <w:rStyle w:val="253"/>
                <w:rFonts w:hint="default" w:ascii="Times New Roman" w:hAnsi="宋体" w:eastAsia="宋体"/>
                <w:b/>
                <w:sz w:val="21"/>
                <w:szCs w:val="21"/>
              </w:rPr>
              <w:t>图3-</w:t>
            </w:r>
            <w:r>
              <w:rPr>
                <w:rStyle w:val="253"/>
                <w:rFonts w:hint="eastAsia" w:hAnsi="宋体"/>
                <w:b/>
                <w:sz w:val="21"/>
                <w:szCs w:val="21"/>
                <w:lang w:val="en-US" w:eastAsia="zh-CN"/>
              </w:rPr>
              <w:t>7</w:t>
            </w:r>
            <w:r>
              <w:rPr>
                <w:rStyle w:val="253"/>
                <w:rFonts w:hint="default" w:ascii="Times New Roman" w:hAnsi="宋体" w:eastAsia="宋体"/>
                <w:b/>
                <w:sz w:val="21"/>
                <w:szCs w:val="21"/>
              </w:rPr>
              <w:t xml:space="preserve"> 产沉性、粘性鱼类产卵场生境</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此外，鳜鱼、贝氏䱗等鱼类常在清浑交界流水环境产浮性卵，卵具油球，漂浮于水面孵化，其产卵场主要分布于城陵矶三江口区域。</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2）索饵/育幼场</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每年春季，水温逐渐回升，鱼类从深水越冬区进入通江湖泊或到浅水河湾或边滩索饵。鱼类的索饵或育幼场，常取决于其食性。摄食浮游生物的种类，如鲢、鳙、短颌鲚等，多以水清质肥的通江湖泊、河湾作为索饵场；刮食性鱼类多以浅水边滩的礁石或砾石滩作为索饵场；摄食水生维管束植物的草鱼、团头鲂等，摄食螺蚌、水蚯蚓等底栖动物的青鱼、鲤等鱼类，其主要的索饵场是水草丰盛的沿岸洲滩；杂食性鱼类的索饵场常呈零散分布。此外，城镇及村落沿岸带及汇入长江的小支流末端，均为鱼类重要的索饵水域。鱼类幼苗多以浮游生物为食，通江湖泊、故道浮游生物丰富，故鱼类育幼场主要为通江湖泊。湖口沿岸缓流带或干支流的浅水河湾也是鱼类重要的育幼场。</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调查水域中的城陵矶江段，底质多沙石、石块等，底栖生物、着生藻类、有机质等饵料资源丰富，是铜鱼的主要索饵场。调查水域的华容县新沙洲沿岸带，君山区熊家洲、云溪区南洋洲和南洋洲南侧河道的沿岸洲滩，水草丰茂、底栖生物饵料资源丰富，是草食性鱼类（如草鱼）和底栖食性鱼类（如青鱼）的主要索饵场。鳡、乌鳢、鲌类、鲇科、鲿科鱼类等以鱼类为食的索饵场，与其生活习性及被摄食鱼群分布有关，大都在近岸及洲滩附近浅水区。</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近年由于长江上游三峡和葛洲坝清水下泄，透明度增加，水体初级生产力提高，与原河流相比，对浮游生物食性的鲢、鳙、短颌鲚等索饵有利；清水下泄对河床底质的冲刷影响底栖动物和水生维管束植物的生存环境，影响了草鱼和青鱼的饵料资源和索饵场规模。</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3）越冬场</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调查江段水位在20～50m之间，是较为理想的鱼类越冬场。当冬季水位下降，鱼类的越冬场主要分布于河道的深槽中。河道深槽的分布常与河床底质，河流走势相关。该江段深槽常分布于有矶头伸入河床的上游段，或在弯曲型河道的凹岸。</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（3）鱼类洄游通道</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长江是鱼类洄游的重要通道，同时在城陵矶区域的洞庭湖湖口也是鱼类江、湖交流的重要通道。长江中典型的河海洄游性鱼类如中华鲟、长颌鲚、鲥鱼、日本鳗鲡、暗色东方鲀等，需要通过评价江段水域出入洞庭湖或者继续沿长江上溯与降海洄游，如长颌鲚亲鱼于4～7月通过湖口进入洞庭湖繁殖，10月后幼鱼出湖入江回海；典型的江湖洄游鱼类“四大家鱼”亲鱼在秋末退水时通过洞庭湖湖口进入长江干流深水河槽越冬，翌年5～7月洪水发生时在长江干流繁殖，繁殖后返回洞庭湖育肥；四大家鱼幼鱼于每年6～9月进入洞庭湖索饵育肥，高峰期在7～8月。</w:t>
            </w:r>
          </w:p>
          <w:p>
            <w:pPr>
              <w:spacing w:line="480" w:lineRule="exact"/>
              <w:ind w:firstLine="361" w:firstLineChars="150"/>
              <w:rPr>
                <w:rStyle w:val="253"/>
                <w:rFonts w:hint="default" w:ascii="Times New Roman" w:hAnsi="宋体" w:eastAsia="宋体"/>
                <w:b/>
              </w:rPr>
            </w:pPr>
            <w:r>
              <w:rPr>
                <w:rStyle w:val="253"/>
                <w:rFonts w:hint="default" w:ascii="Times New Roman" w:hAnsi="宋体" w:eastAsia="宋体"/>
                <w:b/>
              </w:rPr>
              <w:t>6.</w:t>
            </w:r>
            <w:r>
              <w:rPr>
                <w:rStyle w:val="253"/>
                <w:rFonts w:hint="eastAsia" w:hAnsi="宋体"/>
                <w:b/>
                <w:lang w:val="en-US" w:eastAsia="zh-CN"/>
              </w:rPr>
              <w:t>1.4.4</w:t>
            </w:r>
            <w:r>
              <w:rPr>
                <w:rStyle w:val="253"/>
                <w:rFonts w:hint="default" w:ascii="Times New Roman" w:hAnsi="宋体" w:eastAsia="宋体"/>
                <w:b/>
              </w:rPr>
              <w:t xml:space="preserve"> 鱼类繁殖现状与评价</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（1）鱼类繁殖习性</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根据鱼类的繁殖习性，调查江段的鱼类大致可分为以下4类：</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1）终生生活于淡水，生活在流水环境中或生活史中某一阶段对流水环境依赖程度高，需由湖入江上溯，或由下游上溯到上游适宜场所繁殖。鱼卵比重稍大于水，但卵膜可吸水膨胀，可借助流水随水漂流发育，如青鱼、草鱼、鲢、鳙、鳡、鯮、鳤、铜鱼、圆口铜鱼、胭脂鱼、中华倒刺鲃、唇䱻等。也有的卵呈微粘性，卵产出后，被流水带入砾石间隙发育，如沙鳅类、福建纹胸鮡、多鳞白甲鱼等。</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2）终生生活于淡水水域，生殖活动需一定的水流条件刺激。卵多为粘性，产出后粘附于水草或砾石上发育，如鲴类、鲂类、鲇类、鲌类等。</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3）终生生活于淡水水域，能在静水缓流水条件下繁殖。该类群鱼类因产卵环境、基质不同有种种差异。有的鱼卵粘附于水草发育，如鲤、鲫、岩原鲤、䱗等；有的粘附于砾石、瓦块上，如麦穗鱼、小黄黝鱼、沙塘鳢、鰕鯱鱼；有的鱼产卵于蚌类的鳃瓣内，如鳑鲏、鱊类；有的鱼卵具有粘着丝、卷须或钩状突起，如银鱼、花䱻、青鳉等；有的鱼卵产在由亲鱼所营造的巢穴中，有亲鱼护巢，如乌鳢、黄颡鱼、鮠类、黄鳝、斗鱼等；有的鱼卵因含油球呈浮性，可在水中漂浮发育，如鳜、贝氏䱗等。</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4）极少数河海洄游性种类。有的未成熟的成体在淡水中生活，但在淡水中性腺不能达到完全成熟，亲鱼必需进入海洋生殖，即降河洄游，如鳗鲡；有的种类，在沿海生长、肥育，繁殖时需溯河而上，在洄游中性腺达到成熟，即溯河洄游，如长颌鲚、中华鲟、暗纹东方鲀等。</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（2）取水工程段四大家鱼鱼类繁殖特征及现状</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4）四大家鱼</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四大家鱼”等鱼类产卵除需要具备一定的水温条件外，还需要河流的涨水刺激和特定的水文情势。其产卵场的河道特点为河道多弯曲、复杂，或者有矶头伸入江中处，江心多沙洲。这些特点可导致区域水文情势复杂，流速发生变化，水流紊乱，形成泡漩水面，鱼类的精液和鱼卵可随水流上下翻腾，充分结合授精，是产漂流性卵鱼类最为适宜的繁殖条件。产卵季节，当水文条件适宜时，便能刺激亲鱼在产卵场水域产卵。</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根据易伯鲁等1986年调查，长江荆江段分布有青、草、鲢、鳙“四大家鱼”11个产卵场，产卵量时占全江“四大家鱼”产卵量的44.5%，繁殖期在4月下旬至6月间。上世纪80年代，长江宜昌至武穴江段分布有19个“四大家鱼”产卵场（表4.7-18）。90年代，该江段“四大家鱼”产卵场虽仍然存在，但“四大家鱼”鱼苗呈下降趋势。2003年三峡工程库区蓄水后，水库的调度运行、下泄低温水、清水下泄的冲刷作用等，对坝下河态河势及水文情势等将产生一定的影响，进而影响坝下产卵场位置、规模及产卵时间等，其影响程度对近坝江段较下游大。</w:t>
            </w:r>
          </w:p>
          <w:p>
            <w:pPr>
              <w:spacing w:line="480" w:lineRule="exact"/>
              <w:ind w:firstLine="316" w:firstLineChars="150"/>
              <w:jc w:val="center"/>
              <w:rPr>
                <w:rStyle w:val="253"/>
                <w:rFonts w:hint="default" w:ascii="Times New Roman" w:hAnsi="宋体" w:eastAsia="宋体"/>
                <w:b/>
                <w:sz w:val="21"/>
                <w:szCs w:val="21"/>
              </w:rPr>
            </w:pPr>
            <w:r>
              <w:rPr>
                <w:rStyle w:val="253"/>
                <w:rFonts w:hint="default" w:ascii="Times New Roman" w:hAnsi="宋体" w:eastAsia="宋体"/>
                <w:b/>
                <w:sz w:val="21"/>
                <w:szCs w:val="21"/>
              </w:rPr>
              <w:t>表3-</w:t>
            </w:r>
            <w:r>
              <w:rPr>
                <w:rStyle w:val="253"/>
                <w:rFonts w:hint="eastAsia" w:hAnsi="宋体"/>
                <w:b/>
                <w:sz w:val="21"/>
                <w:szCs w:val="21"/>
                <w:lang w:val="en-US" w:eastAsia="zh-CN"/>
              </w:rPr>
              <w:t>19</w:t>
            </w:r>
            <w:r>
              <w:rPr>
                <w:rStyle w:val="253"/>
                <w:rFonts w:hint="default" w:ascii="Times New Roman" w:hAnsi="宋体" w:eastAsia="宋体"/>
                <w:b/>
                <w:sz w:val="21"/>
                <w:szCs w:val="21"/>
              </w:rPr>
              <w:t xml:space="preserve"> 长江干流宜昌—武穴江段“四大家鱼”产卵场（1980年代）</w:t>
            </w:r>
          </w:p>
          <w:tbl>
            <w:tblPr>
              <w:tblStyle w:val="44"/>
              <w:tblW w:w="0" w:type="auto"/>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34"/>
              <w:gridCol w:w="1154"/>
              <w:gridCol w:w="2325"/>
              <w:gridCol w:w="1923"/>
              <w:gridCol w:w="2727"/>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序号</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产卵场</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范围</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延伸里程（km）</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距上产卵场距离（km）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1</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宜昌</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十里红—烟脂坝</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8</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2</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虎牙滩</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仙人桥—虎牙滩</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3</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3</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宜都</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云池—宜都</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5</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4</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枝江</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洋溪镇—枝江</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29</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40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5</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江口</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江口—皖市</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26</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6</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沙市</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虎波河口—沙市</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12</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12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7</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郝穴</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郝穴—新厂</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16</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54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8</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石首</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藕池口—石首</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10</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17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9</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调关</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碾子湾—根关</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22</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10</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监利</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塔市驿—老河下口</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25</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25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11</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反咀</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盐船套—荆江门</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8</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26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12</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螺山</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白螺矶—螺山</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19</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53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13</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嘉鱼</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陆溪口—嘉鱼</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23</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45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14</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簰洲</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甲东岭—新滩口</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13</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31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15</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大咀</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大咀—纱帽山</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14</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33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16</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白浒山</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阳逻—葛店</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18</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66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17</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团风</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团风—两河口</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8</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28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18</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黄石</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巴河口—道士袱</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31</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33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34" w:type="dxa"/>
                  <w:vAlign w:val="center"/>
                </w:tcPr>
                <w:p>
                  <w:pPr>
                    <w:spacing w:line="320" w:lineRule="exact"/>
                    <w:jc w:val="center"/>
                    <w:rPr>
                      <w:rFonts w:cs="宋体"/>
                      <w:kern w:val="13"/>
                      <w:sz w:val="21"/>
                      <w:szCs w:val="21"/>
                      <w:lang w:bidi="ar"/>
                    </w:rPr>
                  </w:pPr>
                  <w:r>
                    <w:rPr>
                      <w:rFonts w:cs="宋体"/>
                      <w:kern w:val="13"/>
                      <w:sz w:val="21"/>
                      <w:szCs w:val="21"/>
                      <w:lang w:bidi="ar"/>
                    </w:rPr>
                    <w:t>19</w:t>
                  </w:r>
                </w:p>
              </w:tc>
              <w:tc>
                <w:tcPr>
                  <w:tcW w:w="1154" w:type="dxa"/>
                  <w:vAlign w:val="center"/>
                </w:tcPr>
                <w:p>
                  <w:pPr>
                    <w:spacing w:line="320" w:lineRule="exact"/>
                    <w:jc w:val="center"/>
                    <w:rPr>
                      <w:rFonts w:cs="宋体"/>
                      <w:kern w:val="13"/>
                      <w:sz w:val="21"/>
                      <w:szCs w:val="21"/>
                      <w:lang w:bidi="ar"/>
                    </w:rPr>
                  </w:pPr>
                  <w:r>
                    <w:rPr>
                      <w:rFonts w:cs="宋体"/>
                      <w:kern w:val="13"/>
                      <w:sz w:val="21"/>
                      <w:szCs w:val="21"/>
                      <w:lang w:bidi="ar"/>
                    </w:rPr>
                    <w:t>田家镇</w:t>
                  </w:r>
                </w:p>
              </w:tc>
              <w:tc>
                <w:tcPr>
                  <w:tcW w:w="2325" w:type="dxa"/>
                  <w:vAlign w:val="center"/>
                </w:tcPr>
                <w:p>
                  <w:pPr>
                    <w:spacing w:line="320" w:lineRule="exact"/>
                    <w:jc w:val="center"/>
                    <w:rPr>
                      <w:rFonts w:cs="宋体"/>
                      <w:kern w:val="13"/>
                      <w:sz w:val="21"/>
                      <w:szCs w:val="21"/>
                      <w:lang w:bidi="ar"/>
                    </w:rPr>
                  </w:pPr>
                  <w:r>
                    <w:rPr>
                      <w:rFonts w:cs="宋体"/>
                      <w:kern w:val="13"/>
                      <w:sz w:val="21"/>
                      <w:szCs w:val="21"/>
                      <w:lang w:bidi="ar"/>
                    </w:rPr>
                    <w:t>薪洲—半边山</w:t>
                  </w:r>
                </w:p>
              </w:tc>
              <w:tc>
                <w:tcPr>
                  <w:tcW w:w="1923" w:type="dxa"/>
                  <w:vAlign w:val="center"/>
                </w:tcPr>
                <w:p>
                  <w:pPr>
                    <w:spacing w:line="320" w:lineRule="exact"/>
                    <w:jc w:val="center"/>
                    <w:rPr>
                      <w:rFonts w:cs="宋体"/>
                      <w:kern w:val="13"/>
                      <w:sz w:val="21"/>
                      <w:szCs w:val="21"/>
                      <w:lang w:bidi="ar"/>
                    </w:rPr>
                  </w:pPr>
                  <w:r>
                    <w:rPr>
                      <w:rFonts w:cs="宋体"/>
                      <w:kern w:val="13"/>
                      <w:sz w:val="21"/>
                      <w:szCs w:val="21"/>
                      <w:lang w:bidi="ar"/>
                    </w:rPr>
                    <w:t>21</w:t>
                  </w:r>
                </w:p>
              </w:tc>
              <w:tc>
                <w:tcPr>
                  <w:tcW w:w="2727" w:type="dxa"/>
                  <w:vAlign w:val="center"/>
                </w:tcPr>
                <w:p>
                  <w:pPr>
                    <w:spacing w:line="320" w:lineRule="exact"/>
                    <w:jc w:val="center"/>
                    <w:rPr>
                      <w:rFonts w:cs="宋体"/>
                      <w:kern w:val="13"/>
                      <w:sz w:val="21"/>
                      <w:szCs w:val="21"/>
                      <w:lang w:bidi="ar"/>
                    </w:rPr>
                  </w:pPr>
                  <w:r>
                    <w:rPr>
                      <w:rFonts w:cs="宋体"/>
                      <w:kern w:val="13"/>
                      <w:sz w:val="21"/>
                      <w:szCs w:val="21"/>
                      <w:lang w:bidi="ar"/>
                    </w:rPr>
                    <w:t>28</w:t>
                  </w:r>
                </w:p>
              </w:tc>
            </w:tr>
          </w:tbl>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长江中游江段四大家鱼产卵场未发生大的变化，只是产卵规模逐年减小，鱼苗资源明显衰退。同时，在该保护区江段调查未见四大家鱼产卵场，但保护区附近长江江段有四大家鱼产卵场三个，即白螺矶—韩家埠江段、盐船套—上沙村江段、塔市驿—新洲沙咀江段（表</w:t>
            </w:r>
            <w:r>
              <w:rPr>
                <w:rStyle w:val="253"/>
                <w:rFonts w:hint="eastAsia" w:hAnsi="宋体"/>
                <w:lang w:val="en-US" w:eastAsia="zh-CN"/>
              </w:rPr>
              <w:t>3</w:t>
            </w:r>
            <w:r>
              <w:rPr>
                <w:rStyle w:val="253"/>
                <w:rFonts w:hint="default" w:ascii="Times New Roman" w:hAnsi="宋体" w:eastAsia="宋体"/>
              </w:rPr>
              <w:t>-</w:t>
            </w:r>
            <w:r>
              <w:rPr>
                <w:rStyle w:val="253"/>
                <w:rFonts w:hint="eastAsia" w:hAnsi="宋体"/>
                <w:lang w:val="en-US" w:eastAsia="zh-CN"/>
              </w:rPr>
              <w:t>20</w:t>
            </w:r>
            <w:r>
              <w:rPr>
                <w:rStyle w:val="253"/>
                <w:rFonts w:hint="default" w:ascii="Times New Roman" w:hAnsi="宋体" w:eastAsia="宋体"/>
              </w:rPr>
              <w:t>），但产卵规模有所减小或位置稍有上移，鱼苗资源明显下降。</w:t>
            </w:r>
          </w:p>
          <w:p>
            <w:pPr>
              <w:spacing w:line="480" w:lineRule="exact"/>
              <w:ind w:firstLine="316" w:firstLineChars="150"/>
              <w:jc w:val="center"/>
              <w:rPr>
                <w:rStyle w:val="253"/>
                <w:rFonts w:hint="default" w:ascii="Times New Roman" w:hAnsi="宋体" w:eastAsia="宋体"/>
                <w:b/>
                <w:sz w:val="21"/>
                <w:szCs w:val="21"/>
              </w:rPr>
            </w:pPr>
            <w:r>
              <w:rPr>
                <w:rStyle w:val="253"/>
                <w:rFonts w:hint="default" w:ascii="Times New Roman" w:hAnsi="宋体" w:eastAsia="宋体"/>
                <w:b/>
                <w:sz w:val="21"/>
                <w:szCs w:val="21"/>
              </w:rPr>
              <w:t>表3-</w:t>
            </w:r>
            <w:r>
              <w:rPr>
                <w:rStyle w:val="253"/>
                <w:rFonts w:hint="eastAsia" w:hAnsi="宋体"/>
                <w:b/>
                <w:sz w:val="21"/>
                <w:szCs w:val="21"/>
                <w:lang w:val="en-US" w:eastAsia="zh-CN"/>
              </w:rPr>
              <w:t>20</w:t>
            </w:r>
            <w:r>
              <w:rPr>
                <w:rStyle w:val="253"/>
                <w:rFonts w:hint="default" w:ascii="Times New Roman" w:hAnsi="宋体" w:eastAsia="宋体"/>
                <w:b/>
                <w:sz w:val="21"/>
                <w:szCs w:val="21"/>
              </w:rPr>
              <w:t xml:space="preserve">   监利江段四大家鱼产卵场</w:t>
            </w:r>
          </w:p>
          <w:tbl>
            <w:tblPr>
              <w:tblStyle w:val="44"/>
              <w:tblW w:w="0" w:type="auto"/>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100"/>
              <w:gridCol w:w="1928"/>
              <w:gridCol w:w="2981"/>
              <w:gridCol w:w="2277"/>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2100" w:type="dxa"/>
                  <w:vAlign w:val="center"/>
                </w:tcPr>
                <w:p>
                  <w:pPr>
                    <w:spacing w:line="320" w:lineRule="exact"/>
                    <w:jc w:val="center"/>
                    <w:rPr>
                      <w:rFonts w:cs="宋体"/>
                      <w:kern w:val="13"/>
                      <w:sz w:val="21"/>
                      <w:szCs w:val="21"/>
                      <w:lang w:bidi="ar"/>
                    </w:rPr>
                  </w:pPr>
                  <w:r>
                    <w:rPr>
                      <w:rFonts w:cs="宋体"/>
                      <w:kern w:val="13"/>
                      <w:sz w:val="21"/>
                      <w:szCs w:val="21"/>
                      <w:lang w:bidi="ar"/>
                    </w:rPr>
                    <w:t>时间</w:t>
                  </w:r>
                </w:p>
              </w:tc>
              <w:tc>
                <w:tcPr>
                  <w:tcW w:w="1928" w:type="dxa"/>
                  <w:vAlign w:val="center"/>
                </w:tcPr>
                <w:p>
                  <w:pPr>
                    <w:spacing w:line="320" w:lineRule="exact"/>
                    <w:jc w:val="center"/>
                    <w:rPr>
                      <w:rFonts w:cs="宋体"/>
                      <w:kern w:val="13"/>
                      <w:sz w:val="21"/>
                      <w:szCs w:val="21"/>
                      <w:lang w:bidi="ar"/>
                    </w:rPr>
                  </w:pPr>
                  <w:r>
                    <w:rPr>
                      <w:rFonts w:cs="宋体"/>
                      <w:kern w:val="13"/>
                      <w:sz w:val="21"/>
                      <w:szCs w:val="21"/>
                      <w:lang w:bidi="ar"/>
                    </w:rPr>
                    <w:t>产卵场位置</w:t>
                  </w:r>
                </w:p>
              </w:tc>
              <w:tc>
                <w:tcPr>
                  <w:tcW w:w="2981" w:type="dxa"/>
                  <w:vAlign w:val="center"/>
                </w:tcPr>
                <w:p>
                  <w:pPr>
                    <w:spacing w:line="320" w:lineRule="exact"/>
                    <w:jc w:val="center"/>
                    <w:rPr>
                      <w:rFonts w:cs="宋体"/>
                      <w:kern w:val="13"/>
                      <w:sz w:val="21"/>
                      <w:szCs w:val="21"/>
                      <w:lang w:bidi="ar"/>
                    </w:rPr>
                  </w:pPr>
                  <w:r>
                    <w:rPr>
                      <w:rFonts w:cs="宋体"/>
                      <w:kern w:val="13"/>
                      <w:sz w:val="21"/>
                      <w:szCs w:val="21"/>
                      <w:lang w:bidi="ar"/>
                    </w:rPr>
                    <w:t>范围</w:t>
                  </w:r>
                </w:p>
              </w:tc>
              <w:tc>
                <w:tcPr>
                  <w:tcW w:w="2277" w:type="dxa"/>
                  <w:vAlign w:val="center"/>
                </w:tcPr>
                <w:p>
                  <w:pPr>
                    <w:spacing w:line="320" w:lineRule="exact"/>
                    <w:jc w:val="center"/>
                    <w:rPr>
                      <w:rFonts w:cs="宋体"/>
                      <w:kern w:val="13"/>
                      <w:sz w:val="21"/>
                      <w:szCs w:val="21"/>
                      <w:lang w:bidi="ar"/>
                    </w:rPr>
                  </w:pPr>
                  <w:r>
                    <w:rPr>
                      <w:rFonts w:cs="宋体"/>
                      <w:kern w:val="13"/>
                      <w:sz w:val="21"/>
                      <w:szCs w:val="21"/>
                      <w:lang w:bidi="ar"/>
                    </w:rPr>
                    <w:t>延伸长度（km）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2100" w:type="dxa"/>
                  <w:vMerge w:val="restart"/>
                  <w:vAlign w:val="center"/>
                </w:tcPr>
                <w:p>
                  <w:pPr>
                    <w:spacing w:line="320" w:lineRule="exact"/>
                    <w:jc w:val="center"/>
                    <w:rPr>
                      <w:rFonts w:cs="宋体"/>
                      <w:kern w:val="13"/>
                      <w:sz w:val="21"/>
                      <w:szCs w:val="21"/>
                      <w:lang w:bidi="ar"/>
                    </w:rPr>
                  </w:pPr>
                  <w:r>
                    <w:rPr>
                      <w:rFonts w:cs="宋体"/>
                      <w:kern w:val="13"/>
                      <w:sz w:val="21"/>
                      <w:szCs w:val="21"/>
                      <w:lang w:bidi="ar"/>
                    </w:rPr>
                    <w:t>1987年</w:t>
                  </w:r>
                </w:p>
              </w:tc>
              <w:tc>
                <w:tcPr>
                  <w:tcW w:w="1928" w:type="dxa"/>
                  <w:vAlign w:val="center"/>
                </w:tcPr>
                <w:p>
                  <w:pPr>
                    <w:spacing w:line="320" w:lineRule="exact"/>
                    <w:jc w:val="center"/>
                    <w:rPr>
                      <w:rFonts w:cs="宋体"/>
                      <w:kern w:val="13"/>
                      <w:sz w:val="21"/>
                      <w:szCs w:val="21"/>
                      <w:lang w:bidi="ar"/>
                    </w:rPr>
                  </w:pPr>
                  <w:r>
                    <w:rPr>
                      <w:rFonts w:cs="宋体"/>
                      <w:kern w:val="13"/>
                      <w:sz w:val="21"/>
                      <w:szCs w:val="21"/>
                      <w:lang w:bidi="ar"/>
                    </w:rPr>
                    <w:t>监利</w:t>
                  </w:r>
                </w:p>
              </w:tc>
              <w:tc>
                <w:tcPr>
                  <w:tcW w:w="2981" w:type="dxa"/>
                  <w:vAlign w:val="center"/>
                </w:tcPr>
                <w:p>
                  <w:pPr>
                    <w:spacing w:line="320" w:lineRule="exact"/>
                    <w:jc w:val="center"/>
                    <w:rPr>
                      <w:rFonts w:cs="宋体"/>
                      <w:kern w:val="13"/>
                      <w:sz w:val="21"/>
                      <w:szCs w:val="21"/>
                      <w:lang w:bidi="ar"/>
                    </w:rPr>
                  </w:pPr>
                  <w:r>
                    <w:rPr>
                      <w:rFonts w:cs="宋体"/>
                      <w:kern w:val="13"/>
                      <w:sz w:val="21"/>
                      <w:szCs w:val="21"/>
                      <w:lang w:bidi="ar"/>
                    </w:rPr>
                    <w:t>塔市驿—老河下口</w:t>
                  </w:r>
                </w:p>
              </w:tc>
              <w:tc>
                <w:tcPr>
                  <w:tcW w:w="2277" w:type="dxa"/>
                  <w:vAlign w:val="center"/>
                </w:tcPr>
                <w:p>
                  <w:pPr>
                    <w:spacing w:line="320" w:lineRule="exact"/>
                    <w:jc w:val="center"/>
                    <w:rPr>
                      <w:rFonts w:cs="宋体"/>
                      <w:kern w:val="13"/>
                      <w:sz w:val="21"/>
                      <w:szCs w:val="21"/>
                      <w:lang w:bidi="ar"/>
                    </w:rPr>
                  </w:pPr>
                  <w:r>
                    <w:rPr>
                      <w:rFonts w:cs="宋体"/>
                      <w:kern w:val="13"/>
                      <w:sz w:val="21"/>
                      <w:szCs w:val="21"/>
                      <w:lang w:bidi="ar"/>
                    </w:rPr>
                    <w:t>25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2100" w:type="dxa"/>
                  <w:vMerge w:val="continue"/>
                  <w:vAlign w:val="center"/>
                </w:tcPr>
                <w:p>
                  <w:pPr>
                    <w:spacing w:line="320" w:lineRule="exact"/>
                    <w:jc w:val="center"/>
                    <w:rPr>
                      <w:rFonts w:cs="宋体"/>
                      <w:kern w:val="13"/>
                      <w:sz w:val="21"/>
                      <w:szCs w:val="21"/>
                      <w:lang w:bidi="ar"/>
                    </w:rPr>
                  </w:pPr>
                </w:p>
              </w:tc>
              <w:tc>
                <w:tcPr>
                  <w:tcW w:w="1928" w:type="dxa"/>
                  <w:vAlign w:val="center"/>
                </w:tcPr>
                <w:p>
                  <w:pPr>
                    <w:spacing w:line="320" w:lineRule="exact"/>
                    <w:jc w:val="center"/>
                    <w:rPr>
                      <w:rFonts w:cs="宋体"/>
                      <w:kern w:val="13"/>
                      <w:sz w:val="21"/>
                      <w:szCs w:val="21"/>
                      <w:lang w:bidi="ar"/>
                    </w:rPr>
                  </w:pPr>
                  <w:r>
                    <w:rPr>
                      <w:rFonts w:cs="宋体"/>
                      <w:kern w:val="13"/>
                      <w:sz w:val="21"/>
                      <w:szCs w:val="21"/>
                      <w:lang w:bidi="ar"/>
                    </w:rPr>
                    <w:t>反咀</w:t>
                  </w:r>
                </w:p>
              </w:tc>
              <w:tc>
                <w:tcPr>
                  <w:tcW w:w="2981" w:type="dxa"/>
                  <w:vAlign w:val="center"/>
                </w:tcPr>
                <w:p>
                  <w:pPr>
                    <w:spacing w:line="320" w:lineRule="exact"/>
                    <w:jc w:val="center"/>
                    <w:rPr>
                      <w:rFonts w:cs="宋体"/>
                      <w:kern w:val="13"/>
                      <w:sz w:val="21"/>
                      <w:szCs w:val="21"/>
                      <w:lang w:bidi="ar"/>
                    </w:rPr>
                  </w:pPr>
                  <w:r>
                    <w:rPr>
                      <w:rFonts w:cs="宋体"/>
                      <w:kern w:val="13"/>
                      <w:sz w:val="21"/>
                      <w:szCs w:val="21"/>
                      <w:lang w:bidi="ar"/>
                    </w:rPr>
                    <w:t>盐船套—荆江门</w:t>
                  </w:r>
                </w:p>
              </w:tc>
              <w:tc>
                <w:tcPr>
                  <w:tcW w:w="2277" w:type="dxa"/>
                  <w:vAlign w:val="center"/>
                </w:tcPr>
                <w:p>
                  <w:pPr>
                    <w:spacing w:line="320" w:lineRule="exact"/>
                    <w:jc w:val="center"/>
                    <w:rPr>
                      <w:rFonts w:cs="宋体"/>
                      <w:kern w:val="13"/>
                      <w:sz w:val="21"/>
                      <w:szCs w:val="21"/>
                      <w:lang w:bidi="ar"/>
                    </w:rPr>
                  </w:pPr>
                  <w:r>
                    <w:rPr>
                      <w:rFonts w:cs="宋体"/>
                      <w:kern w:val="13"/>
                      <w:sz w:val="21"/>
                      <w:szCs w:val="21"/>
                      <w:lang w:bidi="ar"/>
                    </w:rPr>
                    <w:t>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2100" w:type="dxa"/>
                  <w:vMerge w:val="continue"/>
                  <w:vAlign w:val="center"/>
                </w:tcPr>
                <w:p>
                  <w:pPr>
                    <w:spacing w:line="320" w:lineRule="exact"/>
                    <w:jc w:val="center"/>
                    <w:rPr>
                      <w:rFonts w:cs="宋体"/>
                      <w:kern w:val="13"/>
                      <w:sz w:val="21"/>
                      <w:szCs w:val="21"/>
                      <w:lang w:bidi="ar"/>
                    </w:rPr>
                  </w:pPr>
                </w:p>
              </w:tc>
              <w:tc>
                <w:tcPr>
                  <w:tcW w:w="1928" w:type="dxa"/>
                  <w:vAlign w:val="center"/>
                </w:tcPr>
                <w:p>
                  <w:pPr>
                    <w:spacing w:line="320" w:lineRule="exact"/>
                    <w:jc w:val="center"/>
                    <w:rPr>
                      <w:rFonts w:cs="宋体"/>
                      <w:kern w:val="13"/>
                      <w:sz w:val="21"/>
                      <w:szCs w:val="21"/>
                      <w:lang w:bidi="ar"/>
                    </w:rPr>
                  </w:pPr>
                  <w:r>
                    <w:rPr>
                      <w:rFonts w:cs="宋体"/>
                      <w:kern w:val="13"/>
                      <w:sz w:val="21"/>
                      <w:szCs w:val="21"/>
                      <w:lang w:bidi="ar"/>
                    </w:rPr>
                    <w:t>白螺</w:t>
                  </w:r>
                </w:p>
              </w:tc>
              <w:tc>
                <w:tcPr>
                  <w:tcW w:w="2981" w:type="dxa"/>
                  <w:vAlign w:val="center"/>
                </w:tcPr>
                <w:p>
                  <w:pPr>
                    <w:spacing w:line="320" w:lineRule="exact"/>
                    <w:jc w:val="center"/>
                    <w:rPr>
                      <w:rFonts w:cs="宋体"/>
                      <w:kern w:val="13"/>
                      <w:sz w:val="21"/>
                      <w:szCs w:val="21"/>
                      <w:lang w:bidi="ar"/>
                    </w:rPr>
                  </w:pPr>
                  <w:r>
                    <w:rPr>
                      <w:rFonts w:cs="宋体"/>
                      <w:kern w:val="13"/>
                      <w:sz w:val="21"/>
                      <w:szCs w:val="21"/>
                      <w:lang w:bidi="ar"/>
                    </w:rPr>
                    <w:t>白螺矶—螺山</w:t>
                  </w:r>
                </w:p>
              </w:tc>
              <w:tc>
                <w:tcPr>
                  <w:tcW w:w="2277" w:type="dxa"/>
                  <w:vAlign w:val="center"/>
                </w:tcPr>
                <w:p>
                  <w:pPr>
                    <w:spacing w:line="320" w:lineRule="exact"/>
                    <w:jc w:val="center"/>
                    <w:rPr>
                      <w:rFonts w:cs="宋体"/>
                      <w:kern w:val="13"/>
                      <w:sz w:val="21"/>
                      <w:szCs w:val="21"/>
                      <w:lang w:bidi="ar"/>
                    </w:rPr>
                  </w:pPr>
                  <w:r>
                    <w:rPr>
                      <w:rFonts w:cs="宋体"/>
                      <w:kern w:val="13"/>
                      <w:sz w:val="21"/>
                      <w:szCs w:val="21"/>
                      <w:lang w:bidi="ar"/>
                    </w:rPr>
                    <w:t>19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2100" w:type="dxa"/>
                  <w:vMerge w:val="restart"/>
                  <w:vAlign w:val="center"/>
                </w:tcPr>
                <w:p>
                  <w:pPr>
                    <w:spacing w:line="320" w:lineRule="exact"/>
                    <w:jc w:val="center"/>
                    <w:rPr>
                      <w:rFonts w:cs="宋体"/>
                      <w:kern w:val="13"/>
                      <w:sz w:val="21"/>
                      <w:szCs w:val="21"/>
                      <w:lang w:bidi="ar"/>
                    </w:rPr>
                  </w:pPr>
                  <w:r>
                    <w:rPr>
                      <w:rFonts w:cs="宋体"/>
                      <w:kern w:val="13"/>
                      <w:sz w:val="21"/>
                      <w:szCs w:val="21"/>
                      <w:lang w:bidi="ar"/>
                    </w:rPr>
                    <w:t>2011</w:t>
                  </w:r>
                  <w:r>
                    <w:rPr>
                      <w:rFonts w:hint="eastAsia" w:cs="宋体"/>
                      <w:kern w:val="13"/>
                      <w:sz w:val="21"/>
                      <w:szCs w:val="21"/>
                      <w:lang w:bidi="ar"/>
                    </w:rPr>
                    <w:t>～</w:t>
                  </w:r>
                  <w:r>
                    <w:rPr>
                      <w:rFonts w:cs="宋体"/>
                      <w:kern w:val="13"/>
                      <w:sz w:val="21"/>
                      <w:szCs w:val="21"/>
                      <w:lang w:bidi="ar"/>
                    </w:rPr>
                    <w:t>2014年</w:t>
                  </w:r>
                </w:p>
              </w:tc>
              <w:tc>
                <w:tcPr>
                  <w:tcW w:w="1928" w:type="dxa"/>
                  <w:vAlign w:val="center"/>
                </w:tcPr>
                <w:p>
                  <w:pPr>
                    <w:spacing w:line="320" w:lineRule="exact"/>
                    <w:jc w:val="center"/>
                    <w:rPr>
                      <w:rFonts w:cs="宋体"/>
                      <w:kern w:val="13"/>
                      <w:sz w:val="21"/>
                      <w:szCs w:val="21"/>
                      <w:lang w:bidi="ar"/>
                    </w:rPr>
                  </w:pPr>
                  <w:r>
                    <w:rPr>
                      <w:rFonts w:cs="宋体"/>
                      <w:kern w:val="13"/>
                      <w:sz w:val="21"/>
                      <w:szCs w:val="21"/>
                      <w:lang w:bidi="ar"/>
                    </w:rPr>
                    <w:t>监利</w:t>
                  </w:r>
                </w:p>
              </w:tc>
              <w:tc>
                <w:tcPr>
                  <w:tcW w:w="2981" w:type="dxa"/>
                  <w:vAlign w:val="center"/>
                </w:tcPr>
                <w:p>
                  <w:pPr>
                    <w:spacing w:line="320" w:lineRule="exact"/>
                    <w:jc w:val="center"/>
                    <w:rPr>
                      <w:rFonts w:cs="宋体"/>
                      <w:kern w:val="13"/>
                      <w:sz w:val="21"/>
                      <w:szCs w:val="21"/>
                      <w:lang w:bidi="ar"/>
                    </w:rPr>
                  </w:pPr>
                  <w:r>
                    <w:rPr>
                      <w:rFonts w:cs="宋体"/>
                      <w:kern w:val="13"/>
                      <w:sz w:val="21"/>
                      <w:szCs w:val="21"/>
                      <w:lang w:bidi="ar"/>
                    </w:rPr>
                    <w:t>塔市驿－新洲沙咀</w:t>
                  </w:r>
                </w:p>
              </w:tc>
              <w:tc>
                <w:tcPr>
                  <w:tcW w:w="2277" w:type="dxa"/>
                  <w:vAlign w:val="center"/>
                </w:tcPr>
                <w:p>
                  <w:pPr>
                    <w:spacing w:line="320" w:lineRule="exact"/>
                    <w:jc w:val="center"/>
                    <w:rPr>
                      <w:rFonts w:cs="宋体"/>
                      <w:kern w:val="13"/>
                      <w:sz w:val="21"/>
                      <w:szCs w:val="21"/>
                      <w:lang w:bidi="ar"/>
                    </w:rPr>
                  </w:pPr>
                  <w:r>
                    <w:rPr>
                      <w:rFonts w:cs="宋体"/>
                      <w:kern w:val="13"/>
                      <w:sz w:val="21"/>
                      <w:szCs w:val="21"/>
                      <w:lang w:bidi="ar"/>
                    </w:rPr>
                    <w:t>19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2100" w:type="dxa"/>
                  <w:vMerge w:val="continue"/>
                  <w:vAlign w:val="center"/>
                </w:tcPr>
                <w:p>
                  <w:pPr>
                    <w:spacing w:line="320" w:lineRule="exact"/>
                    <w:jc w:val="center"/>
                    <w:rPr>
                      <w:rFonts w:cs="宋体"/>
                      <w:kern w:val="13"/>
                      <w:sz w:val="21"/>
                      <w:szCs w:val="21"/>
                      <w:lang w:bidi="ar"/>
                    </w:rPr>
                  </w:pPr>
                </w:p>
              </w:tc>
              <w:tc>
                <w:tcPr>
                  <w:tcW w:w="1928" w:type="dxa"/>
                  <w:vAlign w:val="center"/>
                </w:tcPr>
                <w:p>
                  <w:pPr>
                    <w:spacing w:line="320" w:lineRule="exact"/>
                    <w:jc w:val="center"/>
                    <w:rPr>
                      <w:rFonts w:cs="宋体"/>
                      <w:kern w:val="13"/>
                      <w:sz w:val="21"/>
                      <w:szCs w:val="21"/>
                      <w:lang w:bidi="ar"/>
                    </w:rPr>
                  </w:pPr>
                  <w:r>
                    <w:rPr>
                      <w:rFonts w:cs="宋体"/>
                      <w:kern w:val="13"/>
                      <w:sz w:val="21"/>
                      <w:szCs w:val="21"/>
                      <w:lang w:bidi="ar"/>
                    </w:rPr>
                    <w:t>反咀</w:t>
                  </w:r>
                </w:p>
              </w:tc>
              <w:tc>
                <w:tcPr>
                  <w:tcW w:w="2981" w:type="dxa"/>
                  <w:vAlign w:val="center"/>
                </w:tcPr>
                <w:p>
                  <w:pPr>
                    <w:spacing w:line="320" w:lineRule="exact"/>
                    <w:jc w:val="center"/>
                    <w:rPr>
                      <w:rFonts w:cs="宋体"/>
                      <w:kern w:val="13"/>
                      <w:sz w:val="21"/>
                      <w:szCs w:val="21"/>
                      <w:lang w:bidi="ar"/>
                    </w:rPr>
                  </w:pPr>
                  <w:r>
                    <w:rPr>
                      <w:rFonts w:cs="宋体"/>
                      <w:kern w:val="13"/>
                      <w:sz w:val="21"/>
                      <w:szCs w:val="21"/>
                      <w:lang w:bidi="ar"/>
                    </w:rPr>
                    <w:t>盐船套－上沙村</w:t>
                  </w:r>
                </w:p>
              </w:tc>
              <w:tc>
                <w:tcPr>
                  <w:tcW w:w="2277" w:type="dxa"/>
                  <w:vAlign w:val="center"/>
                </w:tcPr>
                <w:p>
                  <w:pPr>
                    <w:spacing w:line="320" w:lineRule="exact"/>
                    <w:jc w:val="center"/>
                    <w:rPr>
                      <w:rFonts w:cs="宋体"/>
                      <w:kern w:val="13"/>
                      <w:sz w:val="21"/>
                      <w:szCs w:val="21"/>
                      <w:lang w:bidi="ar"/>
                    </w:rPr>
                  </w:pPr>
                  <w:r>
                    <w:rPr>
                      <w:rFonts w:cs="宋体"/>
                      <w:kern w:val="13"/>
                      <w:sz w:val="21"/>
                      <w:szCs w:val="21"/>
                      <w:lang w:bidi="ar"/>
                    </w:rPr>
                    <w:t>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2100" w:type="dxa"/>
                  <w:vMerge w:val="continue"/>
                  <w:vAlign w:val="center"/>
                </w:tcPr>
                <w:p>
                  <w:pPr>
                    <w:spacing w:line="320" w:lineRule="exact"/>
                    <w:jc w:val="center"/>
                    <w:rPr>
                      <w:rFonts w:cs="宋体"/>
                      <w:kern w:val="13"/>
                      <w:sz w:val="21"/>
                      <w:szCs w:val="21"/>
                      <w:lang w:bidi="ar"/>
                    </w:rPr>
                  </w:pPr>
                </w:p>
              </w:tc>
              <w:tc>
                <w:tcPr>
                  <w:tcW w:w="1928" w:type="dxa"/>
                  <w:vAlign w:val="center"/>
                </w:tcPr>
                <w:p>
                  <w:pPr>
                    <w:spacing w:line="320" w:lineRule="exact"/>
                    <w:jc w:val="center"/>
                    <w:rPr>
                      <w:rFonts w:cs="宋体"/>
                      <w:kern w:val="13"/>
                      <w:sz w:val="21"/>
                      <w:szCs w:val="21"/>
                      <w:lang w:bidi="ar"/>
                    </w:rPr>
                  </w:pPr>
                  <w:r>
                    <w:rPr>
                      <w:rFonts w:cs="宋体"/>
                      <w:kern w:val="13"/>
                      <w:sz w:val="21"/>
                      <w:szCs w:val="21"/>
                      <w:lang w:bidi="ar"/>
                    </w:rPr>
                    <w:t>白螺</w:t>
                  </w:r>
                </w:p>
              </w:tc>
              <w:tc>
                <w:tcPr>
                  <w:tcW w:w="2981" w:type="dxa"/>
                  <w:vAlign w:val="center"/>
                </w:tcPr>
                <w:p>
                  <w:pPr>
                    <w:spacing w:line="320" w:lineRule="exact"/>
                    <w:jc w:val="center"/>
                    <w:rPr>
                      <w:rFonts w:cs="宋体"/>
                      <w:kern w:val="13"/>
                      <w:sz w:val="21"/>
                      <w:szCs w:val="21"/>
                      <w:lang w:bidi="ar"/>
                    </w:rPr>
                  </w:pPr>
                  <w:r>
                    <w:rPr>
                      <w:rFonts w:cs="宋体"/>
                      <w:kern w:val="13"/>
                      <w:sz w:val="21"/>
                      <w:szCs w:val="21"/>
                      <w:lang w:bidi="ar"/>
                    </w:rPr>
                    <w:t>白螺矶—韩家埠</w:t>
                  </w:r>
                </w:p>
              </w:tc>
              <w:tc>
                <w:tcPr>
                  <w:tcW w:w="2277" w:type="dxa"/>
                  <w:vAlign w:val="center"/>
                </w:tcPr>
                <w:p>
                  <w:pPr>
                    <w:spacing w:line="320" w:lineRule="exact"/>
                    <w:jc w:val="center"/>
                    <w:rPr>
                      <w:rFonts w:cs="宋体"/>
                      <w:kern w:val="13"/>
                      <w:sz w:val="21"/>
                      <w:szCs w:val="21"/>
                      <w:lang w:bidi="ar"/>
                    </w:rPr>
                  </w:pPr>
                  <w:r>
                    <w:rPr>
                      <w:rFonts w:cs="宋体"/>
                      <w:kern w:val="13"/>
                      <w:sz w:val="21"/>
                      <w:szCs w:val="21"/>
                      <w:lang w:bidi="ar"/>
                    </w:rPr>
                    <w:t>14</w:t>
                  </w:r>
                </w:p>
              </w:tc>
            </w:tr>
          </w:tbl>
          <w:p>
            <w:pPr>
              <w:rPr>
                <w:b/>
              </w:rPr>
            </w:pPr>
            <w:r>
              <w:rPr>
                <w:b/>
              </w:rPr>
              <w:t>6.</w:t>
            </w:r>
            <w:r>
              <w:rPr>
                <w:rFonts w:hint="eastAsia"/>
                <w:b/>
                <w:lang w:val="en-US" w:eastAsia="zh-CN"/>
              </w:rPr>
              <w:t>1.4.5</w:t>
            </w:r>
            <w:r>
              <w:rPr>
                <w:b/>
              </w:rPr>
              <w:t>鱼类食性及食物网链关系</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（1）鱼类食性特点</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该江段河网密布，河道宽阔，水流减缓，两岸属江汉平原人口密集区，农业发达，三峡水库运行后，清水下泄，下游江段江水透明度加大，水体生产力提高，鱼类饵料资源丰富。调查江段的鱼类从食性上可分为五类：</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1）以丝状藻类和水生维管束植物为主要食物的，如赤眼鳟、鳊、草鱼等。</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2）以底栖无脊椎动物为主要食物的，如鲤鱼、吻鮈、长鳍吻鮈、圆筒吻鮈、大部分鳅科鱼、铜鱼、青鱼等。</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3）以鱼类为主要食物，也摄食水生昆虫和甲壳动物的，如马口鱼、长薄鳅、鳜、蒙古鲌、翘嘴鲌、长吻鮠、鳡、黄颡鱼、大鳍鳠、鲇、乌鳢、日本鳗鲡等。</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4）以着生藻为主要食物的鱼类，如细鳞鲴、黄尾鲴、圆吻鲴、银鲴、似鳊等。</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5）以浮游生物为主要食物的鱼类，如鲢、鳙、䱗、银鱼、大鳍鱊等。</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（2）饵料生物现状</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1）浮游植物</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①浮游植物组成</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调查水域共检出浮游植物6门41种，其中，硅藻门19种，占总种类数的47.5%；绿藻门9种，占22.5%；蓝藻门7种，占17.5%；甲藻门3种，占7.5%和隐藻门2种，占5%（图</w:t>
            </w:r>
            <w:r>
              <w:rPr>
                <w:rStyle w:val="253"/>
                <w:rFonts w:hint="eastAsia" w:hAnsi="宋体"/>
                <w:lang w:val="en-US" w:eastAsia="zh-CN"/>
              </w:rPr>
              <w:t>3</w:t>
            </w:r>
            <w:r>
              <w:rPr>
                <w:rStyle w:val="253"/>
                <w:rFonts w:hint="default" w:ascii="Times New Roman" w:hAnsi="宋体" w:eastAsia="宋体"/>
              </w:rPr>
              <w:t>-</w:t>
            </w:r>
            <w:r>
              <w:rPr>
                <w:rStyle w:val="253"/>
                <w:rFonts w:hint="eastAsia" w:hAnsi="宋体"/>
                <w:lang w:val="en-US" w:eastAsia="zh-CN"/>
              </w:rPr>
              <w:t>8</w:t>
            </w:r>
            <w:r>
              <w:rPr>
                <w:rStyle w:val="253"/>
                <w:rFonts w:hint="default" w:ascii="Times New Roman" w:hAnsi="宋体" w:eastAsia="宋体"/>
              </w:rPr>
              <w:t>）。</w:t>
            </w:r>
          </w:p>
          <w:p>
            <w:pPr>
              <w:jc w:val="center"/>
            </w:pPr>
            <w:r>
              <w:drawing>
                <wp:inline distT="0" distB="0" distL="114300" distR="114300">
                  <wp:extent cx="3856990" cy="2552065"/>
                  <wp:effectExtent l="0" t="0" r="10160" b="635"/>
                  <wp:docPr id="31" name="图片 27" descr="VMOQ`B4_O26OHLZ6N4CO18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27" descr="VMOQ`B4_O26OHLZ6N4CO18X"/>
                          <pic:cNvPicPr>
                            <a:picLocks noChangeAspect="1"/>
                          </pic:cNvPicPr>
                        </pic:nvPicPr>
                        <pic:blipFill>
                          <a:blip r:embed="rId14"/>
                          <a:stretch>
                            <a:fillRect/>
                          </a:stretch>
                        </pic:blipFill>
                        <pic:spPr>
                          <a:xfrm>
                            <a:off x="0" y="0"/>
                            <a:ext cx="3856990" cy="2552065"/>
                          </a:xfrm>
                          <a:prstGeom prst="rect">
                            <a:avLst/>
                          </a:prstGeom>
                          <a:noFill/>
                          <a:ln>
                            <a:noFill/>
                          </a:ln>
                        </pic:spPr>
                      </pic:pic>
                    </a:graphicData>
                  </a:graphic>
                </wp:inline>
              </w:drawing>
            </w:r>
          </w:p>
          <w:p>
            <w:pPr>
              <w:spacing w:line="480" w:lineRule="exact"/>
              <w:ind w:firstLine="361" w:firstLineChars="150"/>
              <w:jc w:val="center"/>
              <w:rPr>
                <w:rStyle w:val="253"/>
                <w:rFonts w:hint="default" w:ascii="Times New Roman" w:hAnsi="宋体" w:eastAsia="宋体"/>
                <w:b/>
              </w:rPr>
            </w:pPr>
            <w:r>
              <w:rPr>
                <w:rStyle w:val="253"/>
                <w:rFonts w:hint="default" w:ascii="Times New Roman" w:hAnsi="宋体" w:eastAsia="宋体"/>
                <w:b/>
              </w:rPr>
              <w:t>图3-</w:t>
            </w:r>
            <w:r>
              <w:rPr>
                <w:rStyle w:val="253"/>
                <w:rFonts w:hint="eastAsia" w:hAnsi="宋体"/>
                <w:b/>
                <w:lang w:val="en-US" w:eastAsia="zh-CN"/>
              </w:rPr>
              <w:t>8</w:t>
            </w:r>
            <w:r>
              <w:rPr>
                <w:rStyle w:val="253"/>
                <w:rFonts w:hint="default" w:ascii="Times New Roman" w:hAnsi="宋体" w:eastAsia="宋体"/>
                <w:b/>
              </w:rPr>
              <w:t xml:space="preserve"> 调查区域浮游植物种类组成</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密度组成：调查水域浮游植物密度46.25×106Cells/L，其中，蓝藻门密度最高27.58×106Cells/L，占总密度的56.6%；其次是硅藻门14.05×106Cells/L，占27.4%；绿藻门3.936×106Cells/L，占9.82%；隐藻门0.6827×106Cells/L，占3.58%；甲藻门0.4256×106Cells/L，占2.6%（图</w:t>
            </w:r>
            <w:r>
              <w:rPr>
                <w:rStyle w:val="253"/>
                <w:rFonts w:hint="eastAsia" w:hAnsi="宋体"/>
                <w:lang w:val="en-US" w:eastAsia="zh-CN"/>
              </w:rPr>
              <w:t>3</w:t>
            </w:r>
            <w:r>
              <w:rPr>
                <w:rStyle w:val="253"/>
                <w:rFonts w:hint="default" w:ascii="Times New Roman" w:hAnsi="宋体" w:eastAsia="宋体"/>
              </w:rPr>
              <w:t>-</w:t>
            </w:r>
            <w:r>
              <w:rPr>
                <w:rStyle w:val="253"/>
                <w:rFonts w:hint="eastAsia" w:hAnsi="宋体"/>
                <w:lang w:val="en-US" w:eastAsia="zh-CN"/>
              </w:rPr>
              <w:t>9</w:t>
            </w:r>
            <w:r>
              <w:rPr>
                <w:rStyle w:val="253"/>
                <w:rFonts w:hint="default" w:ascii="Times New Roman" w:hAnsi="宋体" w:eastAsia="宋体"/>
              </w:rPr>
              <w:t>）。</w:t>
            </w:r>
          </w:p>
          <w:p>
            <w:pPr>
              <w:jc w:val="center"/>
            </w:pPr>
            <w:r>
              <w:drawing>
                <wp:inline distT="0" distB="0" distL="114300" distR="114300">
                  <wp:extent cx="4744085" cy="2333625"/>
                  <wp:effectExtent l="0" t="0" r="18415" b="9525"/>
                  <wp:docPr id="28" name="图片 28" descr=")L~GX8U]~T1OI8WO@`H]9N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L~GX8U]~T1OI8WO@`H]9NX"/>
                          <pic:cNvPicPr>
                            <a:picLocks noChangeAspect="1"/>
                          </pic:cNvPicPr>
                        </pic:nvPicPr>
                        <pic:blipFill>
                          <a:blip r:embed="rId15"/>
                          <a:stretch>
                            <a:fillRect/>
                          </a:stretch>
                        </pic:blipFill>
                        <pic:spPr>
                          <a:xfrm>
                            <a:off x="0" y="0"/>
                            <a:ext cx="4744085" cy="2333625"/>
                          </a:xfrm>
                          <a:prstGeom prst="rect">
                            <a:avLst/>
                          </a:prstGeom>
                          <a:noFill/>
                          <a:ln>
                            <a:noFill/>
                          </a:ln>
                        </pic:spPr>
                      </pic:pic>
                    </a:graphicData>
                  </a:graphic>
                </wp:inline>
              </w:drawing>
            </w:r>
          </w:p>
          <w:p>
            <w:pPr>
              <w:jc w:val="center"/>
              <w:rPr>
                <w:rStyle w:val="253"/>
                <w:rFonts w:hint="default" w:ascii="Times New Roman" w:hAnsi="宋体" w:eastAsia="宋体"/>
                <w:b/>
              </w:rPr>
            </w:pPr>
            <w:r>
              <w:rPr>
                <w:rStyle w:val="253"/>
                <w:rFonts w:hint="default" w:ascii="Times New Roman" w:hAnsi="宋体" w:eastAsia="宋体"/>
                <w:b/>
              </w:rPr>
              <w:t>图3-</w:t>
            </w:r>
            <w:r>
              <w:rPr>
                <w:rStyle w:val="253"/>
                <w:rFonts w:hint="eastAsia" w:hAnsi="宋体"/>
                <w:b/>
                <w:lang w:val="en-US" w:eastAsia="zh-CN"/>
              </w:rPr>
              <w:t>9</w:t>
            </w:r>
            <w:r>
              <w:rPr>
                <w:rStyle w:val="253"/>
                <w:rFonts w:hint="default" w:ascii="Times New Roman" w:hAnsi="宋体" w:eastAsia="宋体"/>
                <w:b/>
              </w:rPr>
              <w:t xml:space="preserve">  调查区域浮游植物密度组成</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生物量组成：调查水域浮游植物生物量19.45mg/L，其中，硅藻门生物量最高15.22 mg/L，占总生物量的77.2%；其次绿藻门1.897 mg/L，占9.24%；蓝藻门1.673 mg/L，占8.60%；隐藻门0.666 mg/L，占3.42%，甲藻门0.405mg/L，占1.51%（图</w:t>
            </w:r>
            <w:r>
              <w:rPr>
                <w:rStyle w:val="253"/>
                <w:rFonts w:hint="eastAsia" w:hAnsi="宋体"/>
                <w:lang w:val="en-US" w:eastAsia="zh-CN"/>
              </w:rPr>
              <w:t>3-10</w:t>
            </w:r>
            <w:r>
              <w:rPr>
                <w:rStyle w:val="253"/>
                <w:rFonts w:hint="default" w:ascii="Times New Roman" w:hAnsi="宋体" w:eastAsia="宋体"/>
              </w:rPr>
              <w:t>）。</w:t>
            </w:r>
          </w:p>
          <w:p>
            <w:pPr>
              <w:jc w:val="center"/>
            </w:pPr>
            <w:r>
              <w:drawing>
                <wp:inline distT="0" distB="0" distL="114300" distR="114300">
                  <wp:extent cx="3799840" cy="2524125"/>
                  <wp:effectExtent l="0" t="0" r="10160" b="9525"/>
                  <wp:docPr id="33" name="图片 29" descr="GC2(RA4_$ZT(UYQP9FXB)H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29" descr="GC2(RA4_$ZT(UYQP9FXB)HP"/>
                          <pic:cNvPicPr>
                            <a:picLocks noChangeAspect="1"/>
                          </pic:cNvPicPr>
                        </pic:nvPicPr>
                        <pic:blipFill>
                          <a:blip r:embed="rId16"/>
                          <a:stretch>
                            <a:fillRect/>
                          </a:stretch>
                        </pic:blipFill>
                        <pic:spPr>
                          <a:xfrm>
                            <a:off x="0" y="0"/>
                            <a:ext cx="3799840" cy="2524125"/>
                          </a:xfrm>
                          <a:prstGeom prst="rect">
                            <a:avLst/>
                          </a:prstGeom>
                          <a:noFill/>
                          <a:ln>
                            <a:noFill/>
                          </a:ln>
                        </pic:spPr>
                      </pic:pic>
                    </a:graphicData>
                  </a:graphic>
                </wp:inline>
              </w:drawing>
            </w:r>
          </w:p>
          <w:p>
            <w:pPr>
              <w:jc w:val="center"/>
              <w:rPr>
                <w:rStyle w:val="253"/>
                <w:rFonts w:hint="default" w:ascii="Times New Roman" w:hAnsi="宋体" w:eastAsia="宋体"/>
                <w:b/>
              </w:rPr>
            </w:pPr>
            <w:r>
              <w:rPr>
                <w:rStyle w:val="253"/>
                <w:rFonts w:hint="default" w:ascii="Times New Roman" w:hAnsi="宋体" w:eastAsia="宋体"/>
                <w:b/>
              </w:rPr>
              <w:t>图3-1</w:t>
            </w:r>
            <w:r>
              <w:rPr>
                <w:rStyle w:val="253"/>
                <w:rFonts w:hint="eastAsia" w:hAnsi="宋体"/>
                <w:b/>
                <w:lang w:val="en-US" w:eastAsia="zh-CN"/>
              </w:rPr>
              <w:t>0</w:t>
            </w:r>
            <w:r>
              <w:rPr>
                <w:rStyle w:val="253"/>
                <w:rFonts w:hint="default" w:ascii="Times New Roman" w:hAnsi="宋体" w:eastAsia="宋体"/>
                <w:b/>
              </w:rPr>
              <w:t xml:space="preserve">  调查区域浮游植物生物量组成</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②浮游植物空间分布</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种类空间分布：不同采样点浮游植物种类数表现出差异（图</w:t>
            </w:r>
            <w:r>
              <w:rPr>
                <w:rStyle w:val="253"/>
                <w:rFonts w:hint="eastAsia" w:hAnsi="宋体"/>
                <w:lang w:val="en-US" w:eastAsia="zh-CN"/>
              </w:rPr>
              <w:t>3</w:t>
            </w:r>
            <w:r>
              <w:rPr>
                <w:rStyle w:val="253"/>
                <w:rFonts w:hint="default" w:ascii="Times New Roman" w:hAnsi="宋体" w:eastAsia="宋体"/>
              </w:rPr>
              <w:t>-1</w:t>
            </w:r>
            <w:r>
              <w:rPr>
                <w:rStyle w:val="253"/>
                <w:rFonts w:hint="eastAsia" w:hAnsi="宋体"/>
                <w:lang w:val="en-US" w:eastAsia="zh-CN"/>
              </w:rPr>
              <w:t>1</w:t>
            </w:r>
            <w:r>
              <w:rPr>
                <w:rStyle w:val="253"/>
                <w:rFonts w:hint="default" w:ascii="Times New Roman" w:hAnsi="宋体" w:eastAsia="宋体"/>
              </w:rPr>
              <w:t>）。其中，洪水港浮游植物种类数最多，5门29种；其次岳华自来水厂5门27种、双洲4门26种、江南4门25种、灯塔5门25种、五马口3门19种，瓦湾4门19种、荷叶洲3门18种、洞庭4门14种；集成垸种类数最少，4门13种。五马口、瓦湾、荷叶洲三个断面均未检出甲藻；五马口、集成垸、江南、荷叶洲、双洲均未检出绿藻。</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集成垸处水文情势较复杂，受长江上游来水、集成垸口出入水影响，集成垸断面水流急，与浮游植物种类数低有一定关系。</w:t>
            </w:r>
          </w:p>
          <w:p>
            <w:r>
              <w:drawing>
                <wp:inline distT="0" distB="0" distL="114300" distR="114300">
                  <wp:extent cx="4828540" cy="3104515"/>
                  <wp:effectExtent l="0" t="0" r="10160" b="635"/>
                  <wp:docPr id="29" name="图片 30" descr="T2ZMZP`V0{670R)D63QPY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30" descr="T2ZMZP`V0{670R)D63QPYAT"/>
                          <pic:cNvPicPr>
                            <a:picLocks noChangeAspect="1"/>
                          </pic:cNvPicPr>
                        </pic:nvPicPr>
                        <pic:blipFill>
                          <a:blip r:embed="rId17"/>
                          <a:stretch>
                            <a:fillRect/>
                          </a:stretch>
                        </pic:blipFill>
                        <pic:spPr>
                          <a:xfrm>
                            <a:off x="0" y="0"/>
                            <a:ext cx="4828540" cy="3104515"/>
                          </a:xfrm>
                          <a:prstGeom prst="rect">
                            <a:avLst/>
                          </a:prstGeom>
                          <a:noFill/>
                          <a:ln>
                            <a:noFill/>
                          </a:ln>
                        </pic:spPr>
                      </pic:pic>
                    </a:graphicData>
                  </a:graphic>
                </wp:inline>
              </w:drawing>
            </w:r>
          </w:p>
          <w:p>
            <w:pPr>
              <w:jc w:val="center"/>
              <w:rPr>
                <w:rStyle w:val="253"/>
                <w:rFonts w:hint="default" w:ascii="Times New Roman" w:hAnsi="宋体" w:eastAsia="宋体"/>
                <w:b/>
              </w:rPr>
            </w:pPr>
            <w:r>
              <w:rPr>
                <w:rStyle w:val="253"/>
                <w:rFonts w:hint="default" w:ascii="Times New Roman" w:hAnsi="宋体" w:eastAsia="宋体"/>
                <w:b/>
              </w:rPr>
              <w:t>图3-1</w:t>
            </w:r>
            <w:r>
              <w:rPr>
                <w:rStyle w:val="253"/>
                <w:rFonts w:hint="eastAsia" w:hAnsi="宋体"/>
                <w:b/>
                <w:lang w:val="en-US" w:eastAsia="zh-CN"/>
              </w:rPr>
              <w:t>1</w:t>
            </w:r>
            <w:r>
              <w:rPr>
                <w:rStyle w:val="253"/>
                <w:rFonts w:hint="default" w:ascii="Times New Roman" w:hAnsi="宋体" w:eastAsia="宋体"/>
                <w:b/>
              </w:rPr>
              <w:t xml:space="preserve">   调查区域浮游植物种类空间分布</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各采样点浮游植物种类组成中均以硅藻门占优势，在各断面种类组成中均占到50%以上。洪水港→洞庭，浮游植物种类数、种类组成均没有明显变化；荷叶洲→双洲，浮游植物种类及组成表现出明显差异（图3-1</w:t>
            </w:r>
            <w:r>
              <w:rPr>
                <w:rStyle w:val="253"/>
                <w:rFonts w:hint="eastAsia" w:hAnsi="宋体"/>
                <w:lang w:val="en-US" w:eastAsia="zh-CN"/>
              </w:rPr>
              <w:t>2</w:t>
            </w:r>
            <w:r>
              <w:rPr>
                <w:rStyle w:val="253"/>
                <w:rFonts w:hint="default" w:ascii="Times New Roman" w:hAnsi="宋体" w:eastAsia="宋体"/>
              </w:rPr>
              <w:t>）。洪水港浮游植物种类数明显高于集成垸。洪水港检出绿藻6种，而集成垸检出绿藻3种。因此，虽然两个断面均以硅藻种类最多，但洪水港断面的绿藻种类也占有一定比例。</w:t>
            </w:r>
          </w:p>
          <w:p>
            <w:r>
              <w:drawing>
                <wp:inline distT="0" distB="0" distL="114300" distR="114300">
                  <wp:extent cx="5790565" cy="3237865"/>
                  <wp:effectExtent l="0" t="0" r="635" b="635"/>
                  <wp:docPr id="45" name="图片 31" descr="H])~FM_}TU9VYY{FDE~[HV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31" descr="H])~FM_}TU9VYY{FDE~[HVH"/>
                          <pic:cNvPicPr>
                            <a:picLocks noChangeAspect="1"/>
                          </pic:cNvPicPr>
                        </pic:nvPicPr>
                        <pic:blipFill>
                          <a:blip r:embed="rId18"/>
                          <a:stretch>
                            <a:fillRect/>
                          </a:stretch>
                        </pic:blipFill>
                        <pic:spPr>
                          <a:xfrm>
                            <a:off x="0" y="0"/>
                            <a:ext cx="5790565" cy="3237865"/>
                          </a:xfrm>
                          <a:prstGeom prst="rect">
                            <a:avLst/>
                          </a:prstGeom>
                          <a:noFill/>
                          <a:ln>
                            <a:noFill/>
                          </a:ln>
                        </pic:spPr>
                      </pic:pic>
                    </a:graphicData>
                  </a:graphic>
                </wp:inline>
              </w:drawing>
            </w:r>
          </w:p>
          <w:p>
            <w:pPr>
              <w:spacing w:line="480" w:lineRule="exact"/>
              <w:ind w:firstLine="361" w:firstLineChars="150"/>
              <w:jc w:val="center"/>
              <w:rPr>
                <w:rStyle w:val="253"/>
                <w:rFonts w:hint="default" w:ascii="Times New Roman" w:hAnsi="宋体" w:eastAsia="宋体"/>
                <w:b/>
              </w:rPr>
            </w:pPr>
            <w:r>
              <w:rPr>
                <w:rStyle w:val="253"/>
                <w:rFonts w:hint="default" w:ascii="Times New Roman" w:hAnsi="宋体" w:eastAsia="宋体"/>
                <w:b/>
              </w:rPr>
              <w:t>图3-1</w:t>
            </w:r>
            <w:r>
              <w:rPr>
                <w:rStyle w:val="253"/>
                <w:rFonts w:hint="eastAsia" w:hAnsi="宋体"/>
                <w:b/>
                <w:lang w:val="en-US" w:eastAsia="zh-CN"/>
              </w:rPr>
              <w:t>2</w:t>
            </w:r>
            <w:r>
              <w:rPr>
                <w:rStyle w:val="253"/>
                <w:rFonts w:hint="default" w:ascii="Times New Roman" w:hAnsi="宋体" w:eastAsia="宋体"/>
                <w:b/>
              </w:rPr>
              <w:t xml:space="preserve">   调查区域浮游植物种类空间分布示意图</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密度空间分布：不同断面浮游植物密度表现出差异（图3-1</w:t>
            </w:r>
            <w:r>
              <w:rPr>
                <w:rStyle w:val="253"/>
                <w:rFonts w:hint="eastAsia" w:hAnsi="宋体"/>
                <w:lang w:val="en-US" w:eastAsia="zh-CN"/>
              </w:rPr>
              <w:t>3</w:t>
            </w:r>
            <w:r>
              <w:rPr>
                <w:rStyle w:val="253"/>
                <w:rFonts w:hint="default" w:ascii="Times New Roman" w:hAnsi="宋体" w:eastAsia="宋体"/>
              </w:rPr>
              <w:t>）。其中，灯塔浮游植物密度最高，25.17×106Cells/L；其次，洪水港、双洲、瓦湾、集成垸、岳化自来水厂、荷叶洲、五马口、江南浮游植物密度分别为8.053×106Cells/L、6.176×106Cells/L、4.896×106Cells/L；洞庭浮游植物密度最低，1.952×106Cells/L。</w:t>
            </w:r>
          </w:p>
          <w:p>
            <w:pPr>
              <w:jc w:val="center"/>
            </w:pPr>
            <w:r>
              <w:drawing>
                <wp:inline distT="0" distB="0" distL="114300" distR="114300">
                  <wp:extent cx="4681220" cy="3376295"/>
                  <wp:effectExtent l="0" t="0" r="5080" b="14605"/>
                  <wp:docPr id="43" name="图片 32" descr="]PPBZN2B9YB2ONT8B{}_P]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32" descr="]PPBZN2B9YB2ONT8B{}_P]J"/>
                          <pic:cNvPicPr>
                            <a:picLocks noChangeAspect="1"/>
                          </pic:cNvPicPr>
                        </pic:nvPicPr>
                        <pic:blipFill>
                          <a:blip r:embed="rId19"/>
                          <a:stretch>
                            <a:fillRect/>
                          </a:stretch>
                        </pic:blipFill>
                        <pic:spPr>
                          <a:xfrm>
                            <a:off x="0" y="0"/>
                            <a:ext cx="4681220" cy="3376295"/>
                          </a:xfrm>
                          <a:prstGeom prst="rect">
                            <a:avLst/>
                          </a:prstGeom>
                          <a:noFill/>
                          <a:ln>
                            <a:noFill/>
                          </a:ln>
                        </pic:spPr>
                      </pic:pic>
                    </a:graphicData>
                  </a:graphic>
                </wp:inline>
              </w:drawing>
            </w:r>
          </w:p>
          <w:p>
            <w:pPr>
              <w:spacing w:line="480" w:lineRule="exact"/>
              <w:ind w:firstLine="361" w:firstLineChars="150"/>
              <w:jc w:val="center"/>
              <w:rPr>
                <w:rStyle w:val="253"/>
                <w:rFonts w:hint="default" w:ascii="Times New Roman" w:hAnsi="宋体" w:eastAsia="宋体"/>
                <w:b/>
              </w:rPr>
            </w:pPr>
            <w:r>
              <w:rPr>
                <w:rStyle w:val="253"/>
                <w:rFonts w:hint="default" w:ascii="Times New Roman" w:hAnsi="宋体" w:eastAsia="宋体"/>
                <w:b/>
              </w:rPr>
              <w:t>图3-1</w:t>
            </w:r>
            <w:r>
              <w:rPr>
                <w:rStyle w:val="253"/>
                <w:rFonts w:hint="eastAsia" w:hAnsi="宋体"/>
                <w:b/>
                <w:lang w:val="en-US" w:eastAsia="zh-CN"/>
              </w:rPr>
              <w:t>3</w:t>
            </w:r>
            <w:r>
              <w:rPr>
                <w:rStyle w:val="253"/>
                <w:rFonts w:hint="default" w:ascii="Times New Roman" w:hAnsi="宋体" w:eastAsia="宋体"/>
                <w:b/>
              </w:rPr>
              <w:t xml:space="preserve">  调查区域浮游植物密度空间分布</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不同断面藻类密度组成表现出明显差异：五马口、集成垸、洪水港、江南、瓦湾、洞庭、灯塔、双洲浮游植物密度组成中蓝藻占优势；岳华自来水厂、荷叶洲浮游植物密度组成中硅藻占优势。</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五马口→集成垸→洪水港，浮游植物密度有所增加；浮游植物密度组成中以硅藻占优势，在岳华自来水厂转为以蓝藻占优势。江南→双洲，浮游植物密度呈现波浪形变化；浮游植物密度组成中以蓝藻、硅藻交替占据优势（图3-1</w:t>
            </w:r>
            <w:r>
              <w:rPr>
                <w:rStyle w:val="253"/>
                <w:rFonts w:hint="eastAsia" w:hAnsi="宋体"/>
                <w:lang w:val="en-US" w:eastAsia="zh-CN"/>
              </w:rPr>
              <w:t>4</w:t>
            </w:r>
            <w:r>
              <w:rPr>
                <w:rStyle w:val="253"/>
                <w:rFonts w:hint="default" w:ascii="Times New Roman" w:hAnsi="宋体" w:eastAsia="宋体"/>
              </w:rPr>
              <w:t>）。</w:t>
            </w:r>
          </w:p>
          <w:p>
            <w:pPr>
              <w:jc w:val="center"/>
            </w:pPr>
            <w:r>
              <w:drawing>
                <wp:inline distT="0" distB="0" distL="114300" distR="114300">
                  <wp:extent cx="4647565" cy="4447540"/>
                  <wp:effectExtent l="0" t="0" r="635" b="10160"/>
                  <wp:docPr id="42" name="图片 33" descr="SG7XZ_YDKMH)Z~_S%1T2J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33" descr="SG7XZ_YDKMH)Z~_S%1T2J0F"/>
                          <pic:cNvPicPr>
                            <a:picLocks noChangeAspect="1"/>
                          </pic:cNvPicPr>
                        </pic:nvPicPr>
                        <pic:blipFill>
                          <a:blip r:embed="rId20"/>
                          <a:stretch>
                            <a:fillRect/>
                          </a:stretch>
                        </pic:blipFill>
                        <pic:spPr>
                          <a:xfrm>
                            <a:off x="0" y="0"/>
                            <a:ext cx="4647565" cy="4447540"/>
                          </a:xfrm>
                          <a:prstGeom prst="rect">
                            <a:avLst/>
                          </a:prstGeom>
                          <a:noFill/>
                          <a:ln>
                            <a:noFill/>
                          </a:ln>
                        </pic:spPr>
                      </pic:pic>
                    </a:graphicData>
                  </a:graphic>
                </wp:inline>
              </w:drawing>
            </w:r>
          </w:p>
          <w:p>
            <w:pPr>
              <w:spacing w:line="480" w:lineRule="exact"/>
              <w:ind w:firstLine="361" w:firstLineChars="150"/>
              <w:jc w:val="center"/>
              <w:rPr>
                <w:rStyle w:val="253"/>
                <w:rFonts w:hint="default" w:ascii="Times New Roman" w:hAnsi="宋体" w:eastAsia="宋体"/>
                <w:b/>
              </w:rPr>
            </w:pPr>
            <w:r>
              <w:rPr>
                <w:rStyle w:val="253"/>
                <w:rFonts w:hint="default" w:ascii="Times New Roman" w:hAnsi="宋体" w:eastAsia="宋体"/>
                <w:b/>
              </w:rPr>
              <w:t>图3-1</w:t>
            </w:r>
            <w:r>
              <w:rPr>
                <w:rStyle w:val="253"/>
                <w:rFonts w:hint="eastAsia" w:hAnsi="宋体"/>
                <w:b/>
                <w:lang w:val="en-US" w:eastAsia="zh-CN"/>
              </w:rPr>
              <w:t>4</w:t>
            </w:r>
            <w:r>
              <w:rPr>
                <w:rStyle w:val="253"/>
                <w:rFonts w:hint="default" w:ascii="Times New Roman" w:hAnsi="宋体" w:eastAsia="宋体"/>
                <w:b/>
              </w:rPr>
              <w:t xml:space="preserve">  调查区域浮游植物密度空间分布示意图</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生物量空间分布：不同断面浮游植物生物量表现出差异（图</w:t>
            </w:r>
            <w:r>
              <w:rPr>
                <w:rStyle w:val="253"/>
                <w:rFonts w:hint="eastAsia" w:hAnsi="宋体"/>
                <w:lang w:val="en-US" w:eastAsia="zh-CN"/>
              </w:rPr>
              <w:t>3</w:t>
            </w:r>
            <w:r>
              <w:rPr>
                <w:rStyle w:val="253"/>
                <w:rFonts w:hint="default" w:ascii="Times New Roman" w:hAnsi="宋体" w:eastAsia="宋体"/>
              </w:rPr>
              <w:t>-1</w:t>
            </w:r>
            <w:r>
              <w:rPr>
                <w:rStyle w:val="253"/>
                <w:rFonts w:hint="eastAsia" w:hAnsi="宋体"/>
                <w:lang w:val="en-US" w:eastAsia="zh-CN"/>
              </w:rPr>
              <w:t>5</w:t>
            </w:r>
            <w:r>
              <w:rPr>
                <w:rStyle w:val="253"/>
                <w:rFonts w:hint="default" w:ascii="Times New Roman" w:hAnsi="宋体" w:eastAsia="宋体"/>
              </w:rPr>
              <w:t>）：灯塔浮游植物生物量最高，10.46mg/L；其次，洪水港、双洲、集成垸、江南、荷叶洲、五马口、瓦湾、岳化自来水厂浮游植物生物量分别为5.059 mg/L、1.786 mg/L、1.264 mg/L；洞庭浮游植物生物量最低，0.890 mg/L。不同断面浮游植物生物量组成差异不明显，各断面浮游植物生物量组成中均以硅藻占优势。</w:t>
            </w:r>
          </w:p>
          <w:p>
            <w:r>
              <w:drawing>
                <wp:inline distT="0" distB="0" distL="114300" distR="114300">
                  <wp:extent cx="5962650" cy="3368675"/>
                  <wp:effectExtent l="0" t="0" r="0" b="3175"/>
                  <wp:docPr id="41" name="图片 34" descr="744B`)_NN1JRL1AAW`((%X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34" descr="744B`)_NN1JRL1AAW`((%X5"/>
                          <pic:cNvPicPr>
                            <a:picLocks noChangeAspect="1"/>
                          </pic:cNvPicPr>
                        </pic:nvPicPr>
                        <pic:blipFill>
                          <a:blip r:embed="rId21"/>
                          <a:stretch>
                            <a:fillRect/>
                          </a:stretch>
                        </pic:blipFill>
                        <pic:spPr>
                          <a:xfrm>
                            <a:off x="0" y="0"/>
                            <a:ext cx="5962650" cy="3368675"/>
                          </a:xfrm>
                          <a:prstGeom prst="rect">
                            <a:avLst/>
                          </a:prstGeom>
                          <a:noFill/>
                          <a:ln>
                            <a:noFill/>
                          </a:ln>
                        </pic:spPr>
                      </pic:pic>
                    </a:graphicData>
                  </a:graphic>
                </wp:inline>
              </w:drawing>
            </w:r>
          </w:p>
          <w:p>
            <w:pPr>
              <w:spacing w:line="480" w:lineRule="exact"/>
              <w:ind w:firstLine="361" w:firstLineChars="150"/>
              <w:jc w:val="center"/>
              <w:rPr>
                <w:rStyle w:val="253"/>
                <w:rFonts w:hint="default" w:ascii="Times New Roman" w:hAnsi="宋体" w:eastAsia="宋体"/>
                <w:b/>
              </w:rPr>
            </w:pPr>
            <w:r>
              <w:rPr>
                <w:rStyle w:val="253"/>
                <w:rFonts w:hint="default" w:ascii="Times New Roman" w:hAnsi="宋体" w:eastAsia="宋体"/>
                <w:b/>
              </w:rPr>
              <w:t>图3-1</w:t>
            </w:r>
            <w:r>
              <w:rPr>
                <w:rStyle w:val="253"/>
                <w:rFonts w:hint="eastAsia" w:hAnsi="宋体"/>
                <w:b/>
                <w:lang w:val="en-US" w:eastAsia="zh-CN"/>
              </w:rPr>
              <w:t>5</w:t>
            </w:r>
            <w:r>
              <w:rPr>
                <w:rStyle w:val="253"/>
                <w:rFonts w:hint="default" w:ascii="Times New Roman" w:hAnsi="宋体" w:eastAsia="宋体"/>
                <w:b/>
              </w:rPr>
              <w:t xml:space="preserve"> 调查区域浮游植物生物量空间分布</w:t>
            </w:r>
          </w:p>
          <w:p>
            <w:r>
              <w:drawing>
                <wp:inline distT="0" distB="0" distL="114300" distR="114300">
                  <wp:extent cx="5971540" cy="3390265"/>
                  <wp:effectExtent l="0" t="0" r="10160" b="635"/>
                  <wp:docPr id="39" name="图片 35" descr="HLE}W1@8J0OUBR`ZLR6QX2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5" descr="HLE}W1@8J0OUBR`ZLR6QX2S"/>
                          <pic:cNvPicPr>
                            <a:picLocks noChangeAspect="1"/>
                          </pic:cNvPicPr>
                        </pic:nvPicPr>
                        <pic:blipFill>
                          <a:blip r:embed="rId22"/>
                          <a:stretch>
                            <a:fillRect/>
                          </a:stretch>
                        </pic:blipFill>
                        <pic:spPr>
                          <a:xfrm>
                            <a:off x="0" y="0"/>
                            <a:ext cx="5971540" cy="3390265"/>
                          </a:xfrm>
                          <a:prstGeom prst="rect">
                            <a:avLst/>
                          </a:prstGeom>
                          <a:noFill/>
                          <a:ln>
                            <a:noFill/>
                          </a:ln>
                        </pic:spPr>
                      </pic:pic>
                    </a:graphicData>
                  </a:graphic>
                </wp:inline>
              </w:drawing>
            </w:r>
          </w:p>
          <w:p>
            <w:pPr>
              <w:spacing w:line="480" w:lineRule="exact"/>
              <w:ind w:firstLine="361" w:firstLineChars="150"/>
              <w:jc w:val="center"/>
              <w:rPr>
                <w:rStyle w:val="253"/>
                <w:rFonts w:hint="default" w:ascii="Times New Roman" w:hAnsi="宋体" w:eastAsia="宋体"/>
                <w:b/>
              </w:rPr>
            </w:pPr>
            <w:r>
              <w:rPr>
                <w:rStyle w:val="253"/>
                <w:rFonts w:hint="default" w:ascii="Times New Roman" w:hAnsi="宋体" w:eastAsia="宋体"/>
                <w:b/>
              </w:rPr>
              <w:t>图3-1</w:t>
            </w:r>
            <w:r>
              <w:rPr>
                <w:rStyle w:val="253"/>
                <w:rFonts w:hint="eastAsia" w:hAnsi="宋体"/>
                <w:b/>
                <w:lang w:val="en-US" w:eastAsia="zh-CN"/>
              </w:rPr>
              <w:t>6</w:t>
            </w:r>
            <w:r>
              <w:rPr>
                <w:rStyle w:val="253"/>
                <w:rFonts w:hint="default" w:ascii="Times New Roman" w:hAnsi="宋体" w:eastAsia="宋体"/>
                <w:b/>
              </w:rPr>
              <w:t xml:space="preserve">   调查区域浮游植物生物量空间分布示意图</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洪水港→洞庭，浮游植物生物量有所降低。洞庭→荷叶洲→灯塔，浮游植物生物量明显增加（图3-1</w:t>
            </w:r>
            <w:r>
              <w:rPr>
                <w:rStyle w:val="253"/>
                <w:rFonts w:hint="eastAsia" w:hAnsi="宋体"/>
                <w:lang w:val="en-US" w:eastAsia="zh-CN"/>
              </w:rPr>
              <w:t>6</w:t>
            </w:r>
            <w:r>
              <w:rPr>
                <w:rStyle w:val="253"/>
                <w:rFonts w:hint="default" w:ascii="Times New Roman" w:hAnsi="宋体" w:eastAsia="宋体"/>
              </w:rPr>
              <w:t>）。</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2）浮游动物</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调查区域共检出轮虫11属23种、原生动物7属11种、枝角类4属6种、桡足类7属7种。浮游动物组成中以轮虫种类最多，枝角类种类最少。</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①浮游动物种类组成：不同采样断面浮游动物种类数具有差异（图</w:t>
            </w:r>
            <w:r>
              <w:rPr>
                <w:rStyle w:val="253"/>
                <w:rFonts w:hint="eastAsia" w:hAnsi="宋体"/>
                <w:lang w:val="en-US" w:eastAsia="zh-CN"/>
              </w:rPr>
              <w:t>3</w:t>
            </w:r>
            <w:r>
              <w:rPr>
                <w:rStyle w:val="253"/>
                <w:rFonts w:hint="default" w:ascii="Times New Roman" w:hAnsi="宋体" w:eastAsia="宋体"/>
              </w:rPr>
              <w:t>-1</w:t>
            </w:r>
            <w:r>
              <w:rPr>
                <w:rStyle w:val="253"/>
                <w:rFonts w:hint="eastAsia" w:hAnsi="宋体"/>
                <w:lang w:val="en-US" w:eastAsia="zh-CN"/>
              </w:rPr>
              <w:t>7</w:t>
            </w:r>
            <w:r>
              <w:rPr>
                <w:rStyle w:val="253"/>
                <w:rFonts w:hint="default" w:ascii="Times New Roman" w:hAnsi="宋体" w:eastAsia="宋体"/>
              </w:rPr>
              <w:t>）：灯塔、洪水港浮游动物种类数较多，分别为24种、22种；其次为集成垸、双洲、江南、瓦湾、五马口、洞庭分别为16种、15种、14种、14种、13种、12种；荷叶洲、岳化自来水厂浮游动物种类数最少，分别11种和10种。不同采样断面浮游动物种类组成具有差异：灯塔、双洲浮游动物种类组成中以原生动物占优势，五马口、洪水港、集成垸、洞庭以轮虫，占优势，荷叶洲、岳化自来水厂以轮虫、枝角类占优势，江南、瓦湾以桡足类占优势。</w:t>
            </w:r>
          </w:p>
          <w:p>
            <w:r>
              <w:drawing>
                <wp:inline distT="0" distB="0" distL="114300" distR="114300">
                  <wp:extent cx="4761865" cy="4276090"/>
                  <wp:effectExtent l="0" t="0" r="635" b="10160"/>
                  <wp:docPr id="40" name="图片 36" descr="84}PLN4MMKT3OL%OD5K_HZ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36" descr="84}PLN4MMKT3OL%OD5K_HZ1"/>
                          <pic:cNvPicPr>
                            <a:picLocks noChangeAspect="1"/>
                          </pic:cNvPicPr>
                        </pic:nvPicPr>
                        <pic:blipFill>
                          <a:blip r:embed="rId23"/>
                          <a:stretch>
                            <a:fillRect/>
                          </a:stretch>
                        </pic:blipFill>
                        <pic:spPr>
                          <a:xfrm>
                            <a:off x="0" y="0"/>
                            <a:ext cx="4761865" cy="4276090"/>
                          </a:xfrm>
                          <a:prstGeom prst="rect">
                            <a:avLst/>
                          </a:prstGeom>
                          <a:noFill/>
                          <a:ln>
                            <a:noFill/>
                          </a:ln>
                        </pic:spPr>
                      </pic:pic>
                    </a:graphicData>
                  </a:graphic>
                </wp:inline>
              </w:drawing>
            </w:r>
          </w:p>
          <w:p>
            <w:pPr>
              <w:spacing w:line="480" w:lineRule="exact"/>
              <w:ind w:firstLine="361" w:firstLineChars="150"/>
              <w:jc w:val="center"/>
              <w:rPr>
                <w:rStyle w:val="253"/>
                <w:rFonts w:hint="default" w:ascii="Times New Roman" w:hAnsi="宋体" w:eastAsia="宋体"/>
                <w:b/>
              </w:rPr>
            </w:pPr>
            <w:r>
              <w:rPr>
                <w:rStyle w:val="253"/>
                <w:rFonts w:hint="default" w:ascii="Times New Roman" w:hAnsi="宋体" w:eastAsia="宋体"/>
                <w:b/>
              </w:rPr>
              <w:t>图3-1</w:t>
            </w:r>
            <w:r>
              <w:rPr>
                <w:rStyle w:val="253"/>
                <w:rFonts w:hint="eastAsia" w:hAnsi="宋体"/>
                <w:b/>
                <w:lang w:val="en-US" w:eastAsia="zh-CN"/>
              </w:rPr>
              <w:t>7</w:t>
            </w:r>
            <w:r>
              <w:rPr>
                <w:rStyle w:val="253"/>
                <w:rFonts w:hint="default" w:ascii="Times New Roman" w:hAnsi="宋体" w:eastAsia="宋体"/>
                <w:b/>
              </w:rPr>
              <w:t xml:space="preserve">  调查区域浮游动物种类组成</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洪水港→瓦湾→洞庭，浮游动物种类数减少，种类组成以小型浮游动物占优势逐渐转为大型浮游动物占优势。岳化自来水厂→荷叶洲，浮游动物种类数不变，但浮游动物种类组成以小型浮游动物轮虫占优势转为以大型浮游动物桡足类占优势（图3-1</w:t>
            </w:r>
            <w:r>
              <w:rPr>
                <w:rStyle w:val="253"/>
                <w:rFonts w:hint="eastAsia" w:hAnsi="宋体"/>
                <w:lang w:val="en-US" w:eastAsia="zh-CN"/>
              </w:rPr>
              <w:t>8</w:t>
            </w:r>
            <w:r>
              <w:rPr>
                <w:rStyle w:val="253"/>
                <w:rFonts w:hint="default" w:ascii="Times New Roman" w:hAnsi="宋体" w:eastAsia="宋体"/>
              </w:rPr>
              <w:t>）。</w:t>
            </w:r>
          </w:p>
          <w:p>
            <w:r>
              <w:drawing>
                <wp:inline distT="0" distB="0" distL="114300" distR="114300">
                  <wp:extent cx="5790565" cy="3295015"/>
                  <wp:effectExtent l="0" t="0" r="635" b="635"/>
                  <wp:docPr id="38" name="图片 37" descr="A51E]WMGA2NTZU]5Q7{Y$9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7" descr="A51E]WMGA2NTZU]5Q7{Y$9R"/>
                          <pic:cNvPicPr>
                            <a:picLocks noChangeAspect="1"/>
                          </pic:cNvPicPr>
                        </pic:nvPicPr>
                        <pic:blipFill>
                          <a:blip r:embed="rId24"/>
                          <a:stretch>
                            <a:fillRect/>
                          </a:stretch>
                        </pic:blipFill>
                        <pic:spPr>
                          <a:xfrm>
                            <a:off x="0" y="0"/>
                            <a:ext cx="5790565" cy="3295015"/>
                          </a:xfrm>
                          <a:prstGeom prst="rect">
                            <a:avLst/>
                          </a:prstGeom>
                          <a:noFill/>
                          <a:ln>
                            <a:noFill/>
                          </a:ln>
                        </pic:spPr>
                      </pic:pic>
                    </a:graphicData>
                  </a:graphic>
                </wp:inline>
              </w:drawing>
            </w:r>
          </w:p>
          <w:p>
            <w:pPr>
              <w:spacing w:line="480" w:lineRule="exact"/>
              <w:ind w:firstLine="361" w:firstLineChars="150"/>
              <w:jc w:val="center"/>
              <w:rPr>
                <w:rStyle w:val="253"/>
                <w:rFonts w:hint="default" w:ascii="Times New Roman" w:hAnsi="宋体" w:eastAsia="宋体"/>
                <w:b/>
              </w:rPr>
            </w:pPr>
            <w:r>
              <w:rPr>
                <w:rStyle w:val="253"/>
                <w:rFonts w:hint="default" w:ascii="Times New Roman" w:hAnsi="宋体" w:eastAsia="宋体"/>
                <w:b/>
              </w:rPr>
              <w:t>图3-1</w:t>
            </w:r>
            <w:r>
              <w:rPr>
                <w:rStyle w:val="253"/>
                <w:rFonts w:hint="eastAsia" w:hAnsi="宋体"/>
                <w:b/>
                <w:lang w:val="en-US" w:eastAsia="zh-CN"/>
              </w:rPr>
              <w:t>8</w:t>
            </w:r>
            <w:r>
              <w:rPr>
                <w:rStyle w:val="253"/>
                <w:rFonts w:hint="default" w:ascii="Times New Roman" w:hAnsi="宋体" w:eastAsia="宋体"/>
                <w:b/>
              </w:rPr>
              <w:t xml:space="preserve">   调查区域浮游动物种类空间分布示意图</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②密度组成：不同采样断面浮游动物密度具有差异（图</w:t>
            </w:r>
            <w:r>
              <w:rPr>
                <w:rStyle w:val="253"/>
                <w:rFonts w:hint="eastAsia" w:hAnsi="宋体"/>
                <w:lang w:val="en-US" w:eastAsia="zh-CN"/>
              </w:rPr>
              <w:t>3</w:t>
            </w:r>
            <w:r>
              <w:rPr>
                <w:rStyle w:val="253"/>
                <w:rFonts w:hint="default" w:ascii="Times New Roman" w:hAnsi="宋体" w:eastAsia="宋体"/>
              </w:rPr>
              <w:t>-</w:t>
            </w:r>
            <w:r>
              <w:rPr>
                <w:rStyle w:val="253"/>
                <w:rFonts w:hint="eastAsia" w:hAnsi="宋体"/>
                <w:lang w:val="en-US" w:eastAsia="zh-CN"/>
              </w:rPr>
              <w:t>19</w:t>
            </w:r>
            <w:r>
              <w:rPr>
                <w:rStyle w:val="253"/>
                <w:rFonts w:hint="default" w:ascii="Times New Roman" w:hAnsi="宋体" w:eastAsia="宋体"/>
              </w:rPr>
              <w:t>）：洪水港浮游动物密度最高（2004.5ind./L）；其次为岳化自来水厂（1856.6 ind./L）、灯塔（1643.6 ind./L）、双洲（1247.2 ind./L）、五马口、江南、集成垸、荷叶洲、瓦湾；洞庭浮游动物密度最低（449.5 ind./L）。不同采样断面浮游动物密度组成中均以原生动物占绝对优势，其次为轮虫；大型浮游动物枝角类、桡足类的密度相对较低。</w:t>
            </w:r>
          </w:p>
          <w:p>
            <w:pPr>
              <w:ind w:firstLine="240" w:firstLineChars="100"/>
            </w:pPr>
            <w:r>
              <w:drawing>
                <wp:inline distT="0" distB="0" distL="114300" distR="114300">
                  <wp:extent cx="4756785" cy="2860040"/>
                  <wp:effectExtent l="0" t="0" r="5715" b="16510"/>
                  <wp:docPr id="37" name="图片 38" descr="FN]5SA_W`8X9ZSOKPFB(D]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8" descr="FN]5SA_W`8X9ZSOKPFB(D]B"/>
                          <pic:cNvPicPr>
                            <a:picLocks noChangeAspect="1"/>
                          </pic:cNvPicPr>
                        </pic:nvPicPr>
                        <pic:blipFill>
                          <a:blip r:embed="rId25"/>
                          <a:stretch>
                            <a:fillRect/>
                          </a:stretch>
                        </pic:blipFill>
                        <pic:spPr>
                          <a:xfrm>
                            <a:off x="0" y="0"/>
                            <a:ext cx="4756785" cy="2860040"/>
                          </a:xfrm>
                          <a:prstGeom prst="rect">
                            <a:avLst/>
                          </a:prstGeom>
                          <a:noFill/>
                          <a:ln>
                            <a:noFill/>
                          </a:ln>
                        </pic:spPr>
                      </pic:pic>
                    </a:graphicData>
                  </a:graphic>
                </wp:inline>
              </w:drawing>
            </w:r>
          </w:p>
          <w:p>
            <w:pPr>
              <w:spacing w:line="480" w:lineRule="exact"/>
              <w:ind w:firstLine="361" w:firstLineChars="150"/>
              <w:jc w:val="center"/>
              <w:rPr>
                <w:rStyle w:val="253"/>
                <w:rFonts w:hint="default" w:ascii="Times New Roman" w:hAnsi="宋体" w:eastAsia="宋体"/>
                <w:b/>
              </w:rPr>
            </w:pPr>
            <w:r>
              <w:rPr>
                <w:rStyle w:val="253"/>
                <w:rFonts w:hint="default" w:ascii="Times New Roman" w:hAnsi="宋体" w:eastAsia="宋体"/>
                <w:b/>
              </w:rPr>
              <w:t>图3-</w:t>
            </w:r>
            <w:r>
              <w:rPr>
                <w:rStyle w:val="253"/>
                <w:rFonts w:hint="eastAsia" w:hAnsi="宋体"/>
                <w:b/>
                <w:lang w:val="en-US" w:eastAsia="zh-CN"/>
              </w:rPr>
              <w:t>19</w:t>
            </w:r>
            <w:r>
              <w:rPr>
                <w:rStyle w:val="253"/>
                <w:rFonts w:hint="default" w:ascii="Times New Roman" w:hAnsi="宋体" w:eastAsia="宋体"/>
                <w:b/>
              </w:rPr>
              <w:t xml:space="preserve">  调查区域浮游动物密度组成</w:t>
            </w:r>
          </w:p>
          <w:p>
            <w:r>
              <w:drawing>
                <wp:inline distT="0" distB="0" distL="114300" distR="114300">
                  <wp:extent cx="5609590" cy="3447415"/>
                  <wp:effectExtent l="0" t="0" r="10160" b="635"/>
                  <wp:docPr id="36" name="图片 39" descr="DZ~7VJJ6YGL1HF)60AR)V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9" descr="DZ~7VJJ6YGL1HF)60AR)VCO"/>
                          <pic:cNvPicPr>
                            <a:picLocks noChangeAspect="1"/>
                          </pic:cNvPicPr>
                        </pic:nvPicPr>
                        <pic:blipFill>
                          <a:blip r:embed="rId26"/>
                          <a:stretch>
                            <a:fillRect/>
                          </a:stretch>
                        </pic:blipFill>
                        <pic:spPr>
                          <a:xfrm>
                            <a:off x="0" y="0"/>
                            <a:ext cx="5609590" cy="3447415"/>
                          </a:xfrm>
                          <a:prstGeom prst="rect">
                            <a:avLst/>
                          </a:prstGeom>
                          <a:noFill/>
                          <a:ln>
                            <a:noFill/>
                          </a:ln>
                        </pic:spPr>
                      </pic:pic>
                    </a:graphicData>
                  </a:graphic>
                </wp:inline>
              </w:drawing>
            </w:r>
          </w:p>
          <w:p>
            <w:pPr>
              <w:spacing w:line="480" w:lineRule="exact"/>
              <w:ind w:firstLine="361" w:firstLineChars="150"/>
              <w:jc w:val="center"/>
              <w:rPr>
                <w:rStyle w:val="253"/>
                <w:rFonts w:hint="default" w:ascii="Times New Roman" w:hAnsi="宋体" w:eastAsia="宋体"/>
                <w:b/>
              </w:rPr>
            </w:pPr>
            <w:r>
              <w:rPr>
                <w:rStyle w:val="253"/>
                <w:rFonts w:hint="default" w:ascii="Times New Roman" w:hAnsi="宋体" w:eastAsia="宋体"/>
                <w:b/>
              </w:rPr>
              <w:t>图3-2</w:t>
            </w:r>
            <w:r>
              <w:rPr>
                <w:rStyle w:val="253"/>
                <w:rFonts w:hint="eastAsia" w:hAnsi="宋体"/>
                <w:b/>
                <w:lang w:val="en-US" w:eastAsia="zh-CN"/>
              </w:rPr>
              <w:t>0</w:t>
            </w:r>
            <w:r>
              <w:rPr>
                <w:rStyle w:val="253"/>
                <w:rFonts w:hint="default" w:ascii="Times New Roman" w:hAnsi="宋体" w:eastAsia="宋体"/>
                <w:b/>
              </w:rPr>
              <w:t xml:space="preserve">  调查区域浮游动物密度组成示意图</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洪水港→瓦湾→洞庭，浮游动物密度降低，浮游动物密度组成没有发生变化，均以原生动物占优势。荷叶洲→灯塔→双洲，浮游动物密度增加，密度组成以原生动物占优势，（图3-2</w:t>
            </w:r>
            <w:r>
              <w:rPr>
                <w:rStyle w:val="253"/>
                <w:rFonts w:hint="eastAsia" w:hAnsi="宋体"/>
                <w:lang w:val="en-US" w:eastAsia="zh-CN"/>
              </w:rPr>
              <w:t>0</w:t>
            </w:r>
            <w:r>
              <w:rPr>
                <w:rStyle w:val="253"/>
                <w:rFonts w:hint="default" w:ascii="Times New Roman" w:hAnsi="宋体" w:eastAsia="宋体"/>
              </w:rPr>
              <w:t>）。</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③生物量组成：不同采样断面浮游动物生物量具有差异（图3-2</w:t>
            </w:r>
            <w:r>
              <w:rPr>
                <w:rStyle w:val="253"/>
                <w:rFonts w:hint="eastAsia" w:hAnsi="宋体"/>
                <w:lang w:val="en-US" w:eastAsia="zh-CN"/>
              </w:rPr>
              <w:t>1</w:t>
            </w:r>
            <w:r>
              <w:rPr>
                <w:rStyle w:val="253"/>
                <w:rFonts w:hint="default" w:ascii="Times New Roman" w:hAnsi="宋体" w:eastAsia="宋体"/>
              </w:rPr>
              <w:t>）：洪水港浮游动物生物量最高（1590.7μg/L）；其次为集成垸（1079.5μg/L）、五马口（945.6μg/L）、双洲（812.6μg/L）、灯塔（801.2μg/L）、岳化自来水厂（789.4μg/L）、荷叶洲（620.7μg/L）；江南（314.5μg/L）、瓦湾（173.6μg/L）、洞庭（80.8μg/L）浮游动物生物量均较低。不同采样断面浮游动物生物量组成具有差异：五马口、江南、洪水港、灯塔、双洲浮游动物生物量组成中以枝角类占绝对优势；集成垸、洞庭、岳化自来水厂、荷叶洲浮游动物生物量组成中以枝角类、桡足类占优势。</w:t>
            </w:r>
          </w:p>
          <w:p>
            <w:pPr>
              <w:jc w:val="center"/>
            </w:pPr>
            <w:r>
              <w:drawing>
                <wp:inline distT="0" distB="0" distL="114300" distR="114300">
                  <wp:extent cx="4572635" cy="3652520"/>
                  <wp:effectExtent l="0" t="0" r="18415" b="5080"/>
                  <wp:docPr id="35" name="图片 40" descr="JP6OJ0SQGGPYFVK`R]}(W~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40" descr="JP6OJ0SQGGPYFVK`R]}(W~4"/>
                          <pic:cNvPicPr>
                            <a:picLocks noChangeAspect="1"/>
                          </pic:cNvPicPr>
                        </pic:nvPicPr>
                        <pic:blipFill>
                          <a:blip r:embed="rId27"/>
                          <a:stretch>
                            <a:fillRect/>
                          </a:stretch>
                        </pic:blipFill>
                        <pic:spPr>
                          <a:xfrm>
                            <a:off x="0" y="0"/>
                            <a:ext cx="4572635" cy="3652520"/>
                          </a:xfrm>
                          <a:prstGeom prst="rect">
                            <a:avLst/>
                          </a:prstGeom>
                          <a:noFill/>
                          <a:ln>
                            <a:noFill/>
                          </a:ln>
                        </pic:spPr>
                      </pic:pic>
                    </a:graphicData>
                  </a:graphic>
                </wp:inline>
              </w:drawing>
            </w:r>
          </w:p>
          <w:p>
            <w:pPr>
              <w:spacing w:line="480" w:lineRule="exact"/>
              <w:ind w:firstLine="361" w:firstLineChars="150"/>
              <w:jc w:val="center"/>
              <w:rPr>
                <w:rStyle w:val="253"/>
                <w:rFonts w:hint="default" w:ascii="Times New Roman" w:hAnsi="宋体" w:eastAsia="宋体"/>
                <w:b/>
              </w:rPr>
            </w:pPr>
            <w:r>
              <w:rPr>
                <w:rStyle w:val="253"/>
                <w:rFonts w:hint="default" w:ascii="Times New Roman" w:hAnsi="宋体" w:eastAsia="宋体"/>
                <w:b/>
              </w:rPr>
              <w:t>图3-2</w:t>
            </w:r>
            <w:r>
              <w:rPr>
                <w:rStyle w:val="253"/>
                <w:rFonts w:hint="eastAsia" w:hAnsi="宋体"/>
                <w:b/>
                <w:lang w:val="en-US" w:eastAsia="zh-CN"/>
              </w:rPr>
              <w:t>1</w:t>
            </w:r>
            <w:r>
              <w:rPr>
                <w:rStyle w:val="253"/>
                <w:rFonts w:hint="default" w:ascii="Times New Roman" w:hAnsi="宋体" w:eastAsia="宋体"/>
                <w:b/>
              </w:rPr>
              <w:t xml:space="preserve">   调查区域浮游动物生物量组成</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五马口→洪水港→洞庭，浮游动物生物量先增加后减少，浮游动物生物量组成以桡足类、枝角类共同占优势，转变为枝角类占优势。岳华自来水厂→灯塔→双洲，浮游动物生物量保持稳定，生物量组成以枝角类、桡足类共占优势，转变为枝角类占绝对优势。洪水港、集成垸、灯塔断面浮游动物生物量组成中轮虫占一定比例（图3-2</w:t>
            </w:r>
            <w:r>
              <w:rPr>
                <w:rStyle w:val="253"/>
                <w:rFonts w:hint="eastAsia" w:hAnsi="宋体"/>
                <w:lang w:val="en-US" w:eastAsia="zh-CN"/>
              </w:rPr>
              <w:t>2</w:t>
            </w:r>
            <w:r>
              <w:rPr>
                <w:rStyle w:val="253"/>
                <w:rFonts w:hint="default" w:ascii="Times New Roman" w:hAnsi="宋体" w:eastAsia="宋体"/>
              </w:rPr>
              <w:t>）。</w:t>
            </w:r>
          </w:p>
          <w:p>
            <w:pPr>
              <w:jc w:val="center"/>
            </w:pPr>
            <w:r>
              <w:drawing>
                <wp:inline distT="0" distB="0" distL="114300" distR="114300">
                  <wp:extent cx="5333365" cy="3275965"/>
                  <wp:effectExtent l="0" t="0" r="635" b="635"/>
                  <wp:docPr id="34" name="图片 41" descr="FOVJ}ZJH51KEQX8F`[{VV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41" descr="FOVJ}ZJH51KEQX8F`[{VVOT"/>
                          <pic:cNvPicPr>
                            <a:picLocks noChangeAspect="1"/>
                          </pic:cNvPicPr>
                        </pic:nvPicPr>
                        <pic:blipFill>
                          <a:blip r:embed="rId28"/>
                          <a:stretch>
                            <a:fillRect/>
                          </a:stretch>
                        </pic:blipFill>
                        <pic:spPr>
                          <a:xfrm>
                            <a:off x="0" y="0"/>
                            <a:ext cx="5333365" cy="3275965"/>
                          </a:xfrm>
                          <a:prstGeom prst="rect">
                            <a:avLst/>
                          </a:prstGeom>
                          <a:noFill/>
                          <a:ln>
                            <a:noFill/>
                          </a:ln>
                        </pic:spPr>
                      </pic:pic>
                    </a:graphicData>
                  </a:graphic>
                </wp:inline>
              </w:drawing>
            </w:r>
          </w:p>
          <w:p>
            <w:pPr>
              <w:spacing w:line="480" w:lineRule="exact"/>
              <w:ind w:firstLine="361" w:firstLineChars="150"/>
              <w:jc w:val="center"/>
              <w:rPr>
                <w:rStyle w:val="253"/>
                <w:rFonts w:hint="default" w:ascii="Times New Roman" w:hAnsi="宋体" w:eastAsia="宋体"/>
                <w:b/>
              </w:rPr>
            </w:pPr>
            <w:r>
              <w:rPr>
                <w:rStyle w:val="253"/>
                <w:rFonts w:hint="default" w:ascii="Times New Roman" w:hAnsi="宋体" w:eastAsia="宋体"/>
                <w:b/>
              </w:rPr>
              <w:t>图3-2</w:t>
            </w:r>
            <w:r>
              <w:rPr>
                <w:rStyle w:val="253"/>
                <w:rFonts w:hint="eastAsia" w:hAnsi="宋体"/>
                <w:b/>
                <w:lang w:val="en-US" w:eastAsia="zh-CN"/>
              </w:rPr>
              <w:t>2</w:t>
            </w:r>
            <w:r>
              <w:rPr>
                <w:rStyle w:val="253"/>
                <w:rFonts w:hint="default" w:ascii="Times New Roman" w:hAnsi="宋体" w:eastAsia="宋体"/>
                <w:b/>
              </w:rPr>
              <w:t xml:space="preserve">  调查区域浮游动物生物量空间分布示意图</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3）底栖动物</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调查水域共检出底栖动物20种，其中，水生昆虫7种、甲壳动物2种、软体动物6种、寡毛类3种及其他类群2种。不同采样断面底栖动物种类数具有差异（图</w:t>
            </w:r>
            <w:r>
              <w:rPr>
                <w:rStyle w:val="253"/>
                <w:rFonts w:hint="eastAsia" w:hAnsi="宋体"/>
                <w:lang w:val="en-US" w:eastAsia="zh-CN"/>
              </w:rPr>
              <w:t>3</w:t>
            </w:r>
            <w:r>
              <w:rPr>
                <w:rStyle w:val="253"/>
                <w:rFonts w:hint="default" w:ascii="Times New Roman" w:hAnsi="宋体" w:eastAsia="宋体"/>
              </w:rPr>
              <w:t>-2</w:t>
            </w:r>
            <w:r>
              <w:rPr>
                <w:rStyle w:val="253"/>
                <w:rFonts w:hint="eastAsia" w:hAnsi="宋体"/>
                <w:lang w:val="en-US" w:eastAsia="zh-CN"/>
              </w:rPr>
              <w:t>3</w:t>
            </w:r>
            <w:r>
              <w:rPr>
                <w:rStyle w:val="253"/>
                <w:rFonts w:hint="default" w:ascii="Times New Roman" w:hAnsi="宋体" w:eastAsia="宋体"/>
              </w:rPr>
              <w:t>）：灯塔底栖动物种类数最多（15种），其次为洪水港（14种）、双洲（12种）、集成垸（11种）、江南（9种）、岳化自来水厂（9种）、荷叶洲（7种）、五马口（6种）、洞庭（4种），瓦湾底栖动物种类数最少，仅检出2种。</w:t>
            </w:r>
          </w:p>
          <w:p>
            <w:pPr>
              <w:jc w:val="center"/>
            </w:pPr>
            <w:r>
              <w:drawing>
                <wp:inline distT="0" distB="0" distL="114300" distR="114300">
                  <wp:extent cx="4399915" cy="3542665"/>
                  <wp:effectExtent l="0" t="0" r="635" b="635"/>
                  <wp:docPr id="48" name="图片 42" descr="9)PVNIXY1(%IEBO3BZ~QQF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2" descr="9)PVNIXY1(%IEBO3BZ~QQFN"/>
                          <pic:cNvPicPr>
                            <a:picLocks noChangeAspect="1"/>
                          </pic:cNvPicPr>
                        </pic:nvPicPr>
                        <pic:blipFill>
                          <a:blip r:embed="rId29"/>
                          <a:stretch>
                            <a:fillRect/>
                          </a:stretch>
                        </pic:blipFill>
                        <pic:spPr>
                          <a:xfrm>
                            <a:off x="0" y="0"/>
                            <a:ext cx="4399915" cy="3542665"/>
                          </a:xfrm>
                          <a:prstGeom prst="rect">
                            <a:avLst/>
                          </a:prstGeom>
                          <a:noFill/>
                          <a:ln>
                            <a:noFill/>
                          </a:ln>
                        </pic:spPr>
                      </pic:pic>
                    </a:graphicData>
                  </a:graphic>
                </wp:inline>
              </w:drawing>
            </w:r>
          </w:p>
          <w:p>
            <w:pPr>
              <w:spacing w:line="480" w:lineRule="exact"/>
              <w:ind w:firstLine="361" w:firstLineChars="150"/>
              <w:jc w:val="center"/>
              <w:rPr>
                <w:rStyle w:val="253"/>
                <w:rFonts w:hint="default" w:ascii="Times New Roman" w:hAnsi="宋体" w:eastAsia="宋体"/>
                <w:b/>
              </w:rPr>
            </w:pPr>
            <w:r>
              <w:rPr>
                <w:rStyle w:val="253"/>
                <w:rFonts w:hint="default" w:ascii="Times New Roman" w:hAnsi="宋体" w:eastAsia="宋体"/>
                <w:b/>
              </w:rPr>
              <w:t>图3-2</w:t>
            </w:r>
            <w:r>
              <w:rPr>
                <w:rStyle w:val="253"/>
                <w:rFonts w:hint="eastAsia" w:hAnsi="宋体"/>
                <w:b/>
                <w:lang w:val="en-US" w:eastAsia="zh-CN"/>
              </w:rPr>
              <w:t>3</w:t>
            </w:r>
            <w:r>
              <w:rPr>
                <w:rStyle w:val="253"/>
                <w:rFonts w:hint="default" w:ascii="Times New Roman" w:hAnsi="宋体" w:eastAsia="宋体"/>
                <w:b/>
              </w:rPr>
              <w:t xml:space="preserve">  调查区域底栖生物种类空间分布</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不同采样断面底栖动物密度具有差异（图</w:t>
            </w:r>
            <w:r>
              <w:rPr>
                <w:rStyle w:val="253"/>
                <w:rFonts w:hint="eastAsia" w:hAnsi="宋体"/>
                <w:lang w:val="en-US" w:eastAsia="zh-CN"/>
              </w:rPr>
              <w:t>3</w:t>
            </w:r>
            <w:r>
              <w:rPr>
                <w:rStyle w:val="253"/>
                <w:rFonts w:hint="default" w:ascii="Times New Roman" w:hAnsi="宋体" w:eastAsia="宋体"/>
              </w:rPr>
              <w:t>-2</w:t>
            </w:r>
            <w:r>
              <w:rPr>
                <w:rStyle w:val="253"/>
                <w:rFonts w:hint="eastAsia" w:hAnsi="宋体"/>
                <w:lang w:val="en-US" w:eastAsia="zh-CN"/>
              </w:rPr>
              <w:t>3</w:t>
            </w:r>
            <w:r>
              <w:rPr>
                <w:rStyle w:val="253"/>
                <w:rFonts w:hint="default" w:ascii="Times New Roman" w:hAnsi="宋体" w:eastAsia="宋体"/>
              </w:rPr>
              <w:t>）：洪水港底栖动物密度最高（2640ind./m</w:t>
            </w:r>
            <w:r>
              <w:rPr>
                <w:rStyle w:val="253"/>
                <w:rFonts w:hint="default" w:ascii="Times New Roman" w:hAnsi="宋体" w:eastAsia="宋体"/>
                <w:vertAlign w:val="superscript"/>
              </w:rPr>
              <w:t>2</w:t>
            </w:r>
            <w:r>
              <w:rPr>
                <w:rStyle w:val="253"/>
                <w:rFonts w:hint="default" w:ascii="Times New Roman" w:hAnsi="宋体" w:eastAsia="宋体"/>
              </w:rPr>
              <w:t>），其次为灯塔（1467ind./ m</w:t>
            </w:r>
            <w:r>
              <w:rPr>
                <w:rStyle w:val="253"/>
                <w:rFonts w:hint="default" w:ascii="Times New Roman" w:hAnsi="宋体" w:eastAsia="宋体"/>
                <w:vertAlign w:val="superscript"/>
              </w:rPr>
              <w:t>2</w:t>
            </w:r>
            <w:r>
              <w:rPr>
                <w:rStyle w:val="253"/>
                <w:rFonts w:hint="default" w:ascii="Times New Roman" w:hAnsi="宋体" w:eastAsia="宋体"/>
              </w:rPr>
              <w:t>）、双洲（965 ind./ m</w:t>
            </w:r>
            <w:r>
              <w:rPr>
                <w:rStyle w:val="253"/>
                <w:rFonts w:hint="default" w:ascii="Times New Roman" w:hAnsi="宋体" w:eastAsia="宋体"/>
                <w:vertAlign w:val="superscript"/>
              </w:rPr>
              <w:t>2</w:t>
            </w:r>
            <w:r>
              <w:rPr>
                <w:rStyle w:val="253"/>
                <w:rFonts w:hint="default" w:ascii="Times New Roman" w:hAnsi="宋体" w:eastAsia="宋体"/>
              </w:rPr>
              <w:t>）、五马口（657 ind./ m</w:t>
            </w:r>
            <w:r>
              <w:rPr>
                <w:rStyle w:val="253"/>
                <w:rFonts w:hint="default" w:ascii="Times New Roman" w:hAnsi="宋体" w:eastAsia="宋体"/>
                <w:vertAlign w:val="superscript"/>
              </w:rPr>
              <w:t>2</w:t>
            </w:r>
            <w:r>
              <w:rPr>
                <w:rStyle w:val="253"/>
                <w:rFonts w:hint="default" w:ascii="Times New Roman" w:hAnsi="宋体" w:eastAsia="宋体"/>
              </w:rPr>
              <w:t>）、集成垸（582 ind./ m</w:t>
            </w:r>
            <w:r>
              <w:rPr>
                <w:rStyle w:val="253"/>
                <w:rFonts w:hint="default" w:ascii="Times New Roman" w:hAnsi="宋体" w:eastAsia="宋体"/>
                <w:vertAlign w:val="superscript"/>
              </w:rPr>
              <w:t>2</w:t>
            </w:r>
            <w:r>
              <w:rPr>
                <w:rStyle w:val="253"/>
                <w:rFonts w:hint="default" w:ascii="Times New Roman" w:hAnsi="宋体" w:eastAsia="宋体"/>
              </w:rPr>
              <w:t>）、荷叶洲（650 ind./ m</w:t>
            </w:r>
            <w:r>
              <w:rPr>
                <w:rStyle w:val="253"/>
                <w:rFonts w:hint="default" w:ascii="Times New Roman" w:hAnsi="宋体" w:eastAsia="宋体"/>
                <w:vertAlign w:val="superscript"/>
              </w:rPr>
              <w:t>2</w:t>
            </w:r>
            <w:r>
              <w:rPr>
                <w:rStyle w:val="253"/>
                <w:rFonts w:hint="default" w:ascii="Times New Roman" w:hAnsi="宋体" w:eastAsia="宋体"/>
              </w:rPr>
              <w:t>）、岳化自来水厂（504 ind./ m</w:t>
            </w:r>
            <w:r>
              <w:rPr>
                <w:rStyle w:val="253"/>
                <w:rFonts w:hint="default" w:ascii="Times New Roman" w:hAnsi="宋体" w:eastAsia="宋体"/>
                <w:vertAlign w:val="superscript"/>
              </w:rPr>
              <w:t>2</w:t>
            </w:r>
            <w:r>
              <w:rPr>
                <w:rStyle w:val="253"/>
                <w:rFonts w:hint="default" w:ascii="Times New Roman" w:hAnsi="宋体" w:eastAsia="宋体"/>
              </w:rPr>
              <w:t>）、江南（320 ind./ m</w:t>
            </w:r>
            <w:r>
              <w:rPr>
                <w:rStyle w:val="253"/>
                <w:rFonts w:hint="default" w:ascii="Times New Roman" w:hAnsi="宋体" w:eastAsia="宋体"/>
                <w:vertAlign w:val="superscript"/>
              </w:rPr>
              <w:t>2</w:t>
            </w:r>
            <w:r>
              <w:rPr>
                <w:rStyle w:val="253"/>
                <w:rFonts w:hint="default" w:ascii="Times New Roman" w:hAnsi="宋体" w:eastAsia="宋体"/>
              </w:rPr>
              <w:t>）、瓦湾（249 ind./ m</w:t>
            </w:r>
            <w:r>
              <w:rPr>
                <w:rStyle w:val="253"/>
                <w:rFonts w:hint="default" w:ascii="Times New Roman" w:hAnsi="宋体" w:eastAsia="宋体"/>
                <w:vertAlign w:val="superscript"/>
              </w:rPr>
              <w:t>2</w:t>
            </w:r>
            <w:r>
              <w:rPr>
                <w:rStyle w:val="253"/>
                <w:rFonts w:hint="default" w:ascii="Times New Roman" w:hAnsi="宋体" w:eastAsia="宋体"/>
              </w:rPr>
              <w:t>），洞庭底栖动物密度最低（201ind./ m</w:t>
            </w:r>
            <w:r>
              <w:rPr>
                <w:rStyle w:val="253"/>
                <w:rFonts w:hint="default" w:ascii="Times New Roman" w:hAnsi="宋体" w:eastAsia="宋体"/>
                <w:vertAlign w:val="superscript"/>
              </w:rPr>
              <w:t>2</w:t>
            </w:r>
            <w:r>
              <w:rPr>
                <w:rStyle w:val="253"/>
                <w:rFonts w:hint="default" w:ascii="Times New Roman" w:hAnsi="宋体" w:eastAsia="宋体"/>
              </w:rPr>
              <w:t>）。</w:t>
            </w:r>
          </w:p>
          <w:p>
            <w:pPr>
              <w:jc w:val="center"/>
            </w:pPr>
            <w:r>
              <w:drawing>
                <wp:inline distT="0" distB="0" distL="114300" distR="114300">
                  <wp:extent cx="4974590" cy="2896235"/>
                  <wp:effectExtent l="0" t="0" r="16510" b="18415"/>
                  <wp:docPr id="47" name="图片 43" descr="TXCOI1Q3RBG72NA@M1PK5@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3" descr="TXCOI1Q3RBG72NA@M1PK5@S"/>
                          <pic:cNvPicPr>
                            <a:picLocks noChangeAspect="1"/>
                          </pic:cNvPicPr>
                        </pic:nvPicPr>
                        <pic:blipFill>
                          <a:blip r:embed="rId30"/>
                          <a:stretch>
                            <a:fillRect/>
                          </a:stretch>
                        </pic:blipFill>
                        <pic:spPr>
                          <a:xfrm>
                            <a:off x="0" y="0"/>
                            <a:ext cx="4974590" cy="2896235"/>
                          </a:xfrm>
                          <a:prstGeom prst="rect">
                            <a:avLst/>
                          </a:prstGeom>
                          <a:noFill/>
                          <a:ln>
                            <a:noFill/>
                          </a:ln>
                        </pic:spPr>
                      </pic:pic>
                    </a:graphicData>
                  </a:graphic>
                </wp:inline>
              </w:drawing>
            </w:r>
          </w:p>
          <w:p>
            <w:pPr>
              <w:spacing w:line="480" w:lineRule="exact"/>
              <w:ind w:firstLine="361" w:firstLineChars="150"/>
              <w:jc w:val="center"/>
              <w:rPr>
                <w:rStyle w:val="253"/>
                <w:rFonts w:hint="default" w:ascii="Times New Roman" w:hAnsi="宋体" w:eastAsia="宋体"/>
                <w:b/>
              </w:rPr>
            </w:pPr>
            <w:r>
              <w:rPr>
                <w:rStyle w:val="253"/>
                <w:rFonts w:hint="default" w:ascii="Times New Roman" w:hAnsi="宋体" w:eastAsia="宋体"/>
                <w:b/>
              </w:rPr>
              <w:t>图3-2</w:t>
            </w:r>
            <w:r>
              <w:rPr>
                <w:rStyle w:val="253"/>
                <w:rFonts w:hint="eastAsia" w:hAnsi="宋体"/>
                <w:b/>
                <w:lang w:val="en-US" w:eastAsia="zh-CN"/>
              </w:rPr>
              <w:t>4</w:t>
            </w:r>
            <w:r>
              <w:rPr>
                <w:rStyle w:val="253"/>
                <w:rFonts w:hint="default" w:ascii="Times New Roman" w:hAnsi="宋体" w:eastAsia="宋体"/>
                <w:b/>
              </w:rPr>
              <w:t xml:space="preserve">   调查区域底栖生物密度空间分布</w:t>
            </w:r>
          </w:p>
          <w:p>
            <w:pPr>
              <w:spacing w:line="480" w:lineRule="exact"/>
              <w:ind w:firstLine="360" w:firstLineChars="150"/>
              <w:rPr>
                <w:rStyle w:val="253"/>
                <w:rFonts w:hint="default" w:ascii="Times New Roman" w:hAnsi="宋体" w:eastAsia="宋体"/>
              </w:rPr>
            </w:pPr>
            <w:r>
              <w:rPr>
                <w:rStyle w:val="253"/>
                <w:rFonts w:hint="default" w:ascii="Times New Roman" w:hAnsi="宋体" w:eastAsia="宋体"/>
              </w:rPr>
              <w:t>不同采样断面底栖动物生物量具有差异（图3-2</w:t>
            </w:r>
            <w:r>
              <w:rPr>
                <w:rStyle w:val="253"/>
                <w:rFonts w:hint="eastAsia" w:hAnsi="宋体"/>
                <w:lang w:val="en-US" w:eastAsia="zh-CN"/>
              </w:rPr>
              <w:t>4</w:t>
            </w:r>
            <w:r>
              <w:rPr>
                <w:rStyle w:val="253"/>
                <w:rFonts w:hint="default" w:ascii="Times New Roman" w:hAnsi="宋体" w:eastAsia="宋体"/>
              </w:rPr>
              <w:t>）：洪水港底栖动物生物量最高（145.6g/m</w:t>
            </w:r>
            <w:r>
              <w:rPr>
                <w:rStyle w:val="253"/>
                <w:rFonts w:hint="default" w:ascii="Times New Roman" w:hAnsi="宋体" w:eastAsia="宋体"/>
                <w:vertAlign w:val="superscript"/>
              </w:rPr>
              <w:t>2</w:t>
            </w:r>
            <w:r>
              <w:rPr>
                <w:rStyle w:val="253"/>
                <w:rFonts w:hint="default" w:ascii="Times New Roman" w:hAnsi="宋体" w:eastAsia="宋体"/>
              </w:rPr>
              <w:t>），其次为灯塔（126.2 g/ m</w:t>
            </w:r>
            <w:r>
              <w:rPr>
                <w:rStyle w:val="253"/>
                <w:rFonts w:hint="default" w:ascii="Times New Roman" w:hAnsi="宋体" w:eastAsia="宋体"/>
                <w:vertAlign w:val="superscript"/>
              </w:rPr>
              <w:t>2</w:t>
            </w:r>
            <w:r>
              <w:rPr>
                <w:rStyle w:val="253"/>
                <w:rFonts w:hint="default" w:ascii="Times New Roman" w:hAnsi="宋体" w:eastAsia="宋体"/>
              </w:rPr>
              <w:t>）、双洲（100.6 g/ m</w:t>
            </w:r>
            <w:r>
              <w:rPr>
                <w:rStyle w:val="253"/>
                <w:rFonts w:hint="default" w:ascii="Times New Roman" w:hAnsi="宋体" w:eastAsia="宋体"/>
                <w:vertAlign w:val="superscript"/>
              </w:rPr>
              <w:t>2</w:t>
            </w:r>
            <w:r>
              <w:rPr>
                <w:rStyle w:val="253"/>
                <w:rFonts w:hint="default" w:ascii="Times New Roman" w:hAnsi="宋体" w:eastAsia="宋体"/>
              </w:rPr>
              <w:t>）、五马口（95.4 g/ m</w:t>
            </w:r>
            <w:r>
              <w:rPr>
                <w:rStyle w:val="253"/>
                <w:rFonts w:hint="default" w:ascii="Times New Roman" w:hAnsi="宋体" w:eastAsia="宋体"/>
                <w:vertAlign w:val="superscript"/>
              </w:rPr>
              <w:t>2</w:t>
            </w:r>
            <w:r>
              <w:rPr>
                <w:rStyle w:val="253"/>
                <w:rFonts w:hint="default" w:ascii="Times New Roman" w:hAnsi="宋体" w:eastAsia="宋体"/>
              </w:rPr>
              <w:t>）、集成垸（90.2g/ m</w:t>
            </w:r>
            <w:r>
              <w:rPr>
                <w:rStyle w:val="253"/>
                <w:rFonts w:hint="default" w:ascii="Times New Roman" w:hAnsi="宋体" w:eastAsia="宋体"/>
                <w:vertAlign w:val="superscript"/>
              </w:rPr>
              <w:t>2</w:t>
            </w:r>
            <w:r>
              <w:rPr>
                <w:rStyle w:val="253"/>
                <w:rFonts w:hint="default" w:ascii="Times New Roman" w:hAnsi="宋体" w:eastAsia="宋体"/>
              </w:rPr>
              <w:t>）、荷叶洲（75.9 g/ m</w:t>
            </w:r>
            <w:r>
              <w:rPr>
                <w:rStyle w:val="253"/>
                <w:rFonts w:hint="default" w:ascii="Times New Roman" w:hAnsi="宋体" w:eastAsia="宋体"/>
                <w:vertAlign w:val="superscript"/>
              </w:rPr>
              <w:t>2</w:t>
            </w:r>
            <w:r>
              <w:rPr>
                <w:rStyle w:val="253"/>
                <w:rFonts w:hint="default" w:ascii="Times New Roman" w:hAnsi="宋体" w:eastAsia="宋体"/>
              </w:rPr>
              <w:t>）、岳化自来水厂（66.2g/ m</w:t>
            </w:r>
            <w:r>
              <w:rPr>
                <w:rStyle w:val="253"/>
                <w:rFonts w:hint="default" w:ascii="Times New Roman" w:hAnsi="宋体" w:eastAsia="宋体"/>
                <w:vertAlign w:val="superscript"/>
              </w:rPr>
              <w:t>2</w:t>
            </w:r>
            <w:r>
              <w:rPr>
                <w:rStyle w:val="253"/>
                <w:rFonts w:hint="default" w:ascii="Times New Roman" w:hAnsi="宋体" w:eastAsia="宋体"/>
              </w:rPr>
              <w:t>）、江南（50.3 g/ m</w:t>
            </w:r>
            <w:r>
              <w:rPr>
                <w:rStyle w:val="253"/>
                <w:rFonts w:hint="default" w:ascii="Times New Roman" w:hAnsi="宋体" w:eastAsia="宋体"/>
                <w:vertAlign w:val="superscript"/>
              </w:rPr>
              <w:t>2</w:t>
            </w:r>
            <w:r>
              <w:rPr>
                <w:rStyle w:val="253"/>
                <w:rFonts w:hint="default" w:ascii="Times New Roman" w:hAnsi="宋体" w:eastAsia="宋体"/>
              </w:rPr>
              <w:t>），瓦湾（32.4g/ m</w:t>
            </w:r>
            <w:r>
              <w:rPr>
                <w:rStyle w:val="253"/>
                <w:rFonts w:hint="default" w:ascii="Times New Roman" w:hAnsi="宋体" w:eastAsia="宋体"/>
                <w:vertAlign w:val="superscript"/>
              </w:rPr>
              <w:t>2</w:t>
            </w:r>
            <w:r>
              <w:rPr>
                <w:rStyle w:val="253"/>
                <w:rFonts w:hint="default" w:ascii="Times New Roman" w:hAnsi="宋体" w:eastAsia="宋体"/>
              </w:rPr>
              <w:t>）、洞庭（26.7 g/ m</w:t>
            </w:r>
            <w:r>
              <w:rPr>
                <w:rStyle w:val="253"/>
                <w:rFonts w:hint="default" w:ascii="Times New Roman" w:hAnsi="宋体" w:eastAsia="宋体"/>
                <w:vertAlign w:val="superscript"/>
              </w:rPr>
              <w:t>2</w:t>
            </w:r>
            <w:r>
              <w:rPr>
                <w:rStyle w:val="253"/>
                <w:rFonts w:hint="default" w:ascii="Times New Roman" w:hAnsi="宋体" w:eastAsia="宋体"/>
              </w:rPr>
              <w:t>）底栖动物生物量均较低。</w:t>
            </w:r>
          </w:p>
          <w:p>
            <w:r>
              <w:drawing>
                <wp:inline distT="0" distB="0" distL="114300" distR="114300">
                  <wp:extent cx="4857115" cy="2961640"/>
                  <wp:effectExtent l="0" t="0" r="635" b="10160"/>
                  <wp:docPr id="44" name="图片 44" descr="[KJ]MS80%A6AD(0TBMJNVF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KJ]MS80%A6AD(0TBMJNVF9"/>
                          <pic:cNvPicPr>
                            <a:picLocks noChangeAspect="1"/>
                          </pic:cNvPicPr>
                        </pic:nvPicPr>
                        <pic:blipFill>
                          <a:blip r:embed="rId31"/>
                          <a:stretch>
                            <a:fillRect/>
                          </a:stretch>
                        </pic:blipFill>
                        <pic:spPr>
                          <a:xfrm>
                            <a:off x="0" y="0"/>
                            <a:ext cx="4857115" cy="2961640"/>
                          </a:xfrm>
                          <a:prstGeom prst="rect">
                            <a:avLst/>
                          </a:prstGeom>
                          <a:noFill/>
                          <a:ln>
                            <a:noFill/>
                          </a:ln>
                        </pic:spPr>
                      </pic:pic>
                    </a:graphicData>
                  </a:graphic>
                </wp:inline>
              </w:drawing>
            </w:r>
          </w:p>
          <w:p>
            <w:pPr>
              <w:spacing w:line="480" w:lineRule="exact"/>
              <w:ind w:firstLine="361" w:firstLineChars="150"/>
              <w:jc w:val="center"/>
            </w:pPr>
            <w:r>
              <w:rPr>
                <w:rStyle w:val="253"/>
                <w:rFonts w:hint="default" w:ascii="Times New Roman" w:hAnsi="宋体" w:eastAsia="宋体"/>
                <w:b/>
              </w:rPr>
              <w:t>图3-2</w:t>
            </w:r>
            <w:r>
              <w:rPr>
                <w:rStyle w:val="253"/>
                <w:rFonts w:hint="eastAsia" w:hAnsi="宋体"/>
                <w:b/>
                <w:lang w:val="en-US" w:eastAsia="zh-CN"/>
              </w:rPr>
              <w:t>5</w:t>
            </w:r>
            <w:r>
              <w:rPr>
                <w:rStyle w:val="253"/>
                <w:rFonts w:hint="default" w:ascii="Times New Roman" w:hAnsi="宋体" w:eastAsia="宋体"/>
                <w:b/>
              </w:rPr>
              <w:t xml:space="preserve">  调查区域底栖生物生物量空间分布</w:t>
            </w:r>
          </w:p>
          <w:p>
            <w:pPr>
              <w:spacing w:before="163" w:beforeLines="50" w:line="360" w:lineRule="auto"/>
              <w:outlineLvl w:val="1"/>
              <w:rPr>
                <w:b/>
                <w:szCs w:val="28"/>
              </w:rPr>
            </w:pPr>
            <w:bookmarkStart w:id="15" w:name="_Toc486323927"/>
            <w:bookmarkStart w:id="16" w:name="_Toc19406"/>
            <w:r>
              <w:rPr>
                <w:b/>
                <w:szCs w:val="28"/>
              </w:rPr>
              <w:t>6.2</w:t>
            </w:r>
            <w:r>
              <w:rPr>
                <w:rFonts w:hint="eastAsia"/>
                <w:b/>
                <w:szCs w:val="28"/>
              </w:rPr>
              <w:t>主要生态问题调查</w:t>
            </w:r>
            <w:bookmarkEnd w:id="15"/>
            <w:bookmarkEnd w:id="16"/>
          </w:p>
          <w:p>
            <w:pPr>
              <w:spacing w:line="360" w:lineRule="auto"/>
              <w:ind w:firstLine="482" w:firstLineChars="200"/>
              <w:rPr>
                <w:b/>
              </w:rPr>
            </w:pPr>
            <w:r>
              <w:rPr>
                <w:b/>
              </w:rPr>
              <w:t>（1）生态环境</w:t>
            </w:r>
            <w:r>
              <w:rPr>
                <w:rFonts w:hint="eastAsia"/>
                <w:b/>
              </w:rPr>
              <w:t>破坏化</w:t>
            </w:r>
          </w:p>
          <w:p>
            <w:pPr>
              <w:spacing w:line="360" w:lineRule="auto"/>
              <w:ind w:firstLine="480" w:firstLineChars="200"/>
            </w:pPr>
            <w:r>
              <w:t>由于评价区位于</w:t>
            </w:r>
            <w:r>
              <w:rPr>
                <w:rFonts w:hint="eastAsia"/>
              </w:rPr>
              <w:t>自然保护区实验区边界</w:t>
            </w:r>
            <w:r>
              <w:t>处，人为活动</w:t>
            </w:r>
            <w:r>
              <w:rPr>
                <w:rFonts w:hint="eastAsia"/>
              </w:rPr>
              <w:t>频繁</w:t>
            </w:r>
            <w:r>
              <w:t>，且农业生产历史悠久，当地的原生阔叶林已经几乎不存在，主要为</w:t>
            </w:r>
            <w:r>
              <w:rPr>
                <w:rFonts w:hint="eastAsia"/>
              </w:rPr>
              <w:t>樟树林、芦苇灌草丛、野燕麦、狗尾草、益母草草丛和栽培植被</w:t>
            </w:r>
            <w:r>
              <w:t>，</w:t>
            </w:r>
            <w:r>
              <w:rPr>
                <w:rFonts w:hint="eastAsia"/>
              </w:rPr>
              <w:t>无</w:t>
            </w:r>
            <w:r>
              <w:t>原生森林面积</w:t>
            </w:r>
            <w:r>
              <w:rPr>
                <w:rFonts w:hint="eastAsia"/>
              </w:rPr>
              <w:t>，由于受</w:t>
            </w:r>
            <w:r>
              <w:t>人为活动的影响，评价区植物种类</w:t>
            </w:r>
            <w:r>
              <w:rPr>
                <w:rFonts w:hint="eastAsia"/>
              </w:rPr>
              <w:t>趋于草本化，乔灌木种类</w:t>
            </w:r>
            <w:r>
              <w:t>少，植物丰富度</w:t>
            </w:r>
            <w:r>
              <w:rPr>
                <w:rFonts w:hint="eastAsia"/>
              </w:rPr>
              <w:t>逐渐降</w:t>
            </w:r>
            <w:r>
              <w:t>低，生态环境</w:t>
            </w:r>
            <w:r>
              <w:rPr>
                <w:rFonts w:hint="eastAsia"/>
              </w:rPr>
              <w:t>逐渐被破坏</w:t>
            </w:r>
            <w:r>
              <w:t>。</w:t>
            </w:r>
          </w:p>
          <w:p>
            <w:pPr>
              <w:spacing w:line="360" w:lineRule="auto"/>
              <w:ind w:firstLine="482" w:firstLineChars="200"/>
              <w:rPr>
                <w:b/>
              </w:rPr>
            </w:pPr>
            <w:r>
              <w:rPr>
                <w:b/>
              </w:rPr>
              <w:t>（2）动物、植物群落组成受人为活动影响较大</w:t>
            </w:r>
          </w:p>
          <w:p>
            <w:pPr>
              <w:spacing w:line="360" w:lineRule="auto"/>
              <w:ind w:firstLine="480" w:firstLineChars="200"/>
            </w:pPr>
            <w:r>
              <w:t>经调查，评价区共记哺乳动物仅10中，两栖动物11种，鸟类52种。动物种类偏少，且以亚热带林灌、草地动物群种类居多，如（中华大蟾蜍</w:t>
            </w:r>
            <w:r>
              <w:rPr>
                <w:i/>
                <w:iCs/>
              </w:rPr>
              <w:t>Bufo bufo gargarizans</w:t>
            </w:r>
            <w:r>
              <w:t>）、黑斑侧褶蛙（</w:t>
            </w:r>
            <w:r>
              <w:rPr>
                <w:i/>
                <w:iCs/>
              </w:rPr>
              <w:t xml:space="preserve"> Pelophylax nigromaculata</w:t>
            </w:r>
            <w:r>
              <w:t>）、家燕（</w:t>
            </w:r>
            <w:r>
              <w:rPr>
                <w:i/>
                <w:iCs/>
              </w:rPr>
              <w:t>Hirundo rustica</w:t>
            </w:r>
            <w:r>
              <w:t>）、八哥（</w:t>
            </w:r>
            <w:r>
              <w:rPr>
                <w:i/>
                <w:iCs/>
              </w:rPr>
              <w:t>Acridoteres cristatellus</w:t>
            </w:r>
            <w:r>
              <w:t>）、白鹡鸰（</w:t>
            </w:r>
            <w:r>
              <w:rPr>
                <w:i/>
                <w:iCs/>
              </w:rPr>
              <w:t>M. alba</w:t>
            </w:r>
            <w:r>
              <w:t>）、喜鹊（</w:t>
            </w:r>
            <w:r>
              <w:rPr>
                <w:i/>
                <w:iCs/>
              </w:rPr>
              <w:t>Pica pica</w:t>
            </w:r>
            <w:r>
              <w:t>）、麻雀（</w:t>
            </w:r>
            <w:r>
              <w:rPr>
                <w:i/>
                <w:iCs/>
              </w:rPr>
              <w:t>Passer montanus</w:t>
            </w:r>
            <w:r>
              <w:t>）等，多为与人类伴居的种类，而亚热带林灌动物群种类较为难见，</w:t>
            </w:r>
            <w:r>
              <w:rPr>
                <w:rFonts w:hint="eastAsia"/>
              </w:rPr>
              <w:t>植物群落以人工樟树为主，</w:t>
            </w:r>
            <w:r>
              <w:t>动</w:t>
            </w:r>
            <w:r>
              <w:rPr>
                <w:rFonts w:hint="eastAsia"/>
              </w:rPr>
              <w:t>植</w:t>
            </w:r>
            <w:r>
              <w:t>物群落组成受人为活动影响较大。</w:t>
            </w:r>
          </w:p>
          <w:p>
            <w:pPr>
              <w:spacing w:line="360" w:lineRule="auto"/>
              <w:ind w:firstLine="482" w:firstLineChars="200"/>
              <w:rPr>
                <w:b/>
              </w:rPr>
            </w:pPr>
            <w:r>
              <w:rPr>
                <w:rFonts w:hint="eastAsia"/>
                <w:b/>
              </w:rPr>
              <w:t>（3）受到黑杨等外来物种的入侵</w:t>
            </w:r>
          </w:p>
          <w:p>
            <w:pPr>
              <w:spacing w:line="360" w:lineRule="auto"/>
              <w:ind w:firstLine="480" w:firstLineChars="200"/>
            </w:pPr>
            <w:r>
              <w:rPr>
                <w:rFonts w:hint="eastAsia"/>
              </w:rPr>
              <w:t>根据现场调查，项目</w:t>
            </w:r>
            <w:r>
              <w:rPr>
                <w:rFonts w:hint="eastAsia" w:hAnsi="宋体"/>
              </w:rPr>
              <w:t>周边</w:t>
            </w:r>
            <w:r>
              <w:rPr>
                <w:rFonts w:hint="eastAsia"/>
              </w:rPr>
              <w:t>零星分布有黑杨</w:t>
            </w:r>
            <w:r>
              <w:rPr>
                <w:rFonts w:hint="eastAsia"/>
                <w:i/>
              </w:rPr>
              <w:t>（</w:t>
            </w:r>
            <w:r>
              <w:rPr>
                <w:i/>
              </w:rPr>
              <w:t>Populus nigra</w:t>
            </w:r>
            <w:r>
              <w:rPr>
                <w:rFonts w:hint="eastAsia"/>
                <w:i/>
              </w:rPr>
              <w:t>），</w:t>
            </w:r>
            <w:r>
              <w:rPr>
                <w:rFonts w:hint="eastAsia"/>
              </w:rPr>
              <w:t>黑杨原产于美洲。黑杨生命力和繁殖力较强，通过有意或无意的人类活动而被引入本区域会严重破坏生物的多样性，打破区域平衡，改变或破坏当地的生态环境。</w:t>
            </w:r>
          </w:p>
          <w:p>
            <w:pPr>
              <w:spacing w:line="360" w:lineRule="auto"/>
              <w:ind w:firstLine="480" w:firstLineChars="200"/>
            </w:pPr>
            <w:r>
              <w:rPr>
                <w:rFonts w:hint="eastAsia"/>
              </w:rPr>
              <w:t>本环评要求施工人员严禁将黑杨种苗带进自然保护区核心区、缓冲区和实验区内；严禁使用黑杨作为行道树，已栽种的黑杨用梧桐、樟树等冠幅较大的物种逐渐代替。</w:t>
            </w:r>
          </w:p>
          <w:p>
            <w:pPr>
              <w:spacing w:before="163" w:beforeLines="50" w:line="360" w:lineRule="auto"/>
              <w:outlineLvl w:val="1"/>
              <w:rPr>
                <w:b/>
                <w:szCs w:val="28"/>
              </w:rPr>
            </w:pPr>
            <w:bookmarkStart w:id="17" w:name="_Toc3460"/>
            <w:r>
              <w:rPr>
                <w:b/>
                <w:szCs w:val="28"/>
              </w:rPr>
              <w:t>6.</w:t>
            </w:r>
            <w:r>
              <w:rPr>
                <w:rFonts w:hint="eastAsia"/>
                <w:b/>
                <w:szCs w:val="28"/>
                <w:lang w:val="en-US" w:eastAsia="zh-CN"/>
              </w:rPr>
              <w:t>3</w:t>
            </w:r>
            <w:r>
              <w:rPr>
                <w:rFonts w:hint="eastAsia"/>
                <w:b/>
                <w:szCs w:val="28"/>
              </w:rPr>
              <w:t>评价区生态现状综合评价</w:t>
            </w:r>
            <w:bookmarkEnd w:id="17"/>
          </w:p>
          <w:p>
            <w:pPr>
              <w:shd w:val="solid" w:color="FFFFFF" w:fill="auto"/>
              <w:autoSpaceDN w:val="0"/>
              <w:spacing w:line="360" w:lineRule="auto"/>
              <w:ind w:firstLine="480" w:firstLineChars="200"/>
            </w:pPr>
            <w:r>
              <w:rPr>
                <w:rFonts w:hint="eastAsia"/>
                <w:lang w:val="zh-CN"/>
              </w:rPr>
              <w:t>根据调查和路线踏勘，项目评价范围内</w:t>
            </w:r>
            <w:r>
              <w:rPr>
                <w:rFonts w:hint="eastAsia"/>
              </w:rPr>
              <w:t>有</w:t>
            </w:r>
            <w:r>
              <w:t>蕨类植物</w:t>
            </w:r>
            <w:r>
              <w:rPr>
                <w:rFonts w:hint="eastAsia"/>
              </w:rPr>
              <w:t>9科11属13种、</w:t>
            </w:r>
            <w:r>
              <w:t>祼子植物</w:t>
            </w:r>
            <w:r>
              <w:rPr>
                <w:rFonts w:hint="eastAsia"/>
              </w:rPr>
              <w:t>2科3属4种、被子植物86科302属372种，</w:t>
            </w:r>
            <w:r>
              <w:rPr>
                <w:rFonts w:hint="eastAsia"/>
                <w:lang w:val="zh-CN"/>
              </w:rPr>
              <w:t>最主要的群落类型为</w:t>
            </w:r>
            <w:r>
              <w:rPr>
                <w:rFonts w:hint="eastAsia"/>
              </w:rPr>
              <w:t>樟树林、芦苇灌草丛、野燕麦、狗尾草、益母草草丛和栽培植被。本工程周边以农业、城市生态系统和水生生态区为典型特征，林地以人工林为主，长期以来受人类活动的影响强烈，项目评价范围内无天然林的植被群落。在项目周边区植被与物种多样性一般，均为常见种，除樟树为国家二级保护植物外。评价范围内人类活动很频繁，未发现列入中国珍稀濒危植物红皮书和濒危野生动植物种国际贸易公约附录中的物种和受国家重点保护的动物。</w:t>
            </w:r>
          </w:p>
          <w:p>
            <w:pPr>
              <w:spacing w:line="360" w:lineRule="auto"/>
              <w:ind w:firstLine="480" w:firstLineChars="200"/>
            </w:pPr>
            <w:r>
              <w:t>经实地调查和查阅资料，</w:t>
            </w:r>
            <w:r>
              <w:rPr>
                <w:rFonts w:hint="eastAsia"/>
              </w:rPr>
              <w:t>评价范围内记录约</w:t>
            </w:r>
            <w:r>
              <w:t>蕨类植物</w:t>
            </w:r>
            <w:r>
              <w:rPr>
                <w:rFonts w:hint="eastAsia"/>
              </w:rPr>
              <w:t>9科11属13种，</w:t>
            </w:r>
            <w:r>
              <w:t>祼子植物</w:t>
            </w:r>
            <w:r>
              <w:rPr>
                <w:rFonts w:hint="eastAsia"/>
              </w:rPr>
              <w:t>2科3属4种，被子植物86科302属372种，哺乳动物10种，爬行动物11种，两栖动物8种，鸟类61中。项目周边动物种类中，国家三有动物居多，未发现有国家珍稀濒危动物分布</w:t>
            </w:r>
            <w:r>
              <w:t>。</w:t>
            </w:r>
          </w:p>
          <w:p>
            <w:pPr>
              <w:shd w:val="solid" w:color="FFFFFF" w:fill="auto"/>
              <w:autoSpaceDN w:val="0"/>
              <w:spacing w:line="360" w:lineRule="auto"/>
              <w:ind w:firstLine="480" w:firstLineChars="200"/>
            </w:pPr>
            <w:r>
              <w:rPr>
                <w:rFonts w:hint="eastAsia"/>
              </w:rPr>
              <w:t>评价区内未发现有自然遗迹分布，主要面临的生态问题有生态环境退化，植物、动物群落受人为活动影响较大。</w:t>
            </w:r>
          </w:p>
          <w:p>
            <w:pPr>
              <w:shd w:val="solid" w:color="FFFFFF" w:fill="auto"/>
              <w:autoSpaceDN w:val="0"/>
              <w:spacing w:line="360" w:lineRule="auto"/>
              <w:ind w:firstLine="480" w:firstLineChars="200"/>
            </w:pPr>
            <w:r>
              <w:rPr>
                <w:rFonts w:hint="eastAsia"/>
              </w:rPr>
              <w:t xml:space="preserve"> </w:t>
            </w:r>
            <w:r>
              <w:t>项目</w:t>
            </w:r>
            <w:r>
              <w:rPr>
                <w:rFonts w:hint="eastAsia"/>
              </w:rPr>
              <w:t>依托</w:t>
            </w:r>
            <w:r>
              <w:t>取水泵站</w:t>
            </w:r>
            <w:r>
              <w:rPr>
                <w:rFonts w:hint="eastAsia"/>
              </w:rPr>
              <w:t>，洪水港取水泵站</w:t>
            </w:r>
            <w:r>
              <w:t>位于长江监利段四大家鱼国家级水产种质资源保护区的实验区</w:t>
            </w:r>
            <w:r>
              <w:rPr>
                <w:rFonts w:hint="eastAsia"/>
              </w:rPr>
              <w:t>，距上游核心区下边界14.471km，距下游核心区上边界8.324km</w:t>
            </w:r>
            <w:r>
              <w:t>。</w:t>
            </w:r>
            <w:r>
              <w:rPr>
                <w:rFonts w:hint="eastAsia"/>
              </w:rPr>
              <w:t xml:space="preserve"> 本工程位于东洞庭湖自然保护区实验区、东洞庭湖湖泊湿地保护区实验区，远离东洞庭湖国家级保护区重要物种栖息地，且相对远离洞庭湖湿地，工程周边人类活动频繁且历史悠长，现以农业、城市生态系统和水生生态系统为特征。</w:t>
            </w:r>
          </w:p>
          <w:p>
            <w:pPr>
              <w:shd w:val="solid" w:color="FFFFFF" w:fill="auto"/>
              <w:autoSpaceDN w:val="0"/>
              <w:spacing w:line="360" w:lineRule="auto"/>
              <w:ind w:firstLine="480" w:firstLineChars="200"/>
            </w:pPr>
          </w:p>
          <w:p/>
          <w:p>
            <w:pPr>
              <w:pStyle w:val="3"/>
              <w:spacing w:line="480" w:lineRule="exact"/>
              <w:ind w:firstLine="482" w:firstLineChars="200"/>
              <w:rPr>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9073" w:type="dxa"/>
          </w:tcPr>
          <w:p>
            <w:pPr>
              <w:pStyle w:val="31"/>
              <w:snapToGrid w:val="0"/>
              <w:spacing w:before="163" w:beforeLines="50"/>
              <w:ind w:firstLine="0" w:firstLineChars="0"/>
            </w:pPr>
            <w:r>
              <w:t>主要环境保护目标（列出名单及保护级别）：</w:t>
            </w:r>
          </w:p>
          <w:p>
            <w:pPr>
              <w:shd w:val="solid" w:color="FFFFFF" w:fill="auto"/>
              <w:autoSpaceDN w:val="0"/>
              <w:spacing w:line="360" w:lineRule="auto"/>
              <w:ind w:firstLine="482" w:firstLineChars="200"/>
            </w:pPr>
            <w:r>
              <w:rPr>
                <w:rFonts w:hint="eastAsia"/>
                <w:b/>
                <w:bCs/>
              </w:rPr>
              <w:t>环境空气</w:t>
            </w:r>
            <w:r>
              <w:rPr>
                <w:rFonts w:hint="eastAsia"/>
              </w:rPr>
              <w:t>：建设项目评价区内的环境保护目标的环境空气质量，应达到国家《环境空气质量标准》（GB3095-2012）中一级标准要求；</w:t>
            </w:r>
          </w:p>
          <w:p>
            <w:pPr>
              <w:shd w:val="solid" w:color="FFFFFF" w:fill="auto"/>
              <w:autoSpaceDN w:val="0"/>
              <w:spacing w:line="360" w:lineRule="auto"/>
              <w:ind w:firstLine="482" w:firstLineChars="200"/>
            </w:pPr>
            <w:r>
              <w:rPr>
                <w:rFonts w:hint="eastAsia"/>
                <w:b/>
                <w:bCs/>
              </w:rPr>
              <w:t>地表水环境</w:t>
            </w:r>
            <w:r>
              <w:rPr>
                <w:rFonts w:hint="eastAsia"/>
              </w:rPr>
              <w:t>：建设项目评价区内的环境保护目标的地表水环境质量，应达到国家《地表水环境质量标准》（GB3838-2002）</w:t>
            </w:r>
            <w:r>
              <w:rPr>
                <w:rFonts w:hint="eastAsia" w:ascii="宋体" w:hAnsi="宋体" w:cs="宋体"/>
              </w:rPr>
              <w:t>Ⅱ</w:t>
            </w:r>
            <w:r>
              <w:rPr>
                <w:rFonts w:hint="eastAsia"/>
              </w:rPr>
              <w:t>类标准要求；</w:t>
            </w:r>
          </w:p>
          <w:p>
            <w:pPr>
              <w:shd w:val="solid" w:color="FFFFFF" w:fill="auto"/>
              <w:autoSpaceDN w:val="0"/>
              <w:spacing w:line="360" w:lineRule="auto"/>
              <w:ind w:firstLine="482" w:firstLineChars="200"/>
            </w:pPr>
            <w:r>
              <w:rPr>
                <w:rFonts w:hint="eastAsia"/>
                <w:b/>
                <w:bCs/>
              </w:rPr>
              <w:t>地下水环境</w:t>
            </w:r>
            <w:r>
              <w:rPr>
                <w:rFonts w:hint="eastAsia"/>
              </w:rPr>
              <w:t>：建设项目评价区内的地下水环境质量应达到《地下水质量标准》（GB/T14848-2017）III 类标准要求；</w:t>
            </w:r>
          </w:p>
          <w:p>
            <w:pPr>
              <w:shd w:val="solid" w:color="FFFFFF" w:fill="auto"/>
              <w:autoSpaceDN w:val="0"/>
              <w:spacing w:line="360" w:lineRule="auto"/>
              <w:ind w:firstLine="482" w:firstLineChars="200"/>
            </w:pPr>
            <w:r>
              <w:rPr>
                <w:rFonts w:hint="eastAsia"/>
                <w:b/>
                <w:bCs/>
              </w:rPr>
              <w:t>声环境</w:t>
            </w:r>
            <w:r>
              <w:rPr>
                <w:rFonts w:hint="eastAsia"/>
              </w:rPr>
              <w:t>：《声环境质量标准》（GB3096-2008）</w:t>
            </w:r>
            <w:r>
              <w:rPr>
                <w:rFonts w:hint="eastAsia" w:ascii="宋体" w:hAnsi="宋体" w:cs="宋体"/>
              </w:rPr>
              <w:t>Ⅱ</w:t>
            </w:r>
            <w:r>
              <w:rPr>
                <w:rFonts w:hint="eastAsia"/>
              </w:rPr>
              <w:t xml:space="preserve"> 类标准要求。项目的噪声、废气在经过有效的处置后对周围影响较小。</w:t>
            </w:r>
          </w:p>
          <w:p>
            <w:pPr>
              <w:shd w:val="solid" w:color="FFFFFF" w:fill="auto"/>
              <w:autoSpaceDN w:val="0"/>
              <w:spacing w:line="360" w:lineRule="auto"/>
              <w:ind w:firstLine="482" w:firstLineChars="200"/>
              <w:rPr>
                <w:b/>
                <w:bCs/>
              </w:rPr>
            </w:pPr>
            <w:r>
              <w:rPr>
                <w:rFonts w:hint="eastAsia"/>
                <w:b/>
                <w:bCs/>
              </w:rPr>
              <w:t>土壤、底泥现状：</w:t>
            </w:r>
            <w:r>
              <w:rPr>
                <w:rFonts w:hint="eastAsia"/>
              </w:rPr>
              <w:t>底泥和土壤环境应达到《土壤环境质量 农用地土壤污染风险管控标准（试行）》（GB 15618-2018）标准要求。</w:t>
            </w:r>
          </w:p>
          <w:p>
            <w:pPr>
              <w:shd w:val="solid" w:color="FFFFFF" w:fill="auto"/>
              <w:autoSpaceDN w:val="0"/>
              <w:spacing w:line="360" w:lineRule="auto"/>
              <w:ind w:firstLine="480" w:firstLineChars="200"/>
            </w:pPr>
            <w:r>
              <w:rPr>
                <w:rFonts w:hint="eastAsia"/>
              </w:rPr>
              <w:t>综上所述，本项目噪声、粉尘、废气对周围环境影响不大，不会改变当地功能区划。</w:t>
            </w:r>
          </w:p>
          <w:p>
            <w:pPr>
              <w:spacing w:line="480" w:lineRule="exact"/>
              <w:ind w:firstLine="480" w:firstLineChars="200"/>
            </w:pPr>
          </w:p>
          <w:p>
            <w:pPr>
              <w:spacing w:line="480" w:lineRule="exact"/>
              <w:ind w:firstLine="480" w:firstLineChars="200"/>
            </w:pPr>
          </w:p>
          <w:p>
            <w:pPr>
              <w:spacing w:line="480" w:lineRule="exact"/>
              <w:ind w:firstLine="480" w:firstLineChars="200"/>
            </w:pPr>
          </w:p>
          <w:p>
            <w:pPr>
              <w:spacing w:line="480" w:lineRule="exact"/>
              <w:ind w:firstLine="480" w:firstLineChars="200"/>
            </w:pPr>
            <w:r>
              <w:t>项目主要环境保护目标详见表3-</w:t>
            </w:r>
            <w:r>
              <w:rPr>
                <w:rFonts w:hint="eastAsia"/>
                <w:lang w:val="en-US" w:eastAsia="zh-CN"/>
              </w:rPr>
              <w:t>26</w:t>
            </w:r>
            <w:r>
              <w:t>。</w:t>
            </w:r>
          </w:p>
          <w:p>
            <w:pPr>
              <w:spacing w:line="480" w:lineRule="exact"/>
              <w:jc w:val="center"/>
              <w:rPr>
                <w:u w:val="single"/>
              </w:rPr>
            </w:pPr>
            <w:r>
              <w:rPr>
                <w:b/>
                <w:bCs/>
                <w:u w:val="single"/>
              </w:rPr>
              <w:t>表3-</w:t>
            </w:r>
            <w:r>
              <w:rPr>
                <w:rFonts w:hint="eastAsia"/>
                <w:b/>
                <w:bCs/>
                <w:u w:val="single"/>
                <w:lang w:val="en-US" w:eastAsia="zh-CN"/>
              </w:rPr>
              <w:t>26</w:t>
            </w:r>
            <w:r>
              <w:rPr>
                <w:b/>
                <w:bCs/>
                <w:u w:val="single"/>
              </w:rPr>
              <w:t xml:space="preserve"> 环境保护目标</w:t>
            </w:r>
          </w:p>
          <w:tbl>
            <w:tblPr>
              <w:tblStyle w:val="44"/>
              <w:tblW w:w="87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1"/>
              <w:gridCol w:w="1521"/>
              <w:gridCol w:w="1424"/>
              <w:gridCol w:w="905"/>
              <w:gridCol w:w="1434"/>
              <w:gridCol w:w="774"/>
              <w:gridCol w:w="856"/>
              <w:gridCol w:w="9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71" w:type="dxa"/>
                  <w:vMerge w:val="restart"/>
                  <w:shd w:val="clear" w:color="auto" w:fill="auto"/>
                  <w:vAlign w:val="center"/>
                </w:tcPr>
                <w:p>
                  <w:pPr>
                    <w:pStyle w:val="3"/>
                    <w:jc w:val="center"/>
                    <w:rPr>
                      <w:b w:val="0"/>
                      <w:bCs w:val="0"/>
                      <w:sz w:val="21"/>
                      <w:szCs w:val="21"/>
                    </w:rPr>
                  </w:pPr>
                  <w:bookmarkStart w:id="18" w:name="_Toc448763342"/>
                  <w:r>
                    <w:rPr>
                      <w:b w:val="0"/>
                      <w:bCs w:val="0"/>
                      <w:sz w:val="21"/>
                      <w:szCs w:val="21"/>
                    </w:rPr>
                    <w:t>名称</w:t>
                  </w:r>
                </w:p>
              </w:tc>
              <w:tc>
                <w:tcPr>
                  <w:tcW w:w="2945" w:type="dxa"/>
                  <w:gridSpan w:val="2"/>
                  <w:shd w:val="clear" w:color="auto" w:fill="auto"/>
                  <w:vAlign w:val="center"/>
                </w:tcPr>
                <w:p>
                  <w:pPr>
                    <w:pStyle w:val="3"/>
                    <w:jc w:val="center"/>
                    <w:rPr>
                      <w:b w:val="0"/>
                      <w:bCs w:val="0"/>
                      <w:sz w:val="21"/>
                      <w:szCs w:val="21"/>
                    </w:rPr>
                  </w:pPr>
                  <w:r>
                    <w:rPr>
                      <w:b w:val="0"/>
                      <w:bCs w:val="0"/>
                      <w:sz w:val="21"/>
                      <w:szCs w:val="21"/>
                    </w:rPr>
                    <w:t>坐标/m</w:t>
                  </w:r>
                </w:p>
              </w:tc>
              <w:tc>
                <w:tcPr>
                  <w:tcW w:w="905" w:type="dxa"/>
                  <w:vMerge w:val="restart"/>
                  <w:shd w:val="clear" w:color="auto" w:fill="auto"/>
                  <w:vAlign w:val="center"/>
                </w:tcPr>
                <w:p>
                  <w:pPr>
                    <w:pStyle w:val="3"/>
                    <w:jc w:val="center"/>
                    <w:rPr>
                      <w:b w:val="0"/>
                      <w:bCs w:val="0"/>
                      <w:sz w:val="21"/>
                      <w:szCs w:val="21"/>
                    </w:rPr>
                  </w:pPr>
                  <w:r>
                    <w:rPr>
                      <w:b w:val="0"/>
                      <w:bCs w:val="0"/>
                      <w:sz w:val="21"/>
                      <w:szCs w:val="21"/>
                    </w:rPr>
                    <w:t>保护</w:t>
                  </w:r>
                </w:p>
                <w:p>
                  <w:pPr>
                    <w:pStyle w:val="3"/>
                    <w:jc w:val="center"/>
                    <w:rPr>
                      <w:b w:val="0"/>
                      <w:bCs w:val="0"/>
                      <w:sz w:val="21"/>
                      <w:szCs w:val="21"/>
                    </w:rPr>
                  </w:pPr>
                  <w:r>
                    <w:rPr>
                      <w:b w:val="0"/>
                      <w:bCs w:val="0"/>
                      <w:sz w:val="21"/>
                      <w:szCs w:val="21"/>
                    </w:rPr>
                    <w:t>对象</w:t>
                  </w:r>
                </w:p>
              </w:tc>
              <w:tc>
                <w:tcPr>
                  <w:tcW w:w="1434" w:type="dxa"/>
                  <w:vMerge w:val="restart"/>
                  <w:shd w:val="clear" w:color="auto" w:fill="auto"/>
                  <w:vAlign w:val="center"/>
                </w:tcPr>
                <w:p>
                  <w:pPr>
                    <w:pStyle w:val="3"/>
                    <w:jc w:val="center"/>
                    <w:rPr>
                      <w:b w:val="0"/>
                      <w:bCs w:val="0"/>
                      <w:sz w:val="21"/>
                      <w:szCs w:val="21"/>
                    </w:rPr>
                  </w:pPr>
                  <w:r>
                    <w:rPr>
                      <w:b w:val="0"/>
                      <w:bCs w:val="0"/>
                      <w:sz w:val="21"/>
                      <w:szCs w:val="21"/>
                    </w:rPr>
                    <w:t>保护</w:t>
                  </w:r>
                </w:p>
                <w:p>
                  <w:pPr>
                    <w:pStyle w:val="3"/>
                    <w:jc w:val="center"/>
                    <w:rPr>
                      <w:b w:val="0"/>
                      <w:bCs w:val="0"/>
                      <w:sz w:val="21"/>
                      <w:szCs w:val="21"/>
                    </w:rPr>
                  </w:pPr>
                  <w:r>
                    <w:rPr>
                      <w:rFonts w:hint="eastAsia"/>
                      <w:b w:val="0"/>
                      <w:bCs w:val="0"/>
                      <w:sz w:val="21"/>
                      <w:szCs w:val="21"/>
                    </w:rPr>
                    <w:t>内容</w:t>
                  </w:r>
                </w:p>
              </w:tc>
              <w:tc>
                <w:tcPr>
                  <w:tcW w:w="774" w:type="dxa"/>
                  <w:vMerge w:val="restart"/>
                  <w:shd w:val="clear" w:color="auto" w:fill="auto"/>
                  <w:vAlign w:val="center"/>
                </w:tcPr>
                <w:p>
                  <w:pPr>
                    <w:pStyle w:val="3"/>
                    <w:jc w:val="center"/>
                    <w:rPr>
                      <w:b w:val="0"/>
                      <w:bCs w:val="0"/>
                      <w:sz w:val="21"/>
                      <w:szCs w:val="21"/>
                    </w:rPr>
                  </w:pPr>
                  <w:r>
                    <w:rPr>
                      <w:b w:val="0"/>
                      <w:bCs w:val="0"/>
                      <w:sz w:val="21"/>
                      <w:szCs w:val="21"/>
                    </w:rPr>
                    <w:t>环境</w:t>
                  </w:r>
                </w:p>
                <w:p>
                  <w:pPr>
                    <w:pStyle w:val="3"/>
                    <w:jc w:val="center"/>
                    <w:rPr>
                      <w:b w:val="0"/>
                      <w:bCs w:val="0"/>
                      <w:sz w:val="21"/>
                      <w:szCs w:val="21"/>
                    </w:rPr>
                  </w:pPr>
                  <w:r>
                    <w:rPr>
                      <w:b w:val="0"/>
                      <w:bCs w:val="0"/>
                      <w:sz w:val="21"/>
                      <w:szCs w:val="21"/>
                    </w:rPr>
                    <w:t>功能区</w:t>
                  </w:r>
                </w:p>
              </w:tc>
              <w:tc>
                <w:tcPr>
                  <w:tcW w:w="856" w:type="dxa"/>
                  <w:vMerge w:val="restart"/>
                  <w:shd w:val="clear" w:color="auto" w:fill="auto"/>
                  <w:vAlign w:val="center"/>
                </w:tcPr>
                <w:p>
                  <w:pPr>
                    <w:pStyle w:val="3"/>
                    <w:jc w:val="center"/>
                    <w:rPr>
                      <w:b w:val="0"/>
                      <w:bCs w:val="0"/>
                      <w:sz w:val="21"/>
                      <w:szCs w:val="21"/>
                    </w:rPr>
                  </w:pPr>
                  <w:r>
                    <w:rPr>
                      <w:b w:val="0"/>
                      <w:bCs w:val="0"/>
                      <w:sz w:val="21"/>
                      <w:szCs w:val="21"/>
                    </w:rPr>
                    <w:t>相对项目方位</w:t>
                  </w:r>
                </w:p>
              </w:tc>
              <w:tc>
                <w:tcPr>
                  <w:tcW w:w="962" w:type="dxa"/>
                  <w:vMerge w:val="restart"/>
                  <w:shd w:val="clear" w:color="auto" w:fill="auto"/>
                  <w:vAlign w:val="center"/>
                </w:tcPr>
                <w:p>
                  <w:pPr>
                    <w:pStyle w:val="3"/>
                    <w:jc w:val="center"/>
                    <w:rPr>
                      <w:b w:val="0"/>
                      <w:bCs w:val="0"/>
                      <w:sz w:val="21"/>
                      <w:szCs w:val="21"/>
                    </w:rPr>
                  </w:pPr>
                  <w:r>
                    <w:rPr>
                      <w:b w:val="0"/>
                      <w:bCs w:val="0"/>
                      <w:sz w:val="21"/>
                      <w:szCs w:val="21"/>
                    </w:rPr>
                    <w:t>相对</w:t>
                  </w:r>
                  <w:r>
                    <w:rPr>
                      <w:rFonts w:hint="eastAsia"/>
                      <w:b w:val="0"/>
                      <w:bCs w:val="0"/>
                      <w:sz w:val="21"/>
                      <w:szCs w:val="21"/>
                    </w:rPr>
                    <w:t>项目</w:t>
                  </w:r>
                  <w:r>
                    <w:rPr>
                      <w:b w:val="0"/>
                      <w:bCs w:val="0"/>
                      <w:sz w:val="21"/>
                      <w:szCs w:val="21"/>
                    </w:rPr>
                    <w:t>距离/m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71" w:type="dxa"/>
                  <w:vMerge w:val="continue"/>
                  <w:shd w:val="clear" w:color="auto" w:fill="auto"/>
                  <w:vAlign w:val="center"/>
                </w:tcPr>
                <w:p>
                  <w:pPr>
                    <w:pStyle w:val="3"/>
                    <w:jc w:val="center"/>
                    <w:rPr>
                      <w:b w:val="0"/>
                      <w:bCs w:val="0"/>
                      <w:sz w:val="21"/>
                      <w:szCs w:val="21"/>
                    </w:rPr>
                  </w:pPr>
                </w:p>
              </w:tc>
              <w:tc>
                <w:tcPr>
                  <w:tcW w:w="1521" w:type="dxa"/>
                  <w:shd w:val="clear" w:color="auto" w:fill="auto"/>
                  <w:vAlign w:val="center"/>
                </w:tcPr>
                <w:p>
                  <w:pPr>
                    <w:pStyle w:val="3"/>
                    <w:jc w:val="center"/>
                    <w:rPr>
                      <w:b w:val="0"/>
                      <w:bCs w:val="0"/>
                      <w:sz w:val="21"/>
                      <w:szCs w:val="21"/>
                    </w:rPr>
                  </w:pPr>
                  <w:r>
                    <w:rPr>
                      <w:b w:val="0"/>
                      <w:bCs w:val="0"/>
                      <w:sz w:val="21"/>
                      <w:szCs w:val="21"/>
                    </w:rPr>
                    <w:t>X</w:t>
                  </w:r>
                </w:p>
              </w:tc>
              <w:tc>
                <w:tcPr>
                  <w:tcW w:w="1424" w:type="dxa"/>
                  <w:shd w:val="clear" w:color="auto" w:fill="auto"/>
                  <w:vAlign w:val="center"/>
                </w:tcPr>
                <w:p>
                  <w:pPr>
                    <w:pStyle w:val="3"/>
                    <w:jc w:val="center"/>
                    <w:rPr>
                      <w:b w:val="0"/>
                      <w:bCs w:val="0"/>
                      <w:sz w:val="21"/>
                      <w:szCs w:val="21"/>
                    </w:rPr>
                  </w:pPr>
                  <w:r>
                    <w:rPr>
                      <w:b w:val="0"/>
                      <w:bCs w:val="0"/>
                      <w:sz w:val="21"/>
                      <w:szCs w:val="21"/>
                    </w:rPr>
                    <w:t>Y</w:t>
                  </w:r>
                </w:p>
              </w:tc>
              <w:tc>
                <w:tcPr>
                  <w:tcW w:w="905" w:type="dxa"/>
                  <w:vMerge w:val="continue"/>
                  <w:shd w:val="clear" w:color="auto" w:fill="auto"/>
                  <w:vAlign w:val="center"/>
                </w:tcPr>
                <w:p>
                  <w:pPr>
                    <w:pStyle w:val="3"/>
                    <w:jc w:val="center"/>
                    <w:rPr>
                      <w:b w:val="0"/>
                      <w:bCs w:val="0"/>
                      <w:sz w:val="21"/>
                      <w:szCs w:val="21"/>
                    </w:rPr>
                  </w:pPr>
                </w:p>
              </w:tc>
              <w:tc>
                <w:tcPr>
                  <w:tcW w:w="1434" w:type="dxa"/>
                  <w:vMerge w:val="continue"/>
                  <w:shd w:val="clear" w:color="auto" w:fill="auto"/>
                  <w:vAlign w:val="center"/>
                </w:tcPr>
                <w:p>
                  <w:pPr>
                    <w:pStyle w:val="3"/>
                    <w:jc w:val="center"/>
                    <w:rPr>
                      <w:b w:val="0"/>
                      <w:bCs w:val="0"/>
                      <w:sz w:val="21"/>
                      <w:szCs w:val="21"/>
                    </w:rPr>
                  </w:pPr>
                </w:p>
              </w:tc>
              <w:tc>
                <w:tcPr>
                  <w:tcW w:w="774" w:type="dxa"/>
                  <w:vMerge w:val="continue"/>
                  <w:shd w:val="clear" w:color="auto" w:fill="auto"/>
                  <w:vAlign w:val="center"/>
                </w:tcPr>
                <w:p>
                  <w:pPr>
                    <w:pStyle w:val="3"/>
                    <w:jc w:val="center"/>
                    <w:rPr>
                      <w:b w:val="0"/>
                      <w:bCs w:val="0"/>
                      <w:sz w:val="21"/>
                      <w:szCs w:val="21"/>
                    </w:rPr>
                  </w:pPr>
                </w:p>
              </w:tc>
              <w:tc>
                <w:tcPr>
                  <w:tcW w:w="856" w:type="dxa"/>
                  <w:vMerge w:val="continue"/>
                  <w:shd w:val="clear" w:color="auto" w:fill="auto"/>
                  <w:vAlign w:val="center"/>
                </w:tcPr>
                <w:p>
                  <w:pPr>
                    <w:pStyle w:val="3"/>
                    <w:jc w:val="center"/>
                    <w:rPr>
                      <w:b w:val="0"/>
                      <w:bCs w:val="0"/>
                      <w:sz w:val="21"/>
                      <w:szCs w:val="21"/>
                    </w:rPr>
                  </w:pPr>
                </w:p>
              </w:tc>
              <w:tc>
                <w:tcPr>
                  <w:tcW w:w="962" w:type="dxa"/>
                  <w:vMerge w:val="continue"/>
                  <w:shd w:val="clear" w:color="auto" w:fill="auto"/>
                  <w:vAlign w:val="center"/>
                </w:tcPr>
                <w:p>
                  <w:pPr>
                    <w:pStyle w:val="3"/>
                    <w:jc w:val="center"/>
                    <w:rPr>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jc w:val="center"/>
              </w:trPr>
              <w:tc>
                <w:tcPr>
                  <w:tcW w:w="871" w:type="dxa"/>
                  <w:shd w:val="clear" w:color="auto" w:fill="auto"/>
                  <w:vAlign w:val="center"/>
                </w:tcPr>
                <w:p>
                  <w:pPr>
                    <w:jc w:val="center"/>
                    <w:outlineLvl w:val="0"/>
                    <w:rPr>
                      <w:sz w:val="21"/>
                      <w:szCs w:val="21"/>
                    </w:rPr>
                  </w:pPr>
                  <w:r>
                    <w:rPr>
                      <w:rFonts w:hint="eastAsia"/>
                      <w:sz w:val="21"/>
                      <w:szCs w:val="21"/>
                    </w:rPr>
                    <w:t>黑渔胡子居民点</w:t>
                  </w:r>
                </w:p>
              </w:tc>
              <w:tc>
                <w:tcPr>
                  <w:tcW w:w="1521" w:type="dxa"/>
                  <w:shd w:val="clear" w:color="auto" w:fill="auto"/>
                  <w:vAlign w:val="center"/>
                </w:tcPr>
                <w:p>
                  <w:pPr>
                    <w:pStyle w:val="3"/>
                    <w:jc w:val="center"/>
                    <w:rPr>
                      <w:b w:val="0"/>
                      <w:bCs w:val="0"/>
                      <w:sz w:val="21"/>
                      <w:szCs w:val="21"/>
                    </w:rPr>
                  </w:pPr>
                  <w:r>
                    <w:rPr>
                      <w:b w:val="0"/>
                      <w:bCs w:val="0"/>
                      <w:sz w:val="21"/>
                      <w:szCs w:val="21"/>
                    </w:rPr>
                    <w:t>112.899747489</w:t>
                  </w:r>
                </w:p>
              </w:tc>
              <w:tc>
                <w:tcPr>
                  <w:tcW w:w="1424" w:type="dxa"/>
                  <w:shd w:val="clear" w:color="auto" w:fill="auto"/>
                  <w:vAlign w:val="center"/>
                </w:tcPr>
                <w:p>
                  <w:pPr>
                    <w:pStyle w:val="3"/>
                    <w:jc w:val="center"/>
                    <w:rPr>
                      <w:b w:val="0"/>
                      <w:bCs w:val="0"/>
                      <w:sz w:val="21"/>
                      <w:szCs w:val="21"/>
                    </w:rPr>
                  </w:pPr>
                  <w:r>
                    <w:rPr>
                      <w:b w:val="0"/>
                      <w:bCs w:val="0"/>
                      <w:sz w:val="21"/>
                      <w:szCs w:val="21"/>
                    </w:rPr>
                    <w:t>29.610460336</w:t>
                  </w:r>
                </w:p>
              </w:tc>
              <w:tc>
                <w:tcPr>
                  <w:tcW w:w="905" w:type="dxa"/>
                  <w:vMerge w:val="restart"/>
                  <w:shd w:val="clear" w:color="auto" w:fill="auto"/>
                  <w:vAlign w:val="center"/>
                </w:tcPr>
                <w:p>
                  <w:pPr>
                    <w:pStyle w:val="3"/>
                    <w:jc w:val="center"/>
                    <w:rPr>
                      <w:b w:val="0"/>
                      <w:bCs w:val="0"/>
                      <w:sz w:val="21"/>
                      <w:szCs w:val="21"/>
                    </w:rPr>
                  </w:pPr>
                  <w:r>
                    <w:rPr>
                      <w:rFonts w:hint="eastAsia"/>
                      <w:b w:val="0"/>
                      <w:bCs w:val="0"/>
                      <w:sz w:val="21"/>
                      <w:szCs w:val="21"/>
                    </w:rPr>
                    <w:t>居民区</w:t>
                  </w:r>
                </w:p>
              </w:tc>
              <w:tc>
                <w:tcPr>
                  <w:tcW w:w="1434" w:type="dxa"/>
                  <w:vMerge w:val="restart"/>
                  <w:shd w:val="clear" w:color="auto" w:fill="auto"/>
                  <w:vAlign w:val="center"/>
                </w:tcPr>
                <w:p>
                  <w:pPr>
                    <w:pStyle w:val="3"/>
                    <w:jc w:val="center"/>
                    <w:rPr>
                      <w:b w:val="0"/>
                      <w:bCs w:val="0"/>
                      <w:sz w:val="21"/>
                      <w:szCs w:val="21"/>
                    </w:rPr>
                  </w:pPr>
                  <w:r>
                    <w:rPr>
                      <w:rFonts w:hint="eastAsia"/>
                      <w:b w:val="0"/>
                      <w:bCs w:val="0"/>
                      <w:sz w:val="21"/>
                      <w:szCs w:val="21"/>
                    </w:rPr>
                    <w:t>环境空气</w:t>
                  </w:r>
                </w:p>
              </w:tc>
              <w:tc>
                <w:tcPr>
                  <w:tcW w:w="774" w:type="dxa"/>
                  <w:vMerge w:val="restart"/>
                  <w:shd w:val="clear" w:color="auto" w:fill="auto"/>
                  <w:vAlign w:val="center"/>
                </w:tcPr>
                <w:p>
                  <w:pPr>
                    <w:pStyle w:val="3"/>
                    <w:jc w:val="center"/>
                    <w:rPr>
                      <w:b w:val="0"/>
                      <w:bCs w:val="0"/>
                      <w:sz w:val="21"/>
                      <w:szCs w:val="21"/>
                    </w:rPr>
                  </w:pPr>
                  <w:r>
                    <w:rPr>
                      <w:rFonts w:hint="eastAsia" w:ascii="宋体" w:hAnsi="宋体" w:cs="宋体"/>
                      <w:b w:val="0"/>
                      <w:bCs w:val="0"/>
                      <w:sz w:val="21"/>
                      <w:szCs w:val="21"/>
                    </w:rPr>
                    <w:t>Ⅱ</w:t>
                  </w:r>
                  <w:r>
                    <w:rPr>
                      <w:rFonts w:hint="eastAsia"/>
                      <w:b w:val="0"/>
                      <w:bCs w:val="0"/>
                      <w:sz w:val="21"/>
                      <w:szCs w:val="21"/>
                    </w:rPr>
                    <w:t>类区</w:t>
                  </w:r>
                </w:p>
              </w:tc>
              <w:tc>
                <w:tcPr>
                  <w:tcW w:w="856" w:type="dxa"/>
                  <w:shd w:val="clear" w:color="auto" w:fill="auto"/>
                  <w:vAlign w:val="center"/>
                </w:tcPr>
                <w:p>
                  <w:pPr>
                    <w:pStyle w:val="3"/>
                    <w:jc w:val="center"/>
                    <w:rPr>
                      <w:b w:val="0"/>
                      <w:bCs w:val="0"/>
                      <w:sz w:val="21"/>
                      <w:szCs w:val="21"/>
                    </w:rPr>
                  </w:pPr>
                  <w:r>
                    <w:rPr>
                      <w:rFonts w:hint="eastAsia"/>
                      <w:b w:val="0"/>
                      <w:bCs w:val="0"/>
                      <w:sz w:val="21"/>
                      <w:szCs w:val="21"/>
                    </w:rPr>
                    <w:t>管线东西两侧</w:t>
                  </w:r>
                </w:p>
              </w:tc>
              <w:tc>
                <w:tcPr>
                  <w:tcW w:w="962" w:type="dxa"/>
                  <w:shd w:val="clear" w:color="auto" w:fill="auto"/>
                  <w:vAlign w:val="center"/>
                </w:tcPr>
                <w:p>
                  <w:pPr>
                    <w:jc w:val="center"/>
                    <w:outlineLvl w:val="0"/>
                    <w:rPr>
                      <w:sz w:val="21"/>
                      <w:szCs w:val="21"/>
                    </w:rPr>
                  </w:pPr>
                  <w:r>
                    <w:rPr>
                      <w:rFonts w:hint="eastAsia"/>
                      <w:sz w:val="21"/>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jc w:val="center"/>
              </w:trPr>
              <w:tc>
                <w:tcPr>
                  <w:tcW w:w="871" w:type="dxa"/>
                  <w:shd w:val="clear" w:color="auto" w:fill="auto"/>
                  <w:vAlign w:val="center"/>
                </w:tcPr>
                <w:p>
                  <w:pPr>
                    <w:jc w:val="center"/>
                    <w:outlineLvl w:val="0"/>
                    <w:rPr>
                      <w:sz w:val="21"/>
                      <w:szCs w:val="21"/>
                    </w:rPr>
                  </w:pPr>
                  <w:r>
                    <w:rPr>
                      <w:rFonts w:hint="eastAsia"/>
                      <w:sz w:val="21"/>
                      <w:szCs w:val="21"/>
                    </w:rPr>
                    <w:t>长号居民点</w:t>
                  </w:r>
                </w:p>
              </w:tc>
              <w:tc>
                <w:tcPr>
                  <w:tcW w:w="1521" w:type="dxa"/>
                  <w:shd w:val="clear" w:color="auto" w:fill="auto"/>
                  <w:vAlign w:val="center"/>
                </w:tcPr>
                <w:p>
                  <w:pPr>
                    <w:pStyle w:val="3"/>
                    <w:jc w:val="center"/>
                    <w:rPr>
                      <w:b w:val="0"/>
                      <w:bCs w:val="0"/>
                      <w:sz w:val="21"/>
                      <w:szCs w:val="21"/>
                    </w:rPr>
                  </w:pPr>
                  <w:r>
                    <w:rPr>
                      <w:b w:val="0"/>
                      <w:bCs w:val="0"/>
                      <w:sz w:val="21"/>
                      <w:szCs w:val="21"/>
                    </w:rPr>
                    <w:t>112.898234723</w:t>
                  </w:r>
                </w:p>
              </w:tc>
              <w:tc>
                <w:tcPr>
                  <w:tcW w:w="1424" w:type="dxa"/>
                  <w:shd w:val="clear" w:color="auto" w:fill="auto"/>
                  <w:vAlign w:val="center"/>
                </w:tcPr>
                <w:p>
                  <w:pPr>
                    <w:pStyle w:val="3"/>
                    <w:jc w:val="center"/>
                    <w:rPr>
                      <w:b w:val="0"/>
                      <w:bCs w:val="0"/>
                      <w:sz w:val="21"/>
                      <w:szCs w:val="21"/>
                    </w:rPr>
                  </w:pPr>
                  <w:r>
                    <w:rPr>
                      <w:b w:val="0"/>
                      <w:bCs w:val="0"/>
                      <w:sz w:val="21"/>
                      <w:szCs w:val="21"/>
                    </w:rPr>
                    <w:t>29.600568349</w:t>
                  </w:r>
                </w:p>
              </w:tc>
              <w:tc>
                <w:tcPr>
                  <w:tcW w:w="905" w:type="dxa"/>
                  <w:vMerge w:val="continue"/>
                  <w:shd w:val="clear" w:color="auto" w:fill="auto"/>
                  <w:vAlign w:val="center"/>
                </w:tcPr>
                <w:p>
                  <w:pPr>
                    <w:pStyle w:val="3"/>
                    <w:jc w:val="center"/>
                    <w:rPr>
                      <w:b w:val="0"/>
                      <w:bCs w:val="0"/>
                      <w:sz w:val="21"/>
                      <w:szCs w:val="21"/>
                    </w:rPr>
                  </w:pPr>
                </w:p>
              </w:tc>
              <w:tc>
                <w:tcPr>
                  <w:tcW w:w="1434" w:type="dxa"/>
                  <w:vMerge w:val="continue"/>
                  <w:shd w:val="clear" w:color="auto" w:fill="auto"/>
                  <w:vAlign w:val="center"/>
                </w:tcPr>
                <w:p>
                  <w:pPr>
                    <w:pStyle w:val="3"/>
                    <w:jc w:val="center"/>
                    <w:rPr>
                      <w:b w:val="0"/>
                      <w:bCs w:val="0"/>
                      <w:sz w:val="21"/>
                      <w:szCs w:val="21"/>
                    </w:rPr>
                  </w:pPr>
                </w:p>
              </w:tc>
              <w:tc>
                <w:tcPr>
                  <w:tcW w:w="774" w:type="dxa"/>
                  <w:vMerge w:val="continue"/>
                  <w:shd w:val="clear" w:color="auto" w:fill="auto"/>
                  <w:vAlign w:val="center"/>
                </w:tcPr>
                <w:p>
                  <w:pPr>
                    <w:pStyle w:val="3"/>
                    <w:jc w:val="center"/>
                    <w:rPr>
                      <w:b w:val="0"/>
                      <w:bCs w:val="0"/>
                      <w:sz w:val="21"/>
                      <w:szCs w:val="21"/>
                    </w:rPr>
                  </w:pPr>
                </w:p>
              </w:tc>
              <w:tc>
                <w:tcPr>
                  <w:tcW w:w="856" w:type="dxa"/>
                  <w:shd w:val="clear" w:color="auto" w:fill="auto"/>
                  <w:vAlign w:val="center"/>
                </w:tcPr>
                <w:p>
                  <w:pPr>
                    <w:pStyle w:val="3"/>
                    <w:jc w:val="center"/>
                    <w:rPr>
                      <w:b w:val="0"/>
                      <w:bCs w:val="0"/>
                      <w:sz w:val="21"/>
                      <w:szCs w:val="21"/>
                    </w:rPr>
                  </w:pPr>
                  <w:r>
                    <w:rPr>
                      <w:rFonts w:hint="eastAsia"/>
                      <w:b w:val="0"/>
                      <w:bCs w:val="0"/>
                      <w:sz w:val="21"/>
                      <w:szCs w:val="21"/>
                    </w:rPr>
                    <w:t>管线东西两侧</w:t>
                  </w:r>
                </w:p>
              </w:tc>
              <w:tc>
                <w:tcPr>
                  <w:tcW w:w="962" w:type="dxa"/>
                  <w:shd w:val="clear" w:color="auto" w:fill="auto"/>
                  <w:vAlign w:val="center"/>
                </w:tcPr>
                <w:p>
                  <w:pPr>
                    <w:jc w:val="center"/>
                    <w:outlineLvl w:val="0"/>
                    <w:rPr>
                      <w:sz w:val="21"/>
                      <w:szCs w:val="21"/>
                    </w:rPr>
                  </w:pPr>
                  <w:r>
                    <w:rPr>
                      <w:sz w:val="21"/>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jc w:val="center"/>
              </w:trPr>
              <w:tc>
                <w:tcPr>
                  <w:tcW w:w="871" w:type="dxa"/>
                  <w:shd w:val="clear" w:color="auto" w:fill="auto"/>
                  <w:vAlign w:val="center"/>
                </w:tcPr>
                <w:p>
                  <w:pPr>
                    <w:jc w:val="center"/>
                    <w:outlineLvl w:val="0"/>
                    <w:rPr>
                      <w:sz w:val="21"/>
                      <w:szCs w:val="21"/>
                    </w:rPr>
                  </w:pPr>
                  <w:r>
                    <w:rPr>
                      <w:rFonts w:hint="eastAsia"/>
                      <w:sz w:val="21"/>
                      <w:szCs w:val="21"/>
                    </w:rPr>
                    <w:t>夏台子居民点</w:t>
                  </w:r>
                </w:p>
              </w:tc>
              <w:tc>
                <w:tcPr>
                  <w:tcW w:w="1521" w:type="dxa"/>
                  <w:shd w:val="clear" w:color="auto" w:fill="auto"/>
                  <w:vAlign w:val="center"/>
                </w:tcPr>
                <w:p>
                  <w:pPr>
                    <w:pStyle w:val="3"/>
                    <w:jc w:val="center"/>
                    <w:rPr>
                      <w:b w:val="0"/>
                      <w:bCs w:val="0"/>
                      <w:sz w:val="21"/>
                      <w:szCs w:val="21"/>
                    </w:rPr>
                  </w:pPr>
                  <w:r>
                    <w:rPr>
                      <w:b w:val="0"/>
                      <w:bCs w:val="0"/>
                      <w:sz w:val="21"/>
                      <w:szCs w:val="21"/>
                    </w:rPr>
                    <w:t>112.896700500</w:t>
                  </w:r>
                </w:p>
              </w:tc>
              <w:tc>
                <w:tcPr>
                  <w:tcW w:w="1424" w:type="dxa"/>
                  <w:shd w:val="clear" w:color="auto" w:fill="auto"/>
                  <w:vAlign w:val="center"/>
                </w:tcPr>
                <w:p>
                  <w:pPr>
                    <w:pStyle w:val="3"/>
                    <w:jc w:val="center"/>
                    <w:rPr>
                      <w:b w:val="0"/>
                      <w:bCs w:val="0"/>
                      <w:sz w:val="21"/>
                      <w:szCs w:val="21"/>
                    </w:rPr>
                  </w:pPr>
                  <w:r>
                    <w:rPr>
                      <w:b w:val="0"/>
                      <w:bCs w:val="0"/>
                      <w:sz w:val="21"/>
                      <w:szCs w:val="21"/>
                    </w:rPr>
                    <w:t>29.592446620</w:t>
                  </w:r>
                </w:p>
              </w:tc>
              <w:tc>
                <w:tcPr>
                  <w:tcW w:w="905" w:type="dxa"/>
                  <w:vMerge w:val="continue"/>
                  <w:shd w:val="clear" w:color="auto" w:fill="auto"/>
                  <w:vAlign w:val="center"/>
                </w:tcPr>
                <w:p>
                  <w:pPr>
                    <w:pStyle w:val="3"/>
                    <w:jc w:val="center"/>
                    <w:rPr>
                      <w:b w:val="0"/>
                      <w:bCs w:val="0"/>
                      <w:sz w:val="21"/>
                      <w:szCs w:val="21"/>
                    </w:rPr>
                  </w:pPr>
                </w:p>
              </w:tc>
              <w:tc>
                <w:tcPr>
                  <w:tcW w:w="1434" w:type="dxa"/>
                  <w:vMerge w:val="continue"/>
                  <w:shd w:val="clear" w:color="auto" w:fill="auto"/>
                  <w:vAlign w:val="center"/>
                </w:tcPr>
                <w:p>
                  <w:pPr>
                    <w:pStyle w:val="3"/>
                    <w:jc w:val="center"/>
                    <w:rPr>
                      <w:b w:val="0"/>
                      <w:bCs w:val="0"/>
                      <w:sz w:val="21"/>
                      <w:szCs w:val="21"/>
                    </w:rPr>
                  </w:pPr>
                </w:p>
              </w:tc>
              <w:tc>
                <w:tcPr>
                  <w:tcW w:w="774" w:type="dxa"/>
                  <w:vMerge w:val="continue"/>
                  <w:shd w:val="clear" w:color="auto" w:fill="auto"/>
                  <w:vAlign w:val="center"/>
                </w:tcPr>
                <w:p>
                  <w:pPr>
                    <w:pStyle w:val="3"/>
                    <w:jc w:val="center"/>
                    <w:rPr>
                      <w:b w:val="0"/>
                      <w:bCs w:val="0"/>
                      <w:sz w:val="21"/>
                      <w:szCs w:val="21"/>
                    </w:rPr>
                  </w:pPr>
                </w:p>
              </w:tc>
              <w:tc>
                <w:tcPr>
                  <w:tcW w:w="856" w:type="dxa"/>
                  <w:shd w:val="clear" w:color="auto" w:fill="auto"/>
                  <w:vAlign w:val="center"/>
                </w:tcPr>
                <w:p>
                  <w:pPr>
                    <w:pStyle w:val="3"/>
                    <w:jc w:val="center"/>
                    <w:rPr>
                      <w:b w:val="0"/>
                      <w:bCs w:val="0"/>
                      <w:sz w:val="21"/>
                      <w:szCs w:val="21"/>
                    </w:rPr>
                  </w:pPr>
                  <w:r>
                    <w:rPr>
                      <w:rFonts w:hint="eastAsia"/>
                      <w:b w:val="0"/>
                      <w:bCs w:val="0"/>
                      <w:sz w:val="21"/>
                      <w:szCs w:val="21"/>
                    </w:rPr>
                    <w:t>管线东西两侧</w:t>
                  </w:r>
                </w:p>
              </w:tc>
              <w:tc>
                <w:tcPr>
                  <w:tcW w:w="962" w:type="dxa"/>
                  <w:shd w:val="clear" w:color="auto" w:fill="auto"/>
                  <w:vAlign w:val="center"/>
                </w:tcPr>
                <w:p>
                  <w:pPr>
                    <w:jc w:val="center"/>
                    <w:outlineLvl w:val="0"/>
                    <w:rPr>
                      <w:sz w:val="21"/>
                      <w:szCs w:val="21"/>
                    </w:rPr>
                  </w:pPr>
                  <w:r>
                    <w:rPr>
                      <w:sz w:val="21"/>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71" w:type="dxa"/>
                  <w:shd w:val="clear" w:color="auto" w:fill="auto"/>
                  <w:vAlign w:val="center"/>
                </w:tcPr>
                <w:p>
                  <w:pPr>
                    <w:jc w:val="center"/>
                    <w:outlineLvl w:val="0"/>
                    <w:rPr>
                      <w:sz w:val="21"/>
                      <w:szCs w:val="21"/>
                    </w:rPr>
                  </w:pPr>
                  <w:r>
                    <w:rPr>
                      <w:rFonts w:hint="eastAsia"/>
                      <w:sz w:val="21"/>
                      <w:szCs w:val="21"/>
                    </w:rPr>
                    <w:t>长江</w:t>
                  </w:r>
                </w:p>
              </w:tc>
              <w:tc>
                <w:tcPr>
                  <w:tcW w:w="1521" w:type="dxa"/>
                  <w:shd w:val="clear" w:color="auto" w:fill="auto"/>
                  <w:vAlign w:val="center"/>
                </w:tcPr>
                <w:p>
                  <w:pPr>
                    <w:pStyle w:val="3"/>
                    <w:jc w:val="center"/>
                    <w:rPr>
                      <w:b w:val="0"/>
                      <w:bCs w:val="0"/>
                      <w:sz w:val="21"/>
                      <w:szCs w:val="21"/>
                    </w:rPr>
                  </w:pPr>
                  <w:r>
                    <w:rPr>
                      <w:rFonts w:hint="eastAsia"/>
                      <w:b w:val="0"/>
                      <w:bCs w:val="0"/>
                      <w:sz w:val="21"/>
                      <w:szCs w:val="21"/>
                    </w:rPr>
                    <w:t>/</w:t>
                  </w:r>
                </w:p>
              </w:tc>
              <w:tc>
                <w:tcPr>
                  <w:tcW w:w="1424" w:type="dxa"/>
                  <w:shd w:val="clear" w:color="auto" w:fill="auto"/>
                  <w:vAlign w:val="center"/>
                </w:tcPr>
                <w:p>
                  <w:pPr>
                    <w:pStyle w:val="3"/>
                    <w:jc w:val="center"/>
                    <w:rPr>
                      <w:b w:val="0"/>
                      <w:bCs w:val="0"/>
                      <w:sz w:val="21"/>
                      <w:szCs w:val="21"/>
                    </w:rPr>
                  </w:pPr>
                  <w:r>
                    <w:rPr>
                      <w:rFonts w:hint="eastAsia"/>
                      <w:b w:val="0"/>
                      <w:bCs w:val="0"/>
                      <w:sz w:val="21"/>
                      <w:szCs w:val="21"/>
                    </w:rPr>
                    <w:t>/</w:t>
                  </w:r>
                </w:p>
              </w:tc>
              <w:tc>
                <w:tcPr>
                  <w:tcW w:w="905" w:type="dxa"/>
                  <w:shd w:val="clear" w:color="auto" w:fill="auto"/>
                  <w:vAlign w:val="center"/>
                </w:tcPr>
                <w:p>
                  <w:pPr>
                    <w:pStyle w:val="3"/>
                    <w:jc w:val="center"/>
                    <w:rPr>
                      <w:b w:val="0"/>
                      <w:bCs w:val="0"/>
                      <w:sz w:val="21"/>
                      <w:szCs w:val="21"/>
                    </w:rPr>
                  </w:pPr>
                  <w:r>
                    <w:rPr>
                      <w:rFonts w:hint="eastAsia"/>
                      <w:b w:val="0"/>
                      <w:bCs w:val="0"/>
                      <w:sz w:val="21"/>
                      <w:szCs w:val="21"/>
                    </w:rPr>
                    <w:t>地表水</w:t>
                  </w:r>
                </w:p>
              </w:tc>
              <w:tc>
                <w:tcPr>
                  <w:tcW w:w="1434" w:type="dxa"/>
                  <w:shd w:val="clear" w:color="auto" w:fill="auto"/>
                  <w:vAlign w:val="center"/>
                </w:tcPr>
                <w:p>
                  <w:pPr>
                    <w:pStyle w:val="3"/>
                    <w:jc w:val="center"/>
                    <w:rPr>
                      <w:b w:val="0"/>
                      <w:bCs w:val="0"/>
                      <w:sz w:val="21"/>
                      <w:szCs w:val="21"/>
                    </w:rPr>
                  </w:pPr>
                  <w:r>
                    <w:rPr>
                      <w:rFonts w:hint="eastAsia"/>
                      <w:b w:val="0"/>
                      <w:bCs w:val="0"/>
                      <w:sz w:val="21"/>
                      <w:szCs w:val="21"/>
                    </w:rPr>
                    <w:t>地表水环境</w:t>
                  </w:r>
                </w:p>
              </w:tc>
              <w:tc>
                <w:tcPr>
                  <w:tcW w:w="774" w:type="dxa"/>
                  <w:shd w:val="clear" w:color="auto" w:fill="auto"/>
                  <w:vAlign w:val="center"/>
                </w:tcPr>
                <w:p>
                  <w:pPr>
                    <w:pStyle w:val="3"/>
                    <w:jc w:val="center"/>
                    <w:rPr>
                      <w:b w:val="0"/>
                      <w:bCs w:val="0"/>
                      <w:sz w:val="21"/>
                      <w:szCs w:val="21"/>
                    </w:rPr>
                  </w:pPr>
                  <w:r>
                    <w:rPr>
                      <w:b w:val="0"/>
                      <w:bCs w:val="0"/>
                      <w:sz w:val="21"/>
                      <w:szCs w:val="21"/>
                    </w:rPr>
                    <w:t>Ш</w:t>
                  </w:r>
                  <w:r>
                    <w:rPr>
                      <w:rFonts w:hint="eastAsia"/>
                      <w:b w:val="0"/>
                      <w:bCs w:val="0"/>
                      <w:sz w:val="21"/>
                      <w:szCs w:val="21"/>
                    </w:rPr>
                    <w:t>类区</w:t>
                  </w:r>
                </w:p>
              </w:tc>
              <w:tc>
                <w:tcPr>
                  <w:tcW w:w="856" w:type="dxa"/>
                  <w:shd w:val="clear" w:color="auto" w:fill="auto"/>
                  <w:vAlign w:val="center"/>
                </w:tcPr>
                <w:p>
                  <w:pPr>
                    <w:pStyle w:val="3"/>
                    <w:jc w:val="center"/>
                    <w:rPr>
                      <w:b w:val="0"/>
                      <w:bCs w:val="0"/>
                      <w:sz w:val="21"/>
                      <w:szCs w:val="21"/>
                    </w:rPr>
                  </w:pPr>
                  <w:r>
                    <w:rPr>
                      <w:b w:val="0"/>
                      <w:bCs w:val="0"/>
                      <w:sz w:val="21"/>
                      <w:szCs w:val="21"/>
                    </w:rPr>
                    <w:t>NE</w:t>
                  </w:r>
                </w:p>
              </w:tc>
              <w:tc>
                <w:tcPr>
                  <w:tcW w:w="962" w:type="dxa"/>
                  <w:shd w:val="clear" w:color="auto" w:fill="auto"/>
                  <w:vAlign w:val="center"/>
                </w:tcPr>
                <w:p>
                  <w:pPr>
                    <w:jc w:val="center"/>
                    <w:outlineLvl w:val="0"/>
                    <w:rPr>
                      <w:sz w:val="21"/>
                      <w:szCs w:val="21"/>
                    </w:rPr>
                  </w:pPr>
                  <w:r>
                    <w:rPr>
                      <w:sz w:val="21"/>
                      <w:szCs w:val="21"/>
                    </w:rPr>
                    <w:t>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71" w:type="dxa"/>
                  <w:shd w:val="clear" w:color="auto" w:fill="auto"/>
                  <w:vAlign w:val="center"/>
                </w:tcPr>
                <w:p>
                  <w:pPr>
                    <w:jc w:val="center"/>
                    <w:outlineLvl w:val="0"/>
                    <w:rPr>
                      <w:sz w:val="21"/>
                      <w:szCs w:val="21"/>
                      <w:u w:val="single"/>
                    </w:rPr>
                  </w:pPr>
                  <w:r>
                    <w:rPr>
                      <w:rFonts w:hint="eastAsia"/>
                      <w:sz w:val="21"/>
                      <w:szCs w:val="21"/>
                      <w:u w:val="single"/>
                    </w:rPr>
                    <w:t>东洞庭湖自然保护区</w:t>
                  </w:r>
                </w:p>
              </w:tc>
              <w:tc>
                <w:tcPr>
                  <w:tcW w:w="1521" w:type="dxa"/>
                  <w:shd w:val="clear" w:color="auto" w:fill="auto"/>
                  <w:vAlign w:val="center"/>
                </w:tcPr>
                <w:p>
                  <w:pPr>
                    <w:pStyle w:val="3"/>
                    <w:jc w:val="center"/>
                    <w:rPr>
                      <w:b w:val="0"/>
                      <w:bCs w:val="0"/>
                      <w:sz w:val="21"/>
                      <w:szCs w:val="21"/>
                      <w:u w:val="single"/>
                    </w:rPr>
                  </w:pPr>
                  <w:r>
                    <w:rPr>
                      <w:rFonts w:hint="eastAsia"/>
                      <w:b w:val="0"/>
                      <w:bCs w:val="0"/>
                      <w:sz w:val="21"/>
                      <w:szCs w:val="21"/>
                      <w:u w:val="single"/>
                    </w:rPr>
                    <w:t>/</w:t>
                  </w:r>
                </w:p>
              </w:tc>
              <w:tc>
                <w:tcPr>
                  <w:tcW w:w="1424" w:type="dxa"/>
                  <w:shd w:val="clear" w:color="auto" w:fill="auto"/>
                  <w:vAlign w:val="center"/>
                </w:tcPr>
                <w:p>
                  <w:pPr>
                    <w:pStyle w:val="3"/>
                    <w:jc w:val="center"/>
                    <w:rPr>
                      <w:b w:val="0"/>
                      <w:bCs w:val="0"/>
                      <w:sz w:val="21"/>
                      <w:szCs w:val="21"/>
                      <w:u w:val="single"/>
                    </w:rPr>
                  </w:pPr>
                  <w:r>
                    <w:rPr>
                      <w:rFonts w:hint="eastAsia"/>
                      <w:b w:val="0"/>
                      <w:bCs w:val="0"/>
                      <w:sz w:val="21"/>
                      <w:szCs w:val="21"/>
                      <w:u w:val="single"/>
                    </w:rPr>
                    <w:t>/</w:t>
                  </w:r>
                </w:p>
              </w:tc>
              <w:tc>
                <w:tcPr>
                  <w:tcW w:w="905" w:type="dxa"/>
                  <w:shd w:val="clear" w:color="auto" w:fill="auto"/>
                  <w:vAlign w:val="center"/>
                </w:tcPr>
                <w:p>
                  <w:pPr>
                    <w:pStyle w:val="3"/>
                    <w:jc w:val="center"/>
                    <w:rPr>
                      <w:b w:val="0"/>
                      <w:bCs w:val="0"/>
                      <w:sz w:val="21"/>
                      <w:szCs w:val="21"/>
                      <w:u w:val="single"/>
                    </w:rPr>
                  </w:pPr>
                  <w:r>
                    <w:rPr>
                      <w:rFonts w:hint="eastAsia"/>
                      <w:b w:val="0"/>
                      <w:bCs w:val="0"/>
                      <w:sz w:val="21"/>
                      <w:szCs w:val="21"/>
                      <w:u w:val="single"/>
                    </w:rPr>
                    <w:t>动植物资源</w:t>
                  </w:r>
                </w:p>
              </w:tc>
              <w:tc>
                <w:tcPr>
                  <w:tcW w:w="1434" w:type="dxa"/>
                  <w:shd w:val="clear" w:color="auto" w:fill="auto"/>
                  <w:vAlign w:val="center"/>
                </w:tcPr>
                <w:p>
                  <w:pPr>
                    <w:pStyle w:val="3"/>
                    <w:jc w:val="center"/>
                    <w:rPr>
                      <w:b w:val="0"/>
                      <w:bCs w:val="0"/>
                      <w:sz w:val="21"/>
                      <w:szCs w:val="21"/>
                      <w:u w:val="single"/>
                    </w:rPr>
                  </w:pPr>
                  <w:r>
                    <w:rPr>
                      <w:rFonts w:hint="eastAsia"/>
                      <w:b w:val="0"/>
                      <w:bCs w:val="0"/>
                      <w:sz w:val="21"/>
                      <w:szCs w:val="21"/>
                      <w:u w:val="single"/>
                    </w:rPr>
                    <w:t>生态环境</w:t>
                  </w:r>
                </w:p>
              </w:tc>
              <w:tc>
                <w:tcPr>
                  <w:tcW w:w="774" w:type="dxa"/>
                  <w:shd w:val="clear" w:color="auto" w:fill="auto"/>
                  <w:vAlign w:val="center"/>
                </w:tcPr>
                <w:p>
                  <w:pPr>
                    <w:pStyle w:val="3"/>
                    <w:jc w:val="center"/>
                    <w:rPr>
                      <w:b w:val="0"/>
                      <w:bCs w:val="0"/>
                      <w:sz w:val="21"/>
                      <w:szCs w:val="21"/>
                      <w:u w:val="single"/>
                    </w:rPr>
                  </w:pPr>
                  <w:r>
                    <w:rPr>
                      <w:rFonts w:hint="eastAsia"/>
                      <w:b w:val="0"/>
                      <w:bCs w:val="0"/>
                      <w:sz w:val="21"/>
                      <w:szCs w:val="21"/>
                      <w:u w:val="single"/>
                    </w:rPr>
                    <w:t>不被破坏</w:t>
                  </w:r>
                </w:p>
              </w:tc>
              <w:tc>
                <w:tcPr>
                  <w:tcW w:w="856" w:type="dxa"/>
                  <w:shd w:val="clear" w:color="auto" w:fill="auto"/>
                  <w:vAlign w:val="center"/>
                </w:tcPr>
                <w:p>
                  <w:pPr>
                    <w:pStyle w:val="3"/>
                    <w:jc w:val="center"/>
                    <w:rPr>
                      <w:b w:val="0"/>
                      <w:bCs w:val="0"/>
                      <w:sz w:val="21"/>
                      <w:szCs w:val="21"/>
                      <w:u w:val="single"/>
                    </w:rPr>
                  </w:pPr>
                  <w:r>
                    <w:rPr>
                      <w:rFonts w:hint="eastAsia"/>
                      <w:b w:val="0"/>
                      <w:bCs w:val="0"/>
                      <w:sz w:val="21"/>
                      <w:szCs w:val="21"/>
                      <w:u w:val="single"/>
                    </w:rPr>
                    <w:t>/</w:t>
                  </w:r>
                </w:p>
              </w:tc>
              <w:tc>
                <w:tcPr>
                  <w:tcW w:w="962" w:type="dxa"/>
                  <w:shd w:val="clear" w:color="auto" w:fill="auto"/>
                  <w:vAlign w:val="center"/>
                </w:tcPr>
                <w:p>
                  <w:pPr>
                    <w:jc w:val="center"/>
                    <w:outlineLvl w:val="0"/>
                    <w:rPr>
                      <w:sz w:val="21"/>
                      <w:szCs w:val="21"/>
                      <w:u w:val="single"/>
                    </w:rPr>
                  </w:pPr>
                  <w:r>
                    <w:rPr>
                      <w:rFonts w:hint="eastAsia"/>
                      <w:b/>
                      <w:bCs/>
                      <w:sz w:val="21"/>
                      <w:szCs w:val="21"/>
                      <w:u w:val="singl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71" w:type="dxa"/>
                  <w:shd w:val="clear" w:color="auto" w:fill="auto"/>
                  <w:vAlign w:val="center"/>
                </w:tcPr>
                <w:p>
                  <w:pPr>
                    <w:jc w:val="center"/>
                    <w:outlineLvl w:val="0"/>
                    <w:rPr>
                      <w:sz w:val="21"/>
                      <w:szCs w:val="21"/>
                      <w:u w:val="single"/>
                    </w:rPr>
                  </w:pPr>
                  <w:r>
                    <w:rPr>
                      <w:rFonts w:hint="eastAsia"/>
                      <w:sz w:val="21"/>
                      <w:szCs w:val="21"/>
                      <w:u w:val="single"/>
                    </w:rPr>
                    <w:t>东洞庭湖湖泊湿地保护区</w:t>
                  </w:r>
                </w:p>
              </w:tc>
              <w:tc>
                <w:tcPr>
                  <w:tcW w:w="1521" w:type="dxa"/>
                  <w:shd w:val="clear" w:color="auto" w:fill="auto"/>
                  <w:vAlign w:val="center"/>
                </w:tcPr>
                <w:p>
                  <w:pPr>
                    <w:pStyle w:val="3"/>
                    <w:jc w:val="center"/>
                    <w:rPr>
                      <w:b w:val="0"/>
                      <w:bCs w:val="0"/>
                      <w:sz w:val="21"/>
                      <w:szCs w:val="21"/>
                      <w:u w:val="single"/>
                    </w:rPr>
                  </w:pPr>
                  <w:r>
                    <w:rPr>
                      <w:rFonts w:hint="eastAsia"/>
                      <w:b w:val="0"/>
                      <w:bCs w:val="0"/>
                      <w:sz w:val="21"/>
                      <w:szCs w:val="21"/>
                      <w:u w:val="single"/>
                    </w:rPr>
                    <w:t>/</w:t>
                  </w:r>
                </w:p>
              </w:tc>
              <w:tc>
                <w:tcPr>
                  <w:tcW w:w="1424" w:type="dxa"/>
                  <w:shd w:val="clear" w:color="auto" w:fill="auto"/>
                  <w:vAlign w:val="center"/>
                </w:tcPr>
                <w:p>
                  <w:pPr>
                    <w:pStyle w:val="3"/>
                    <w:jc w:val="center"/>
                    <w:rPr>
                      <w:b w:val="0"/>
                      <w:bCs w:val="0"/>
                      <w:sz w:val="21"/>
                      <w:szCs w:val="21"/>
                      <w:u w:val="single"/>
                    </w:rPr>
                  </w:pPr>
                  <w:r>
                    <w:rPr>
                      <w:rFonts w:hint="eastAsia"/>
                      <w:b w:val="0"/>
                      <w:bCs w:val="0"/>
                      <w:sz w:val="21"/>
                      <w:szCs w:val="21"/>
                      <w:u w:val="single"/>
                    </w:rPr>
                    <w:t>/</w:t>
                  </w:r>
                </w:p>
              </w:tc>
              <w:tc>
                <w:tcPr>
                  <w:tcW w:w="905" w:type="dxa"/>
                  <w:shd w:val="clear" w:color="auto" w:fill="auto"/>
                  <w:vAlign w:val="center"/>
                </w:tcPr>
                <w:p>
                  <w:pPr>
                    <w:pStyle w:val="3"/>
                    <w:jc w:val="center"/>
                    <w:rPr>
                      <w:b w:val="0"/>
                      <w:bCs w:val="0"/>
                      <w:sz w:val="21"/>
                      <w:szCs w:val="21"/>
                      <w:u w:val="single"/>
                    </w:rPr>
                  </w:pPr>
                  <w:r>
                    <w:rPr>
                      <w:rFonts w:hint="eastAsia"/>
                      <w:b w:val="0"/>
                      <w:bCs w:val="0"/>
                      <w:sz w:val="21"/>
                      <w:szCs w:val="21"/>
                      <w:u w:val="single"/>
                    </w:rPr>
                    <w:t>动植物资源</w:t>
                  </w:r>
                </w:p>
              </w:tc>
              <w:tc>
                <w:tcPr>
                  <w:tcW w:w="1434" w:type="dxa"/>
                  <w:shd w:val="clear" w:color="auto" w:fill="auto"/>
                  <w:vAlign w:val="center"/>
                </w:tcPr>
                <w:p>
                  <w:pPr>
                    <w:pStyle w:val="3"/>
                    <w:jc w:val="center"/>
                    <w:rPr>
                      <w:b w:val="0"/>
                      <w:bCs w:val="0"/>
                      <w:sz w:val="21"/>
                      <w:szCs w:val="21"/>
                      <w:u w:val="single"/>
                    </w:rPr>
                  </w:pPr>
                  <w:r>
                    <w:rPr>
                      <w:rFonts w:hint="eastAsia"/>
                      <w:b w:val="0"/>
                      <w:bCs w:val="0"/>
                      <w:sz w:val="21"/>
                      <w:szCs w:val="21"/>
                      <w:u w:val="single"/>
                    </w:rPr>
                    <w:t>生态环境</w:t>
                  </w:r>
                </w:p>
              </w:tc>
              <w:tc>
                <w:tcPr>
                  <w:tcW w:w="774" w:type="dxa"/>
                  <w:shd w:val="clear" w:color="auto" w:fill="auto"/>
                  <w:vAlign w:val="center"/>
                </w:tcPr>
                <w:p>
                  <w:pPr>
                    <w:pStyle w:val="3"/>
                    <w:jc w:val="center"/>
                    <w:rPr>
                      <w:b w:val="0"/>
                      <w:bCs w:val="0"/>
                      <w:sz w:val="21"/>
                      <w:szCs w:val="21"/>
                      <w:u w:val="single"/>
                    </w:rPr>
                  </w:pPr>
                  <w:r>
                    <w:rPr>
                      <w:rFonts w:hint="eastAsia"/>
                      <w:b w:val="0"/>
                      <w:bCs w:val="0"/>
                      <w:sz w:val="21"/>
                      <w:szCs w:val="21"/>
                      <w:u w:val="single"/>
                    </w:rPr>
                    <w:t>不被破坏</w:t>
                  </w:r>
                </w:p>
              </w:tc>
              <w:tc>
                <w:tcPr>
                  <w:tcW w:w="856" w:type="dxa"/>
                  <w:shd w:val="clear" w:color="auto" w:fill="auto"/>
                  <w:vAlign w:val="center"/>
                </w:tcPr>
                <w:p>
                  <w:pPr>
                    <w:pStyle w:val="3"/>
                    <w:jc w:val="center"/>
                    <w:rPr>
                      <w:b w:val="0"/>
                      <w:bCs w:val="0"/>
                      <w:sz w:val="21"/>
                      <w:szCs w:val="21"/>
                      <w:u w:val="single"/>
                    </w:rPr>
                  </w:pPr>
                  <w:r>
                    <w:rPr>
                      <w:rFonts w:hint="eastAsia"/>
                      <w:b w:val="0"/>
                      <w:bCs w:val="0"/>
                      <w:sz w:val="21"/>
                      <w:szCs w:val="21"/>
                      <w:u w:val="single"/>
                    </w:rPr>
                    <w:t>/</w:t>
                  </w:r>
                </w:p>
              </w:tc>
              <w:tc>
                <w:tcPr>
                  <w:tcW w:w="962" w:type="dxa"/>
                  <w:shd w:val="clear" w:color="auto" w:fill="auto"/>
                  <w:vAlign w:val="center"/>
                </w:tcPr>
                <w:p>
                  <w:pPr>
                    <w:jc w:val="center"/>
                    <w:outlineLvl w:val="0"/>
                    <w:rPr>
                      <w:b/>
                      <w:bCs/>
                      <w:sz w:val="21"/>
                      <w:szCs w:val="21"/>
                      <w:u w:val="single"/>
                    </w:rPr>
                  </w:pPr>
                  <w:r>
                    <w:rPr>
                      <w:rFonts w:hint="eastAsia"/>
                      <w:b/>
                      <w:bCs/>
                      <w:sz w:val="21"/>
                      <w:szCs w:val="21"/>
                      <w:u w:val="singl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71" w:type="dxa"/>
                  <w:shd w:val="clear" w:color="auto" w:fill="auto"/>
                  <w:vAlign w:val="center"/>
                </w:tcPr>
                <w:p>
                  <w:pPr>
                    <w:jc w:val="center"/>
                    <w:outlineLvl w:val="0"/>
                    <w:rPr>
                      <w:sz w:val="21"/>
                      <w:szCs w:val="21"/>
                      <w:u w:val="single"/>
                    </w:rPr>
                  </w:pPr>
                  <w:r>
                    <w:rPr>
                      <w:rFonts w:hint="eastAsia"/>
                      <w:sz w:val="21"/>
                      <w:szCs w:val="21"/>
                      <w:u w:val="single"/>
                    </w:rPr>
                    <w:t>长江监利段四大家鱼国家级水产种质资源保护区的实验区</w:t>
                  </w:r>
                </w:p>
              </w:tc>
              <w:tc>
                <w:tcPr>
                  <w:tcW w:w="1521" w:type="dxa"/>
                  <w:shd w:val="clear" w:color="auto" w:fill="auto"/>
                  <w:vAlign w:val="center"/>
                </w:tcPr>
                <w:p>
                  <w:pPr>
                    <w:pStyle w:val="3"/>
                    <w:jc w:val="center"/>
                    <w:rPr>
                      <w:b w:val="0"/>
                      <w:bCs w:val="0"/>
                      <w:sz w:val="21"/>
                      <w:szCs w:val="21"/>
                      <w:u w:val="single"/>
                    </w:rPr>
                  </w:pPr>
                  <w:r>
                    <w:rPr>
                      <w:rFonts w:hint="eastAsia"/>
                      <w:b w:val="0"/>
                      <w:bCs w:val="0"/>
                      <w:sz w:val="21"/>
                      <w:szCs w:val="21"/>
                      <w:u w:val="single"/>
                    </w:rPr>
                    <w:t>/</w:t>
                  </w:r>
                </w:p>
              </w:tc>
              <w:tc>
                <w:tcPr>
                  <w:tcW w:w="1424" w:type="dxa"/>
                  <w:shd w:val="clear" w:color="auto" w:fill="auto"/>
                  <w:vAlign w:val="center"/>
                </w:tcPr>
                <w:p>
                  <w:pPr>
                    <w:jc w:val="center"/>
                    <w:outlineLvl w:val="0"/>
                    <w:rPr>
                      <w:sz w:val="21"/>
                      <w:szCs w:val="21"/>
                      <w:u w:val="single"/>
                    </w:rPr>
                  </w:pPr>
                  <w:r>
                    <w:rPr>
                      <w:rFonts w:hint="eastAsia"/>
                      <w:b/>
                      <w:bCs/>
                      <w:sz w:val="21"/>
                      <w:szCs w:val="21"/>
                      <w:u w:val="single"/>
                    </w:rPr>
                    <w:t>/</w:t>
                  </w:r>
                </w:p>
              </w:tc>
              <w:tc>
                <w:tcPr>
                  <w:tcW w:w="905" w:type="dxa"/>
                  <w:shd w:val="clear" w:color="auto" w:fill="auto"/>
                  <w:vAlign w:val="center"/>
                </w:tcPr>
                <w:p>
                  <w:pPr>
                    <w:pStyle w:val="3"/>
                    <w:jc w:val="center"/>
                    <w:rPr>
                      <w:b w:val="0"/>
                      <w:bCs w:val="0"/>
                      <w:sz w:val="21"/>
                      <w:szCs w:val="21"/>
                      <w:u w:val="single"/>
                    </w:rPr>
                  </w:pPr>
                  <w:r>
                    <w:rPr>
                      <w:rFonts w:hint="eastAsia"/>
                      <w:b w:val="0"/>
                      <w:bCs w:val="0"/>
                      <w:sz w:val="21"/>
                      <w:szCs w:val="21"/>
                      <w:u w:val="single"/>
                    </w:rPr>
                    <w:t>鱼类资源</w:t>
                  </w:r>
                </w:p>
              </w:tc>
              <w:tc>
                <w:tcPr>
                  <w:tcW w:w="1434" w:type="dxa"/>
                  <w:shd w:val="clear" w:color="auto" w:fill="auto"/>
                  <w:vAlign w:val="center"/>
                </w:tcPr>
                <w:p>
                  <w:pPr>
                    <w:pStyle w:val="3"/>
                    <w:jc w:val="center"/>
                    <w:rPr>
                      <w:b w:val="0"/>
                      <w:bCs w:val="0"/>
                      <w:sz w:val="21"/>
                      <w:szCs w:val="21"/>
                      <w:u w:val="single"/>
                    </w:rPr>
                  </w:pPr>
                  <w:r>
                    <w:rPr>
                      <w:rFonts w:hint="eastAsia"/>
                      <w:b w:val="0"/>
                      <w:bCs w:val="0"/>
                      <w:sz w:val="21"/>
                      <w:szCs w:val="21"/>
                      <w:u w:val="single"/>
                    </w:rPr>
                    <w:t>水生生态</w:t>
                  </w:r>
                </w:p>
              </w:tc>
              <w:tc>
                <w:tcPr>
                  <w:tcW w:w="774" w:type="dxa"/>
                  <w:shd w:val="clear" w:color="auto" w:fill="auto"/>
                  <w:vAlign w:val="center"/>
                </w:tcPr>
                <w:p>
                  <w:pPr>
                    <w:pStyle w:val="3"/>
                    <w:jc w:val="center"/>
                    <w:rPr>
                      <w:b w:val="0"/>
                      <w:bCs w:val="0"/>
                      <w:sz w:val="21"/>
                      <w:szCs w:val="21"/>
                      <w:u w:val="single"/>
                    </w:rPr>
                  </w:pPr>
                  <w:r>
                    <w:rPr>
                      <w:rFonts w:hint="eastAsia"/>
                      <w:b w:val="0"/>
                      <w:bCs w:val="0"/>
                      <w:sz w:val="21"/>
                      <w:szCs w:val="21"/>
                      <w:u w:val="single"/>
                    </w:rPr>
                    <w:t>不被破坏</w:t>
                  </w:r>
                </w:p>
              </w:tc>
              <w:tc>
                <w:tcPr>
                  <w:tcW w:w="856" w:type="dxa"/>
                  <w:shd w:val="clear" w:color="auto" w:fill="auto"/>
                  <w:vAlign w:val="center"/>
                </w:tcPr>
                <w:p>
                  <w:pPr>
                    <w:pStyle w:val="3"/>
                    <w:jc w:val="center"/>
                    <w:rPr>
                      <w:b w:val="0"/>
                      <w:bCs w:val="0"/>
                      <w:sz w:val="21"/>
                      <w:szCs w:val="21"/>
                      <w:u w:val="single"/>
                    </w:rPr>
                  </w:pPr>
                  <w:r>
                    <w:rPr>
                      <w:rFonts w:hint="eastAsia"/>
                      <w:b w:val="0"/>
                      <w:bCs w:val="0"/>
                      <w:sz w:val="21"/>
                      <w:szCs w:val="21"/>
                      <w:u w:val="single"/>
                    </w:rPr>
                    <w:t>/</w:t>
                  </w:r>
                </w:p>
              </w:tc>
              <w:tc>
                <w:tcPr>
                  <w:tcW w:w="962" w:type="dxa"/>
                  <w:shd w:val="clear" w:color="auto" w:fill="auto"/>
                  <w:vAlign w:val="center"/>
                </w:tcPr>
                <w:p>
                  <w:pPr>
                    <w:jc w:val="center"/>
                    <w:outlineLvl w:val="0"/>
                    <w:rPr>
                      <w:b/>
                      <w:bCs/>
                      <w:sz w:val="21"/>
                      <w:szCs w:val="21"/>
                      <w:u w:val="single"/>
                    </w:rPr>
                  </w:pPr>
                  <w:r>
                    <w:rPr>
                      <w:rFonts w:hint="eastAsia"/>
                      <w:b/>
                      <w:bCs/>
                      <w:sz w:val="21"/>
                      <w:szCs w:val="21"/>
                      <w:u w:val="single"/>
                    </w:rPr>
                    <w:t>/</w:t>
                  </w:r>
                </w:p>
              </w:tc>
            </w:tr>
            <w:bookmarkEnd w:id="18"/>
          </w:tbl>
          <w:p>
            <w:pPr>
              <w:pStyle w:val="54"/>
              <w:rPr>
                <w:color w:val="000000" w:themeColor="text1"/>
                <w:sz w:val="28"/>
                <w14:textFill>
                  <w14:solidFill>
                    <w14:schemeClr w14:val="tx1"/>
                  </w14:solidFill>
                </w14:textFill>
              </w:rPr>
            </w:pPr>
          </w:p>
        </w:tc>
      </w:tr>
    </w:tbl>
    <w:p>
      <w:pPr>
        <w:spacing w:line="360" w:lineRule="auto"/>
        <w:rPr>
          <w:b/>
          <w:color w:val="000000" w:themeColor="text1"/>
          <w:sz w:val="30"/>
          <w14:textFill>
            <w14:solidFill>
              <w14:schemeClr w14:val="tx1"/>
            </w14:solidFill>
          </w14:textFill>
        </w:rPr>
        <w:sectPr>
          <w:pgSz w:w="11906" w:h="16838"/>
          <w:pgMar w:top="1440" w:right="1800" w:bottom="1440" w:left="1800" w:header="851" w:footer="992" w:gutter="0"/>
          <w:cols w:space="425" w:num="1"/>
          <w:docGrid w:type="lines" w:linePitch="326" w:charSpace="0"/>
        </w:sectPr>
      </w:pPr>
    </w:p>
    <w:p>
      <w:pPr>
        <w:spacing w:line="360" w:lineRule="auto"/>
        <w:outlineLvl w:val="0"/>
        <w:rPr>
          <w:b/>
          <w:color w:val="000000" w:themeColor="text1"/>
          <w:sz w:val="30"/>
          <w14:textFill>
            <w14:solidFill>
              <w14:schemeClr w14:val="tx1"/>
            </w14:solidFill>
          </w14:textFill>
        </w:rPr>
      </w:pPr>
      <w:bookmarkStart w:id="19" w:name="_Toc523322727"/>
      <w:r>
        <w:rPr>
          <w:b/>
          <w:color w:val="000000" w:themeColor="text1"/>
          <w:sz w:val="30"/>
          <w14:textFill>
            <w14:solidFill>
              <w14:schemeClr w14:val="tx1"/>
            </w14:solidFill>
          </w14:textFill>
        </w:rPr>
        <w:t>四、评价适用标准</w:t>
      </w:r>
      <w:bookmarkEnd w:id="19"/>
    </w:p>
    <w:tbl>
      <w:tblPr>
        <w:tblStyle w:val="44"/>
        <w:tblW w:w="8647"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498"/>
        <w:gridCol w:w="814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498" w:type="dxa"/>
            <w:vAlign w:val="center"/>
          </w:tcPr>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环</w:t>
            </w:r>
          </w:p>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境</w:t>
            </w:r>
          </w:p>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质</w:t>
            </w:r>
          </w:p>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量</w:t>
            </w:r>
          </w:p>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标</w:t>
            </w:r>
          </w:p>
          <w:p>
            <w:pPr>
              <w:pStyle w:val="31"/>
              <w:ind w:firstLine="0" w:firstLineChars="0"/>
              <w:jc w:val="center"/>
              <w:rPr>
                <w:b/>
                <w:color w:val="000000" w:themeColor="text1"/>
                <w14:textFill>
                  <w14:solidFill>
                    <w14:schemeClr w14:val="tx1"/>
                  </w14:solidFill>
                </w14:textFill>
              </w:rPr>
            </w:pPr>
            <w:r>
              <w:rPr>
                <w:b/>
                <w:color w:val="000000" w:themeColor="text1"/>
                <w:sz w:val="28"/>
                <w14:textFill>
                  <w14:solidFill>
                    <w14:schemeClr w14:val="tx1"/>
                  </w14:solidFill>
                </w14:textFill>
              </w:rPr>
              <w:t>准</w:t>
            </w:r>
          </w:p>
        </w:tc>
        <w:tc>
          <w:tcPr>
            <w:tcW w:w="8149" w:type="dxa"/>
          </w:tcPr>
          <w:p>
            <w:pPr>
              <w:tabs>
                <w:tab w:val="left" w:pos="1021"/>
              </w:tabs>
              <w:spacing w:line="440" w:lineRule="exact"/>
              <w:ind w:left="616"/>
              <w:rPr>
                <w:kern w:val="24"/>
              </w:rPr>
            </w:pPr>
            <w:r>
              <w:rPr>
                <w:kern w:val="24"/>
              </w:rPr>
              <w:t>1、地表水</w:t>
            </w:r>
          </w:p>
          <w:p>
            <w:pPr>
              <w:pStyle w:val="254"/>
              <w:spacing w:line="360" w:lineRule="auto"/>
              <w:ind w:firstLine="360" w:firstLineChars="150"/>
            </w:pPr>
            <w:r>
              <w:t>根据《岳阳市水环境功能区管理规定》和《岳阳市水环境功能区划分》（岳政办发[2010]30号）</w:t>
            </w:r>
            <w:r>
              <w:rPr>
                <w:rFonts w:hint="eastAsia"/>
              </w:rPr>
              <w:t>：长江引水工程取水口上游500m至下游4500m水质执行《地表水环境质量标准》（GB3838-2002）Ⅲ类标准（其中长江谭子坑取水口水上游1000m至下游100m水质按照II类执行），华容河、华洪运河、一支渠及西干渠执行《</w:t>
            </w:r>
            <w:r>
              <w:fldChar w:fldCharType="begin"/>
            </w:r>
            <w:r>
              <w:instrText xml:space="preserve"> HYPERLINK "javascript:SLC(62496,0)" </w:instrText>
            </w:r>
            <w:r>
              <w:fldChar w:fldCharType="separate"/>
            </w:r>
            <w:r>
              <w:t>地表水环境质量标准</w:t>
            </w:r>
            <w:r>
              <w:fldChar w:fldCharType="end"/>
            </w:r>
            <w:r>
              <w:rPr>
                <w:rFonts w:hint="eastAsia"/>
              </w:rPr>
              <w:t>》（GB3838-2002）Ⅲ类标准管理；</w:t>
            </w:r>
            <w:r>
              <w:t>详见表 4-1；</w:t>
            </w:r>
          </w:p>
          <w:p>
            <w:pPr>
              <w:tabs>
                <w:tab w:val="left" w:pos="1021"/>
              </w:tabs>
              <w:spacing w:line="300" w:lineRule="exact"/>
              <w:jc w:val="center"/>
              <w:rPr>
                <w:b/>
                <w:bCs/>
                <w:sz w:val="21"/>
                <w:szCs w:val="21"/>
              </w:rPr>
            </w:pPr>
            <w:r>
              <w:rPr>
                <w:rFonts w:hint="eastAsia"/>
                <w:b/>
                <w:bCs/>
                <w:sz w:val="21"/>
                <w:szCs w:val="21"/>
              </w:rPr>
              <w:t xml:space="preserve"> 表</w:t>
            </w:r>
            <w:r>
              <w:rPr>
                <w:b/>
                <w:bCs/>
                <w:sz w:val="21"/>
                <w:szCs w:val="21"/>
              </w:rPr>
              <w:t>4-1</w:t>
            </w:r>
            <w:r>
              <w:rPr>
                <w:rFonts w:hint="eastAsia"/>
                <w:b/>
                <w:bCs/>
                <w:sz w:val="21"/>
                <w:szCs w:val="21"/>
              </w:rPr>
              <w:t xml:space="preserve">   《地表水环境质量标准》</w:t>
            </w:r>
            <w:r>
              <w:rPr>
                <w:b/>
                <w:bCs/>
                <w:sz w:val="21"/>
                <w:szCs w:val="21"/>
              </w:rPr>
              <w:t>(GB3838-2002) (</w:t>
            </w:r>
            <w:r>
              <w:rPr>
                <w:rFonts w:hint="eastAsia"/>
                <w:b/>
                <w:bCs/>
                <w:sz w:val="21"/>
                <w:szCs w:val="21"/>
              </w:rPr>
              <w:t>摘录)</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638"/>
              <w:gridCol w:w="534"/>
              <w:gridCol w:w="816"/>
              <w:gridCol w:w="816"/>
              <w:gridCol w:w="816"/>
              <w:gridCol w:w="816"/>
              <w:gridCol w:w="816"/>
              <w:gridCol w:w="812"/>
              <w:gridCol w:w="83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47" w:hRule="atLeast"/>
                <w:jc w:val="center"/>
              </w:trPr>
              <w:tc>
                <w:tcPr>
                  <w:tcW w:w="2212" w:type="dxa"/>
                  <w:vAlign w:val="center"/>
                </w:tcPr>
                <w:p>
                  <w:pPr>
                    <w:overflowPunct w:val="0"/>
                    <w:autoSpaceDE w:val="0"/>
                    <w:autoSpaceDN w:val="0"/>
                    <w:adjustRightInd w:val="0"/>
                    <w:spacing w:line="240" w:lineRule="atLeast"/>
                    <w:textAlignment w:val="baseline"/>
                    <w:rPr>
                      <w:sz w:val="21"/>
                    </w:rPr>
                  </w:pPr>
                  <w:r>
                    <w:rPr>
                      <w:sz w:val="21"/>
                    </w:rPr>
                    <w:t>《地表水环境质量标准》(GB3838-2002)</w:t>
                  </w:r>
                </w:p>
              </w:tc>
              <w:tc>
                <w:tcPr>
                  <w:tcW w:w="801" w:type="dxa"/>
                  <w:vAlign w:val="center"/>
                </w:tcPr>
                <w:p>
                  <w:pPr>
                    <w:overflowPunct w:val="0"/>
                    <w:autoSpaceDE w:val="0"/>
                    <w:autoSpaceDN w:val="0"/>
                    <w:adjustRightInd w:val="0"/>
                    <w:spacing w:line="240" w:lineRule="atLeast"/>
                    <w:jc w:val="center"/>
                    <w:textAlignment w:val="baseline"/>
                    <w:rPr>
                      <w:sz w:val="21"/>
                    </w:rPr>
                  </w:pPr>
                  <w:r>
                    <w:rPr>
                      <w:rFonts w:hint="eastAsia"/>
                      <w:sz w:val="21"/>
                    </w:rPr>
                    <w:t>p</w:t>
                  </w:r>
                  <w:r>
                    <w:rPr>
                      <w:sz w:val="21"/>
                    </w:rPr>
                    <w:t>H</w:t>
                  </w:r>
                </w:p>
              </w:tc>
              <w:tc>
                <w:tcPr>
                  <w:tcW w:w="855" w:type="dxa"/>
                  <w:vAlign w:val="center"/>
                </w:tcPr>
                <w:p>
                  <w:pPr>
                    <w:overflowPunct w:val="0"/>
                    <w:autoSpaceDE w:val="0"/>
                    <w:autoSpaceDN w:val="0"/>
                    <w:adjustRightInd w:val="0"/>
                    <w:spacing w:line="240" w:lineRule="atLeast"/>
                    <w:jc w:val="center"/>
                    <w:textAlignment w:val="baseline"/>
                    <w:rPr>
                      <w:sz w:val="21"/>
                    </w:rPr>
                  </w:pPr>
                  <w:r>
                    <w:rPr>
                      <w:rFonts w:hint="eastAsia"/>
                      <w:sz w:val="21"/>
                    </w:rPr>
                    <w:t>SS</w:t>
                  </w:r>
                </w:p>
                <w:p>
                  <w:pPr>
                    <w:overflowPunct w:val="0"/>
                    <w:autoSpaceDE w:val="0"/>
                    <w:autoSpaceDN w:val="0"/>
                    <w:adjustRightInd w:val="0"/>
                    <w:spacing w:line="240" w:lineRule="atLeast"/>
                    <w:jc w:val="center"/>
                    <w:textAlignment w:val="baseline"/>
                    <w:rPr>
                      <w:sz w:val="21"/>
                    </w:rPr>
                  </w:pPr>
                  <w:r>
                    <w:rPr>
                      <w:sz w:val="21"/>
                    </w:rPr>
                    <w:t>(mg/L)</w:t>
                  </w:r>
                </w:p>
              </w:tc>
              <w:tc>
                <w:tcPr>
                  <w:tcW w:w="855" w:type="dxa"/>
                  <w:vAlign w:val="center"/>
                </w:tcPr>
                <w:p>
                  <w:pPr>
                    <w:overflowPunct w:val="0"/>
                    <w:autoSpaceDE w:val="0"/>
                    <w:autoSpaceDN w:val="0"/>
                    <w:adjustRightInd w:val="0"/>
                    <w:spacing w:line="240" w:lineRule="atLeast"/>
                    <w:jc w:val="center"/>
                    <w:textAlignment w:val="baseline"/>
                    <w:rPr>
                      <w:sz w:val="21"/>
                    </w:rPr>
                  </w:pPr>
                  <w:r>
                    <w:rPr>
                      <w:rFonts w:hint="eastAsia"/>
                      <w:sz w:val="21"/>
                    </w:rPr>
                    <w:t>DO</w:t>
                  </w:r>
                  <w:r>
                    <w:rPr>
                      <w:sz w:val="21"/>
                    </w:rPr>
                    <w:t xml:space="preserve"> (mg/L)</w:t>
                  </w:r>
                </w:p>
              </w:tc>
              <w:tc>
                <w:tcPr>
                  <w:tcW w:w="855" w:type="dxa"/>
                  <w:tcBorders>
                    <w:right w:val="single" w:color="auto" w:sz="4" w:space="0"/>
                  </w:tcBorders>
                  <w:vAlign w:val="center"/>
                </w:tcPr>
                <w:p>
                  <w:pPr>
                    <w:overflowPunct w:val="0"/>
                    <w:autoSpaceDE w:val="0"/>
                    <w:autoSpaceDN w:val="0"/>
                    <w:adjustRightInd w:val="0"/>
                    <w:spacing w:line="240" w:lineRule="atLeast"/>
                    <w:jc w:val="center"/>
                    <w:textAlignment w:val="baseline"/>
                    <w:rPr>
                      <w:sz w:val="21"/>
                      <w:vertAlign w:val="subscript"/>
                    </w:rPr>
                  </w:pPr>
                  <w:r>
                    <w:rPr>
                      <w:rFonts w:hint="eastAsia"/>
                      <w:sz w:val="21"/>
                    </w:rPr>
                    <w:t>BOD</w:t>
                  </w:r>
                  <w:r>
                    <w:rPr>
                      <w:rFonts w:hint="eastAsia"/>
                      <w:sz w:val="21"/>
                      <w:vertAlign w:val="subscript"/>
                    </w:rPr>
                    <w:t>5</w:t>
                  </w:r>
                </w:p>
                <w:p>
                  <w:pPr>
                    <w:overflowPunct w:val="0"/>
                    <w:autoSpaceDE w:val="0"/>
                    <w:autoSpaceDN w:val="0"/>
                    <w:adjustRightInd w:val="0"/>
                    <w:spacing w:line="240" w:lineRule="atLeast"/>
                    <w:jc w:val="center"/>
                    <w:textAlignment w:val="baseline"/>
                    <w:rPr>
                      <w:sz w:val="21"/>
                    </w:rPr>
                  </w:pPr>
                  <w:r>
                    <w:rPr>
                      <w:sz w:val="21"/>
                    </w:rPr>
                    <w:t>(mg/L)</w:t>
                  </w:r>
                </w:p>
              </w:tc>
              <w:tc>
                <w:tcPr>
                  <w:tcW w:w="854" w:type="dxa"/>
                  <w:tcBorders>
                    <w:left w:val="single" w:color="auto" w:sz="4" w:space="0"/>
                  </w:tcBorders>
                  <w:vAlign w:val="center"/>
                </w:tcPr>
                <w:p>
                  <w:pPr>
                    <w:overflowPunct w:val="0"/>
                    <w:autoSpaceDE w:val="0"/>
                    <w:autoSpaceDN w:val="0"/>
                    <w:adjustRightInd w:val="0"/>
                    <w:spacing w:line="240" w:lineRule="atLeast"/>
                    <w:jc w:val="center"/>
                    <w:textAlignment w:val="baseline"/>
                    <w:rPr>
                      <w:sz w:val="21"/>
                    </w:rPr>
                  </w:pPr>
                  <w:r>
                    <w:rPr>
                      <w:rFonts w:hint="eastAsia"/>
                      <w:sz w:val="21"/>
                    </w:rPr>
                    <w:t>氨氮</w:t>
                  </w:r>
                </w:p>
                <w:p>
                  <w:pPr>
                    <w:overflowPunct w:val="0"/>
                    <w:autoSpaceDE w:val="0"/>
                    <w:autoSpaceDN w:val="0"/>
                    <w:adjustRightInd w:val="0"/>
                    <w:spacing w:line="240" w:lineRule="atLeast"/>
                    <w:jc w:val="center"/>
                    <w:textAlignment w:val="baseline"/>
                    <w:rPr>
                      <w:sz w:val="21"/>
                    </w:rPr>
                  </w:pPr>
                  <w:r>
                    <w:rPr>
                      <w:sz w:val="21"/>
                    </w:rPr>
                    <w:t>(mg/L)</w:t>
                  </w:r>
                </w:p>
              </w:tc>
              <w:tc>
                <w:tcPr>
                  <w:tcW w:w="854" w:type="dxa"/>
                  <w:vAlign w:val="center"/>
                </w:tcPr>
                <w:p>
                  <w:pPr>
                    <w:overflowPunct w:val="0"/>
                    <w:autoSpaceDE w:val="0"/>
                    <w:autoSpaceDN w:val="0"/>
                    <w:adjustRightInd w:val="0"/>
                    <w:spacing w:line="240" w:lineRule="atLeast"/>
                    <w:jc w:val="center"/>
                    <w:textAlignment w:val="baseline"/>
                    <w:rPr>
                      <w:sz w:val="21"/>
                    </w:rPr>
                  </w:pPr>
                  <w:r>
                    <w:rPr>
                      <w:sz w:val="21"/>
                    </w:rPr>
                    <w:t>石油类</w:t>
                  </w:r>
                </w:p>
                <w:p>
                  <w:pPr>
                    <w:overflowPunct w:val="0"/>
                    <w:autoSpaceDE w:val="0"/>
                    <w:autoSpaceDN w:val="0"/>
                    <w:adjustRightInd w:val="0"/>
                    <w:spacing w:line="240" w:lineRule="atLeast"/>
                    <w:jc w:val="center"/>
                    <w:textAlignment w:val="baseline"/>
                    <w:rPr>
                      <w:sz w:val="21"/>
                    </w:rPr>
                  </w:pPr>
                  <w:r>
                    <w:rPr>
                      <w:sz w:val="21"/>
                    </w:rPr>
                    <w:t>(mg/L)</w:t>
                  </w:r>
                </w:p>
              </w:tc>
              <w:tc>
                <w:tcPr>
                  <w:tcW w:w="757" w:type="dxa"/>
                  <w:vAlign w:val="center"/>
                </w:tcPr>
                <w:p>
                  <w:pPr>
                    <w:overflowPunct w:val="0"/>
                    <w:autoSpaceDE w:val="0"/>
                    <w:autoSpaceDN w:val="0"/>
                    <w:adjustRightInd w:val="0"/>
                    <w:spacing w:line="240" w:lineRule="atLeast"/>
                    <w:jc w:val="center"/>
                    <w:textAlignment w:val="baseline"/>
                    <w:rPr>
                      <w:sz w:val="21"/>
                    </w:rPr>
                  </w:pPr>
                  <w:r>
                    <w:rPr>
                      <w:rFonts w:hint="eastAsia"/>
                      <w:sz w:val="21"/>
                    </w:rPr>
                    <w:t>总磷</w:t>
                  </w:r>
                </w:p>
                <w:p>
                  <w:pPr>
                    <w:overflowPunct w:val="0"/>
                    <w:autoSpaceDE w:val="0"/>
                    <w:autoSpaceDN w:val="0"/>
                    <w:adjustRightInd w:val="0"/>
                    <w:spacing w:line="240" w:lineRule="atLeast"/>
                    <w:jc w:val="center"/>
                    <w:textAlignment w:val="baseline"/>
                    <w:rPr>
                      <w:sz w:val="21"/>
                    </w:rPr>
                  </w:pPr>
                  <w:r>
                    <w:rPr>
                      <w:sz w:val="21"/>
                    </w:rPr>
                    <w:t>(mg/L)</w:t>
                  </w:r>
                </w:p>
              </w:tc>
              <w:tc>
                <w:tcPr>
                  <w:tcW w:w="947" w:type="dxa"/>
                  <w:vAlign w:val="center"/>
                </w:tcPr>
                <w:p>
                  <w:pPr>
                    <w:overflowPunct w:val="0"/>
                    <w:autoSpaceDE w:val="0"/>
                    <w:autoSpaceDN w:val="0"/>
                    <w:adjustRightInd w:val="0"/>
                    <w:spacing w:line="240" w:lineRule="atLeast"/>
                    <w:jc w:val="center"/>
                    <w:textAlignment w:val="baseline"/>
                    <w:rPr>
                      <w:sz w:val="21"/>
                    </w:rPr>
                  </w:pPr>
                  <w:r>
                    <w:rPr>
                      <w:sz w:val="21"/>
                    </w:rPr>
                    <w:t>CO</w:t>
                  </w:r>
                  <w:r>
                    <w:rPr>
                      <w:rFonts w:hint="eastAsia"/>
                      <w:sz w:val="21"/>
                    </w:rPr>
                    <w:t>Dcr</w:t>
                  </w:r>
                </w:p>
                <w:p>
                  <w:pPr>
                    <w:overflowPunct w:val="0"/>
                    <w:autoSpaceDE w:val="0"/>
                    <w:autoSpaceDN w:val="0"/>
                    <w:adjustRightInd w:val="0"/>
                    <w:spacing w:line="240" w:lineRule="atLeast"/>
                    <w:jc w:val="center"/>
                    <w:textAlignment w:val="baseline"/>
                    <w:rPr>
                      <w:sz w:val="21"/>
                    </w:rPr>
                  </w:pPr>
                  <w:r>
                    <w:rPr>
                      <w:sz w:val="21"/>
                    </w:rPr>
                    <w:t>(mg/L)</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8" w:hRule="exact"/>
                <w:jc w:val="center"/>
              </w:trPr>
              <w:tc>
                <w:tcPr>
                  <w:tcW w:w="2212" w:type="dxa"/>
                  <w:vAlign w:val="center"/>
                </w:tcPr>
                <w:p>
                  <w:pPr>
                    <w:overflowPunct w:val="0"/>
                    <w:autoSpaceDE w:val="0"/>
                    <w:autoSpaceDN w:val="0"/>
                    <w:adjustRightInd w:val="0"/>
                    <w:snapToGrid w:val="0"/>
                    <w:spacing w:line="240" w:lineRule="atLeast"/>
                    <w:jc w:val="center"/>
                    <w:textAlignment w:val="baseline"/>
                    <w:rPr>
                      <w:sz w:val="21"/>
                    </w:rPr>
                  </w:pPr>
                  <w:r>
                    <w:rPr>
                      <w:rFonts w:hint="eastAsia" w:ascii="宋体" w:hAnsi="宋体" w:cs="宋体"/>
                      <w:sz w:val="21"/>
                    </w:rPr>
                    <w:t>Ⅲ</w:t>
                  </w:r>
                  <w:r>
                    <w:rPr>
                      <w:sz w:val="21"/>
                    </w:rPr>
                    <w:t>类标准</w:t>
                  </w:r>
                </w:p>
              </w:tc>
              <w:tc>
                <w:tcPr>
                  <w:tcW w:w="801" w:type="dxa"/>
                  <w:vAlign w:val="center"/>
                </w:tcPr>
                <w:p>
                  <w:pPr>
                    <w:overflowPunct w:val="0"/>
                    <w:autoSpaceDE w:val="0"/>
                    <w:autoSpaceDN w:val="0"/>
                    <w:adjustRightInd w:val="0"/>
                    <w:snapToGrid w:val="0"/>
                    <w:spacing w:line="240" w:lineRule="atLeast"/>
                    <w:jc w:val="center"/>
                    <w:textAlignment w:val="baseline"/>
                    <w:rPr>
                      <w:sz w:val="21"/>
                    </w:rPr>
                  </w:pPr>
                  <w:r>
                    <w:rPr>
                      <w:sz w:val="21"/>
                    </w:rPr>
                    <w:t>6</w:t>
                  </w:r>
                  <w:r>
                    <w:rPr>
                      <w:rFonts w:hint="eastAsia"/>
                      <w:sz w:val="21"/>
                    </w:rPr>
                    <w:t>-</w:t>
                  </w:r>
                  <w:r>
                    <w:rPr>
                      <w:sz w:val="21"/>
                    </w:rPr>
                    <w:t>9</w:t>
                  </w:r>
                </w:p>
              </w:tc>
              <w:tc>
                <w:tcPr>
                  <w:tcW w:w="855" w:type="dxa"/>
                  <w:vAlign w:val="center"/>
                </w:tcPr>
                <w:p>
                  <w:pPr>
                    <w:overflowPunct w:val="0"/>
                    <w:autoSpaceDE w:val="0"/>
                    <w:autoSpaceDN w:val="0"/>
                    <w:adjustRightInd w:val="0"/>
                    <w:snapToGrid w:val="0"/>
                    <w:spacing w:line="240" w:lineRule="atLeast"/>
                    <w:jc w:val="center"/>
                    <w:textAlignment w:val="baseline"/>
                    <w:rPr>
                      <w:sz w:val="21"/>
                    </w:rPr>
                  </w:pPr>
                  <w:r>
                    <w:rPr>
                      <w:rFonts w:hint="eastAsia"/>
                      <w:sz w:val="21"/>
                    </w:rPr>
                    <w:t>30*</w:t>
                  </w:r>
                </w:p>
              </w:tc>
              <w:tc>
                <w:tcPr>
                  <w:tcW w:w="855" w:type="dxa"/>
                  <w:vAlign w:val="center"/>
                </w:tcPr>
                <w:p>
                  <w:pPr>
                    <w:overflowPunct w:val="0"/>
                    <w:autoSpaceDE w:val="0"/>
                    <w:autoSpaceDN w:val="0"/>
                    <w:adjustRightInd w:val="0"/>
                    <w:snapToGrid w:val="0"/>
                    <w:spacing w:line="240" w:lineRule="atLeast"/>
                    <w:jc w:val="center"/>
                    <w:textAlignment w:val="baseline"/>
                    <w:rPr>
                      <w:sz w:val="21"/>
                    </w:rPr>
                  </w:pPr>
                  <w:r>
                    <w:rPr>
                      <w:rFonts w:hint="eastAsia"/>
                      <w:sz w:val="21"/>
                    </w:rPr>
                    <w:t>5</w:t>
                  </w:r>
                </w:p>
              </w:tc>
              <w:tc>
                <w:tcPr>
                  <w:tcW w:w="855" w:type="dxa"/>
                  <w:tcBorders>
                    <w:right w:val="single" w:color="auto" w:sz="4" w:space="0"/>
                  </w:tcBorders>
                  <w:vAlign w:val="center"/>
                </w:tcPr>
                <w:p>
                  <w:pPr>
                    <w:overflowPunct w:val="0"/>
                    <w:autoSpaceDE w:val="0"/>
                    <w:autoSpaceDN w:val="0"/>
                    <w:adjustRightInd w:val="0"/>
                    <w:snapToGrid w:val="0"/>
                    <w:spacing w:line="240" w:lineRule="atLeast"/>
                    <w:jc w:val="center"/>
                    <w:textAlignment w:val="baseline"/>
                    <w:rPr>
                      <w:sz w:val="21"/>
                    </w:rPr>
                  </w:pPr>
                  <w:r>
                    <w:rPr>
                      <w:rFonts w:hint="eastAsia"/>
                      <w:sz w:val="21"/>
                    </w:rPr>
                    <w:t>4</w:t>
                  </w:r>
                </w:p>
              </w:tc>
              <w:tc>
                <w:tcPr>
                  <w:tcW w:w="854" w:type="dxa"/>
                  <w:tcBorders>
                    <w:left w:val="single" w:color="auto" w:sz="4" w:space="0"/>
                  </w:tcBorders>
                  <w:vAlign w:val="center"/>
                </w:tcPr>
                <w:p>
                  <w:pPr>
                    <w:overflowPunct w:val="0"/>
                    <w:autoSpaceDE w:val="0"/>
                    <w:autoSpaceDN w:val="0"/>
                    <w:adjustRightInd w:val="0"/>
                    <w:snapToGrid w:val="0"/>
                    <w:spacing w:line="240" w:lineRule="atLeast"/>
                    <w:jc w:val="center"/>
                    <w:textAlignment w:val="baseline"/>
                    <w:rPr>
                      <w:sz w:val="21"/>
                    </w:rPr>
                  </w:pPr>
                  <w:r>
                    <w:rPr>
                      <w:rFonts w:hint="eastAsia"/>
                      <w:sz w:val="21"/>
                    </w:rPr>
                    <w:t>1.0</w:t>
                  </w:r>
                </w:p>
              </w:tc>
              <w:tc>
                <w:tcPr>
                  <w:tcW w:w="854" w:type="dxa"/>
                  <w:vAlign w:val="center"/>
                </w:tcPr>
                <w:p>
                  <w:pPr>
                    <w:overflowPunct w:val="0"/>
                    <w:autoSpaceDE w:val="0"/>
                    <w:autoSpaceDN w:val="0"/>
                    <w:adjustRightInd w:val="0"/>
                    <w:snapToGrid w:val="0"/>
                    <w:spacing w:line="240" w:lineRule="atLeast"/>
                    <w:jc w:val="center"/>
                    <w:textAlignment w:val="baseline"/>
                    <w:rPr>
                      <w:sz w:val="21"/>
                    </w:rPr>
                  </w:pPr>
                  <w:r>
                    <w:rPr>
                      <w:sz w:val="21"/>
                    </w:rPr>
                    <w:t>0.05</w:t>
                  </w:r>
                </w:p>
              </w:tc>
              <w:tc>
                <w:tcPr>
                  <w:tcW w:w="757" w:type="dxa"/>
                  <w:vAlign w:val="center"/>
                </w:tcPr>
                <w:p>
                  <w:pPr>
                    <w:overflowPunct w:val="0"/>
                    <w:autoSpaceDE w:val="0"/>
                    <w:autoSpaceDN w:val="0"/>
                    <w:adjustRightInd w:val="0"/>
                    <w:snapToGrid w:val="0"/>
                    <w:spacing w:line="240" w:lineRule="atLeast"/>
                    <w:jc w:val="center"/>
                    <w:textAlignment w:val="baseline"/>
                    <w:rPr>
                      <w:sz w:val="21"/>
                    </w:rPr>
                  </w:pPr>
                  <w:r>
                    <w:rPr>
                      <w:rFonts w:hint="eastAsia"/>
                      <w:sz w:val="21"/>
                    </w:rPr>
                    <w:t>0.2</w:t>
                  </w:r>
                </w:p>
              </w:tc>
              <w:tc>
                <w:tcPr>
                  <w:tcW w:w="947" w:type="dxa"/>
                  <w:vAlign w:val="center"/>
                </w:tcPr>
                <w:p>
                  <w:pPr>
                    <w:overflowPunct w:val="0"/>
                    <w:autoSpaceDE w:val="0"/>
                    <w:autoSpaceDN w:val="0"/>
                    <w:adjustRightInd w:val="0"/>
                    <w:snapToGrid w:val="0"/>
                    <w:spacing w:line="240" w:lineRule="atLeast"/>
                    <w:jc w:val="center"/>
                    <w:textAlignment w:val="baseline"/>
                    <w:rPr>
                      <w:sz w:val="21"/>
                    </w:rPr>
                  </w:pPr>
                  <w:r>
                    <w:rPr>
                      <w:rFonts w:hint="eastAsia"/>
                      <w:sz w:val="21"/>
                    </w:rPr>
                    <w:t>20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97" w:hRule="exact"/>
                <w:jc w:val="center"/>
              </w:trPr>
              <w:tc>
                <w:tcPr>
                  <w:tcW w:w="2212" w:type="dxa"/>
                  <w:vAlign w:val="center"/>
                </w:tcPr>
                <w:p>
                  <w:pPr>
                    <w:overflowPunct w:val="0"/>
                    <w:autoSpaceDE w:val="0"/>
                    <w:autoSpaceDN w:val="0"/>
                    <w:adjustRightInd w:val="0"/>
                    <w:snapToGrid w:val="0"/>
                    <w:spacing w:line="240" w:lineRule="atLeast"/>
                    <w:jc w:val="center"/>
                    <w:textAlignment w:val="baseline"/>
                    <w:rPr>
                      <w:rFonts w:ascii="宋体" w:hAnsi="宋体" w:cs="宋体"/>
                      <w:sz w:val="21"/>
                    </w:rPr>
                  </w:pPr>
                  <w:r>
                    <w:rPr>
                      <w:rFonts w:hint="eastAsia" w:ascii="宋体" w:hAnsi="宋体" w:cs="宋体"/>
                      <w:sz w:val="21"/>
                    </w:rPr>
                    <w:t>Ⅱ</w:t>
                  </w:r>
                  <w:r>
                    <w:rPr>
                      <w:sz w:val="21"/>
                    </w:rPr>
                    <w:t>类标准</w:t>
                  </w:r>
                </w:p>
              </w:tc>
              <w:tc>
                <w:tcPr>
                  <w:tcW w:w="801" w:type="dxa"/>
                  <w:vAlign w:val="center"/>
                </w:tcPr>
                <w:p>
                  <w:pPr>
                    <w:overflowPunct w:val="0"/>
                    <w:autoSpaceDE w:val="0"/>
                    <w:autoSpaceDN w:val="0"/>
                    <w:adjustRightInd w:val="0"/>
                    <w:snapToGrid w:val="0"/>
                    <w:spacing w:line="240" w:lineRule="atLeast"/>
                    <w:jc w:val="center"/>
                    <w:textAlignment w:val="baseline"/>
                    <w:rPr>
                      <w:sz w:val="21"/>
                    </w:rPr>
                  </w:pPr>
                  <w:r>
                    <w:rPr>
                      <w:sz w:val="21"/>
                    </w:rPr>
                    <w:t>6</w:t>
                  </w:r>
                  <w:r>
                    <w:rPr>
                      <w:rFonts w:hint="eastAsia"/>
                      <w:sz w:val="21"/>
                    </w:rPr>
                    <w:t>-</w:t>
                  </w:r>
                  <w:r>
                    <w:rPr>
                      <w:sz w:val="21"/>
                    </w:rPr>
                    <w:t>9</w:t>
                  </w:r>
                </w:p>
              </w:tc>
              <w:tc>
                <w:tcPr>
                  <w:tcW w:w="855" w:type="dxa"/>
                  <w:vAlign w:val="center"/>
                </w:tcPr>
                <w:p>
                  <w:pPr>
                    <w:overflowPunct w:val="0"/>
                    <w:autoSpaceDE w:val="0"/>
                    <w:autoSpaceDN w:val="0"/>
                    <w:adjustRightInd w:val="0"/>
                    <w:snapToGrid w:val="0"/>
                    <w:spacing w:line="240" w:lineRule="atLeast"/>
                    <w:jc w:val="center"/>
                    <w:textAlignment w:val="baseline"/>
                    <w:rPr>
                      <w:sz w:val="21"/>
                    </w:rPr>
                  </w:pPr>
                  <w:r>
                    <w:rPr>
                      <w:rFonts w:hint="eastAsia"/>
                      <w:sz w:val="21"/>
                    </w:rPr>
                    <w:t>25*</w:t>
                  </w:r>
                </w:p>
              </w:tc>
              <w:tc>
                <w:tcPr>
                  <w:tcW w:w="855" w:type="dxa"/>
                  <w:vAlign w:val="center"/>
                </w:tcPr>
                <w:p>
                  <w:pPr>
                    <w:overflowPunct w:val="0"/>
                    <w:autoSpaceDE w:val="0"/>
                    <w:autoSpaceDN w:val="0"/>
                    <w:adjustRightInd w:val="0"/>
                    <w:snapToGrid w:val="0"/>
                    <w:spacing w:line="240" w:lineRule="atLeast"/>
                    <w:jc w:val="center"/>
                    <w:textAlignment w:val="baseline"/>
                    <w:rPr>
                      <w:sz w:val="21"/>
                    </w:rPr>
                  </w:pPr>
                  <w:r>
                    <w:rPr>
                      <w:rFonts w:hint="eastAsia"/>
                      <w:sz w:val="21"/>
                    </w:rPr>
                    <w:t>6</w:t>
                  </w:r>
                </w:p>
              </w:tc>
              <w:tc>
                <w:tcPr>
                  <w:tcW w:w="855" w:type="dxa"/>
                  <w:tcBorders>
                    <w:right w:val="single" w:color="auto" w:sz="4" w:space="0"/>
                  </w:tcBorders>
                  <w:vAlign w:val="center"/>
                </w:tcPr>
                <w:p>
                  <w:pPr>
                    <w:overflowPunct w:val="0"/>
                    <w:autoSpaceDE w:val="0"/>
                    <w:autoSpaceDN w:val="0"/>
                    <w:adjustRightInd w:val="0"/>
                    <w:snapToGrid w:val="0"/>
                    <w:spacing w:line="240" w:lineRule="atLeast"/>
                    <w:jc w:val="center"/>
                    <w:textAlignment w:val="baseline"/>
                    <w:rPr>
                      <w:sz w:val="21"/>
                    </w:rPr>
                  </w:pPr>
                  <w:r>
                    <w:rPr>
                      <w:rFonts w:hint="eastAsia"/>
                      <w:sz w:val="21"/>
                    </w:rPr>
                    <w:t>3</w:t>
                  </w:r>
                </w:p>
              </w:tc>
              <w:tc>
                <w:tcPr>
                  <w:tcW w:w="854" w:type="dxa"/>
                  <w:tcBorders>
                    <w:left w:val="single" w:color="auto" w:sz="4" w:space="0"/>
                  </w:tcBorders>
                  <w:vAlign w:val="center"/>
                </w:tcPr>
                <w:p>
                  <w:pPr>
                    <w:overflowPunct w:val="0"/>
                    <w:autoSpaceDE w:val="0"/>
                    <w:autoSpaceDN w:val="0"/>
                    <w:adjustRightInd w:val="0"/>
                    <w:snapToGrid w:val="0"/>
                    <w:spacing w:line="240" w:lineRule="atLeast"/>
                    <w:jc w:val="center"/>
                    <w:textAlignment w:val="baseline"/>
                    <w:rPr>
                      <w:sz w:val="21"/>
                    </w:rPr>
                  </w:pPr>
                  <w:r>
                    <w:rPr>
                      <w:rFonts w:hint="eastAsia"/>
                      <w:sz w:val="21"/>
                    </w:rPr>
                    <w:t>0.5</w:t>
                  </w:r>
                </w:p>
              </w:tc>
              <w:tc>
                <w:tcPr>
                  <w:tcW w:w="854" w:type="dxa"/>
                  <w:vAlign w:val="center"/>
                </w:tcPr>
                <w:p>
                  <w:pPr>
                    <w:overflowPunct w:val="0"/>
                    <w:autoSpaceDE w:val="0"/>
                    <w:autoSpaceDN w:val="0"/>
                    <w:adjustRightInd w:val="0"/>
                    <w:snapToGrid w:val="0"/>
                    <w:spacing w:line="240" w:lineRule="atLeast"/>
                    <w:jc w:val="center"/>
                    <w:textAlignment w:val="baseline"/>
                    <w:rPr>
                      <w:sz w:val="21"/>
                    </w:rPr>
                  </w:pPr>
                  <w:r>
                    <w:rPr>
                      <w:sz w:val="21"/>
                    </w:rPr>
                    <w:t>0.05</w:t>
                  </w:r>
                </w:p>
              </w:tc>
              <w:tc>
                <w:tcPr>
                  <w:tcW w:w="757" w:type="dxa"/>
                  <w:vAlign w:val="center"/>
                </w:tcPr>
                <w:p>
                  <w:pPr>
                    <w:overflowPunct w:val="0"/>
                    <w:autoSpaceDE w:val="0"/>
                    <w:autoSpaceDN w:val="0"/>
                    <w:adjustRightInd w:val="0"/>
                    <w:snapToGrid w:val="0"/>
                    <w:spacing w:line="240" w:lineRule="atLeast"/>
                    <w:jc w:val="center"/>
                    <w:textAlignment w:val="baseline"/>
                    <w:rPr>
                      <w:sz w:val="21"/>
                    </w:rPr>
                  </w:pPr>
                  <w:r>
                    <w:rPr>
                      <w:rFonts w:hint="eastAsia"/>
                      <w:sz w:val="21"/>
                    </w:rPr>
                    <w:t>0.1</w:t>
                  </w:r>
                </w:p>
              </w:tc>
              <w:tc>
                <w:tcPr>
                  <w:tcW w:w="947" w:type="dxa"/>
                  <w:vAlign w:val="center"/>
                </w:tcPr>
                <w:p>
                  <w:pPr>
                    <w:overflowPunct w:val="0"/>
                    <w:autoSpaceDE w:val="0"/>
                    <w:autoSpaceDN w:val="0"/>
                    <w:adjustRightInd w:val="0"/>
                    <w:snapToGrid w:val="0"/>
                    <w:spacing w:line="240" w:lineRule="atLeast"/>
                    <w:jc w:val="center"/>
                    <w:textAlignment w:val="baseline"/>
                    <w:rPr>
                      <w:sz w:val="21"/>
                    </w:rPr>
                  </w:pPr>
                  <w:r>
                    <w:rPr>
                      <w:rFonts w:hint="eastAsia"/>
                      <w:sz w:val="21"/>
                    </w:rPr>
                    <w:t>15</w:t>
                  </w:r>
                </w:p>
              </w:tc>
            </w:tr>
          </w:tbl>
          <w:p>
            <w:pPr>
              <w:pStyle w:val="3"/>
              <w:adjustRightInd w:val="0"/>
              <w:spacing w:line="360" w:lineRule="auto"/>
              <w:ind w:right="-94" w:rightChars="-39"/>
              <w:rPr>
                <w:kern w:val="24"/>
                <w:sz w:val="21"/>
                <w:szCs w:val="21"/>
              </w:rPr>
            </w:pPr>
            <w:r>
              <w:rPr>
                <w:rFonts w:hint="eastAsia"/>
                <w:kern w:val="24"/>
                <w:sz w:val="21"/>
                <w:szCs w:val="21"/>
              </w:rPr>
              <w:t>注：SS执行《地表水资源质量标准》标准</w:t>
            </w:r>
          </w:p>
          <w:p>
            <w:pPr>
              <w:tabs>
                <w:tab w:val="left" w:pos="1021"/>
              </w:tabs>
              <w:spacing w:line="300" w:lineRule="auto"/>
              <w:ind w:left="617" w:leftChars="257" w:firstLine="120" w:firstLineChars="50"/>
              <w:rPr>
                <w:kern w:val="24"/>
              </w:rPr>
            </w:pPr>
            <w:r>
              <w:rPr>
                <w:rFonts w:hint="eastAsia"/>
                <w:kern w:val="24"/>
              </w:rPr>
              <w:t>2、地下水环境质量</w:t>
            </w:r>
          </w:p>
          <w:p>
            <w:pPr>
              <w:spacing w:line="360" w:lineRule="auto"/>
              <w:ind w:firstLine="480" w:firstLineChars="200"/>
              <w:rPr>
                <w:kern w:val="24"/>
              </w:rPr>
            </w:pPr>
            <w:r>
              <w:rPr>
                <w:rFonts w:hint="eastAsia"/>
                <w:kern w:val="24"/>
              </w:rPr>
              <w:t>地下水水质评价</w:t>
            </w:r>
            <w:r>
              <w:rPr>
                <w:kern w:val="24"/>
              </w:rPr>
              <w:t>执行《地下水质量标准》（GB/T14848-</w:t>
            </w:r>
            <w:r>
              <w:rPr>
                <w:rFonts w:hint="eastAsia"/>
                <w:kern w:val="24"/>
              </w:rPr>
              <w:t>2017</w:t>
            </w:r>
            <w:r>
              <w:rPr>
                <w:kern w:val="24"/>
              </w:rPr>
              <w:t>）</w:t>
            </w:r>
            <w:r>
              <w:rPr>
                <w:rFonts w:hint="eastAsia"/>
                <w:kern w:val="24"/>
              </w:rPr>
              <w:t>Ⅲ类标准，部分指标标准值见表</w:t>
            </w:r>
            <w:r>
              <w:rPr>
                <w:kern w:val="24"/>
              </w:rPr>
              <w:t>4-2</w:t>
            </w:r>
            <w:r>
              <w:rPr>
                <w:rFonts w:hint="eastAsia"/>
                <w:kern w:val="24"/>
              </w:rPr>
              <w:t>。</w:t>
            </w:r>
          </w:p>
          <w:p>
            <w:pPr>
              <w:tabs>
                <w:tab w:val="left" w:pos="1021"/>
              </w:tabs>
              <w:spacing w:line="440" w:lineRule="exact"/>
              <w:jc w:val="center"/>
              <w:rPr>
                <w:b/>
                <w:bCs/>
                <w:sz w:val="21"/>
                <w:szCs w:val="21"/>
              </w:rPr>
            </w:pPr>
            <w:r>
              <w:rPr>
                <w:rFonts w:hint="eastAsia"/>
                <w:b/>
                <w:bCs/>
                <w:sz w:val="21"/>
                <w:szCs w:val="21"/>
              </w:rPr>
              <w:t>表</w:t>
            </w:r>
            <w:r>
              <w:rPr>
                <w:b/>
                <w:bCs/>
                <w:sz w:val="21"/>
                <w:szCs w:val="21"/>
              </w:rPr>
              <w:t>4</w:t>
            </w:r>
            <w:r>
              <w:rPr>
                <w:rFonts w:hint="eastAsia"/>
                <w:b/>
                <w:bCs/>
                <w:sz w:val="21"/>
                <w:szCs w:val="21"/>
              </w:rPr>
              <w:t>-2  《地下水质量标准》（</w:t>
            </w:r>
            <w:r>
              <w:rPr>
                <w:b/>
                <w:bCs/>
                <w:sz w:val="21"/>
                <w:szCs w:val="21"/>
              </w:rPr>
              <w:t>GB/T14848-2017</w:t>
            </w:r>
            <w:r>
              <w:rPr>
                <w:rFonts w:hint="eastAsia"/>
                <w:b/>
                <w:bCs/>
                <w:sz w:val="21"/>
                <w:szCs w:val="21"/>
              </w:rPr>
              <w:t>）（摘录）</w:t>
            </w:r>
          </w:p>
          <w:tbl>
            <w:tblPr>
              <w:tblStyle w:val="44"/>
              <w:tblW w:w="0" w:type="auto"/>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012"/>
              <w:gridCol w:w="4495"/>
              <w:gridCol w:w="196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1012" w:type="dxa"/>
                  <w:vAlign w:val="center"/>
                </w:tcPr>
                <w:p>
                  <w:pPr>
                    <w:overflowPunct w:val="0"/>
                    <w:autoSpaceDE w:val="0"/>
                    <w:autoSpaceDN w:val="0"/>
                    <w:adjustRightInd w:val="0"/>
                    <w:spacing w:line="320" w:lineRule="exact"/>
                    <w:jc w:val="center"/>
                    <w:textAlignment w:val="baseline"/>
                    <w:rPr>
                      <w:sz w:val="21"/>
                      <w:szCs w:val="21"/>
                    </w:rPr>
                  </w:pPr>
                  <w:r>
                    <w:rPr>
                      <w:rFonts w:hint="eastAsia"/>
                      <w:sz w:val="21"/>
                      <w:szCs w:val="21"/>
                    </w:rPr>
                    <w:t>序号</w:t>
                  </w:r>
                </w:p>
              </w:tc>
              <w:tc>
                <w:tcPr>
                  <w:tcW w:w="4495" w:type="dxa"/>
                  <w:vAlign w:val="center"/>
                </w:tcPr>
                <w:p>
                  <w:pPr>
                    <w:overflowPunct w:val="0"/>
                    <w:autoSpaceDE w:val="0"/>
                    <w:autoSpaceDN w:val="0"/>
                    <w:adjustRightInd w:val="0"/>
                    <w:spacing w:line="320" w:lineRule="exact"/>
                    <w:jc w:val="center"/>
                    <w:textAlignment w:val="baseline"/>
                    <w:rPr>
                      <w:sz w:val="21"/>
                      <w:szCs w:val="21"/>
                    </w:rPr>
                  </w:pPr>
                  <w:r>
                    <w:rPr>
                      <w:rFonts w:hint="eastAsia"/>
                      <w:sz w:val="21"/>
                      <w:szCs w:val="21"/>
                    </w:rPr>
                    <w:t>项目</w:t>
                  </w:r>
                </w:p>
              </w:tc>
              <w:tc>
                <w:tcPr>
                  <w:tcW w:w="1968" w:type="dxa"/>
                  <w:vAlign w:val="center"/>
                </w:tcPr>
                <w:p>
                  <w:pPr>
                    <w:overflowPunct w:val="0"/>
                    <w:autoSpaceDE w:val="0"/>
                    <w:autoSpaceDN w:val="0"/>
                    <w:adjustRightInd w:val="0"/>
                    <w:spacing w:line="320" w:lineRule="exact"/>
                    <w:jc w:val="center"/>
                    <w:textAlignment w:val="baseline"/>
                    <w:rPr>
                      <w:b/>
                      <w:sz w:val="21"/>
                      <w:szCs w:val="21"/>
                    </w:rPr>
                  </w:pPr>
                  <w:r>
                    <w:rPr>
                      <w:rFonts w:hint="eastAsia"/>
                      <w:b/>
                      <w:sz w:val="21"/>
                      <w:szCs w:val="21"/>
                    </w:rPr>
                    <w:t>III类</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1012" w:type="dxa"/>
                  <w:vAlign w:val="center"/>
                </w:tcPr>
                <w:p>
                  <w:pPr>
                    <w:overflowPunct w:val="0"/>
                    <w:autoSpaceDE w:val="0"/>
                    <w:autoSpaceDN w:val="0"/>
                    <w:adjustRightInd w:val="0"/>
                    <w:spacing w:line="320" w:lineRule="exact"/>
                    <w:jc w:val="center"/>
                    <w:textAlignment w:val="baseline"/>
                    <w:rPr>
                      <w:sz w:val="21"/>
                      <w:szCs w:val="21"/>
                    </w:rPr>
                  </w:pPr>
                  <w:r>
                    <w:rPr>
                      <w:rFonts w:hint="eastAsia"/>
                      <w:sz w:val="21"/>
                      <w:szCs w:val="21"/>
                    </w:rPr>
                    <w:t>1</w:t>
                  </w:r>
                </w:p>
              </w:tc>
              <w:tc>
                <w:tcPr>
                  <w:tcW w:w="4495" w:type="dxa"/>
                  <w:vAlign w:val="center"/>
                </w:tcPr>
                <w:p>
                  <w:pPr>
                    <w:overflowPunct w:val="0"/>
                    <w:autoSpaceDE w:val="0"/>
                    <w:autoSpaceDN w:val="0"/>
                    <w:adjustRightInd w:val="0"/>
                    <w:spacing w:line="320" w:lineRule="exact"/>
                    <w:jc w:val="center"/>
                    <w:textAlignment w:val="baseline"/>
                    <w:rPr>
                      <w:sz w:val="21"/>
                      <w:szCs w:val="21"/>
                    </w:rPr>
                  </w:pPr>
                  <w:r>
                    <w:rPr>
                      <w:rFonts w:hint="eastAsia"/>
                      <w:sz w:val="21"/>
                      <w:szCs w:val="21"/>
                    </w:rPr>
                    <w:t>pH</w:t>
                  </w:r>
                </w:p>
              </w:tc>
              <w:tc>
                <w:tcPr>
                  <w:tcW w:w="1968" w:type="dxa"/>
                  <w:vAlign w:val="center"/>
                </w:tcPr>
                <w:p>
                  <w:pPr>
                    <w:overflowPunct w:val="0"/>
                    <w:autoSpaceDE w:val="0"/>
                    <w:autoSpaceDN w:val="0"/>
                    <w:adjustRightInd w:val="0"/>
                    <w:spacing w:line="320" w:lineRule="exact"/>
                    <w:jc w:val="center"/>
                    <w:textAlignment w:val="baseline"/>
                    <w:rPr>
                      <w:sz w:val="21"/>
                      <w:szCs w:val="21"/>
                    </w:rPr>
                  </w:pPr>
                  <w:r>
                    <w:rPr>
                      <w:rFonts w:hint="eastAsia"/>
                      <w:sz w:val="21"/>
                      <w:szCs w:val="21"/>
                    </w:rPr>
                    <w:t>6.5-8.5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1012" w:type="dxa"/>
                  <w:vAlign w:val="center"/>
                </w:tcPr>
                <w:p>
                  <w:pPr>
                    <w:overflowPunct w:val="0"/>
                    <w:autoSpaceDE w:val="0"/>
                    <w:autoSpaceDN w:val="0"/>
                    <w:adjustRightInd w:val="0"/>
                    <w:spacing w:line="320" w:lineRule="exact"/>
                    <w:jc w:val="center"/>
                    <w:textAlignment w:val="baseline"/>
                    <w:rPr>
                      <w:sz w:val="21"/>
                      <w:szCs w:val="21"/>
                    </w:rPr>
                  </w:pPr>
                  <w:r>
                    <w:rPr>
                      <w:rFonts w:hint="eastAsia"/>
                      <w:sz w:val="21"/>
                      <w:szCs w:val="21"/>
                    </w:rPr>
                    <w:t>-</w:t>
                  </w:r>
                </w:p>
              </w:tc>
              <w:tc>
                <w:tcPr>
                  <w:tcW w:w="4495" w:type="dxa"/>
                  <w:vAlign w:val="center"/>
                </w:tcPr>
                <w:p>
                  <w:pPr>
                    <w:overflowPunct w:val="0"/>
                    <w:autoSpaceDE w:val="0"/>
                    <w:autoSpaceDN w:val="0"/>
                    <w:adjustRightInd w:val="0"/>
                    <w:spacing w:line="320" w:lineRule="exact"/>
                    <w:jc w:val="center"/>
                    <w:textAlignment w:val="baseline"/>
                    <w:rPr>
                      <w:sz w:val="21"/>
                      <w:szCs w:val="21"/>
                    </w:rPr>
                  </w:pPr>
                  <w:r>
                    <w:rPr>
                      <w:rFonts w:hint="eastAsia"/>
                      <w:sz w:val="21"/>
                      <w:szCs w:val="21"/>
                    </w:rPr>
                    <w:t>总硬度（以CaCO</w:t>
                  </w:r>
                  <w:r>
                    <w:rPr>
                      <w:rFonts w:hint="eastAsia"/>
                      <w:sz w:val="21"/>
                      <w:szCs w:val="21"/>
                      <w:vertAlign w:val="subscript"/>
                    </w:rPr>
                    <w:t>3</w:t>
                  </w:r>
                  <w:r>
                    <w:rPr>
                      <w:rFonts w:hint="eastAsia"/>
                      <w:sz w:val="21"/>
                      <w:szCs w:val="21"/>
                    </w:rPr>
                    <w:t>计）（mg/L）</w:t>
                  </w:r>
                </w:p>
              </w:tc>
              <w:tc>
                <w:tcPr>
                  <w:tcW w:w="1968" w:type="dxa"/>
                  <w:vAlign w:val="center"/>
                </w:tcPr>
                <w:p>
                  <w:pPr>
                    <w:overflowPunct w:val="0"/>
                    <w:autoSpaceDE w:val="0"/>
                    <w:autoSpaceDN w:val="0"/>
                    <w:adjustRightInd w:val="0"/>
                    <w:spacing w:line="320" w:lineRule="exact"/>
                    <w:jc w:val="center"/>
                    <w:textAlignment w:val="baseline"/>
                    <w:rPr>
                      <w:b/>
                      <w:sz w:val="21"/>
                      <w:szCs w:val="21"/>
                    </w:rPr>
                  </w:pPr>
                  <w:r>
                    <w:rPr>
                      <w:rFonts w:hint="eastAsia"/>
                      <w:b/>
                      <w:sz w:val="21"/>
                      <w:szCs w:val="21"/>
                    </w:rPr>
                    <w:t>≤450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1012" w:type="dxa"/>
                  <w:vAlign w:val="center"/>
                </w:tcPr>
                <w:p>
                  <w:pPr>
                    <w:overflowPunct w:val="0"/>
                    <w:autoSpaceDE w:val="0"/>
                    <w:autoSpaceDN w:val="0"/>
                    <w:adjustRightInd w:val="0"/>
                    <w:snapToGrid w:val="0"/>
                    <w:spacing w:line="320" w:lineRule="exact"/>
                    <w:jc w:val="center"/>
                    <w:textAlignment w:val="baseline"/>
                    <w:rPr>
                      <w:rFonts w:cs="宋体"/>
                      <w:sz w:val="21"/>
                      <w:szCs w:val="21"/>
                    </w:rPr>
                  </w:pPr>
                  <w:r>
                    <w:rPr>
                      <w:rFonts w:hint="eastAsia" w:cs="宋体"/>
                      <w:sz w:val="21"/>
                      <w:szCs w:val="21"/>
                    </w:rPr>
                    <w:t>3</w:t>
                  </w:r>
                </w:p>
              </w:tc>
              <w:tc>
                <w:tcPr>
                  <w:tcW w:w="4495" w:type="dxa"/>
                  <w:vAlign w:val="center"/>
                </w:tcPr>
                <w:p>
                  <w:pPr>
                    <w:overflowPunct w:val="0"/>
                    <w:autoSpaceDE w:val="0"/>
                    <w:autoSpaceDN w:val="0"/>
                    <w:adjustRightInd w:val="0"/>
                    <w:snapToGrid w:val="0"/>
                    <w:spacing w:line="320" w:lineRule="exact"/>
                    <w:jc w:val="center"/>
                    <w:textAlignment w:val="baseline"/>
                    <w:rPr>
                      <w:sz w:val="21"/>
                      <w:szCs w:val="21"/>
                    </w:rPr>
                  </w:pPr>
                  <w:r>
                    <w:rPr>
                      <w:rFonts w:hint="eastAsia"/>
                      <w:sz w:val="21"/>
                      <w:szCs w:val="21"/>
                    </w:rPr>
                    <w:t>溶解性总固体（mg/L）</w:t>
                  </w:r>
                </w:p>
              </w:tc>
              <w:tc>
                <w:tcPr>
                  <w:tcW w:w="1968" w:type="dxa"/>
                  <w:vAlign w:val="center"/>
                </w:tcPr>
                <w:p>
                  <w:pPr>
                    <w:overflowPunct w:val="0"/>
                    <w:autoSpaceDE w:val="0"/>
                    <w:autoSpaceDN w:val="0"/>
                    <w:adjustRightInd w:val="0"/>
                    <w:snapToGrid w:val="0"/>
                    <w:spacing w:line="320" w:lineRule="exact"/>
                    <w:jc w:val="center"/>
                    <w:textAlignment w:val="baseline"/>
                    <w:rPr>
                      <w:b/>
                      <w:sz w:val="21"/>
                      <w:szCs w:val="21"/>
                    </w:rPr>
                  </w:pPr>
                  <w:r>
                    <w:rPr>
                      <w:rFonts w:hint="eastAsia"/>
                      <w:b/>
                      <w:sz w:val="21"/>
                      <w:szCs w:val="21"/>
                    </w:rPr>
                    <w:t>≤1000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1012" w:type="dxa"/>
                  <w:vAlign w:val="center"/>
                </w:tcPr>
                <w:p>
                  <w:pPr>
                    <w:overflowPunct w:val="0"/>
                    <w:autoSpaceDE w:val="0"/>
                    <w:autoSpaceDN w:val="0"/>
                    <w:adjustRightInd w:val="0"/>
                    <w:snapToGrid w:val="0"/>
                    <w:spacing w:line="320" w:lineRule="exact"/>
                    <w:jc w:val="center"/>
                    <w:textAlignment w:val="baseline"/>
                    <w:rPr>
                      <w:rFonts w:cs="宋体"/>
                      <w:sz w:val="21"/>
                      <w:szCs w:val="21"/>
                    </w:rPr>
                  </w:pPr>
                  <w:r>
                    <w:rPr>
                      <w:rFonts w:hint="eastAsia" w:cs="宋体"/>
                      <w:sz w:val="21"/>
                      <w:szCs w:val="21"/>
                    </w:rPr>
                    <w:t>4</w:t>
                  </w:r>
                </w:p>
              </w:tc>
              <w:tc>
                <w:tcPr>
                  <w:tcW w:w="4495" w:type="dxa"/>
                  <w:vAlign w:val="center"/>
                </w:tcPr>
                <w:p>
                  <w:pPr>
                    <w:overflowPunct w:val="0"/>
                    <w:autoSpaceDE w:val="0"/>
                    <w:autoSpaceDN w:val="0"/>
                    <w:adjustRightInd w:val="0"/>
                    <w:snapToGrid w:val="0"/>
                    <w:spacing w:line="320" w:lineRule="exact"/>
                    <w:jc w:val="center"/>
                    <w:textAlignment w:val="baseline"/>
                    <w:rPr>
                      <w:sz w:val="21"/>
                      <w:szCs w:val="21"/>
                    </w:rPr>
                  </w:pPr>
                  <w:r>
                    <w:rPr>
                      <w:rFonts w:hint="eastAsia"/>
                      <w:sz w:val="21"/>
                      <w:szCs w:val="21"/>
                    </w:rPr>
                    <w:t>硫酸盐（mg/L）</w:t>
                  </w:r>
                </w:p>
              </w:tc>
              <w:tc>
                <w:tcPr>
                  <w:tcW w:w="1968" w:type="dxa"/>
                  <w:vAlign w:val="center"/>
                </w:tcPr>
                <w:p>
                  <w:pPr>
                    <w:overflowPunct w:val="0"/>
                    <w:autoSpaceDE w:val="0"/>
                    <w:autoSpaceDN w:val="0"/>
                    <w:adjustRightInd w:val="0"/>
                    <w:snapToGrid w:val="0"/>
                    <w:spacing w:line="320" w:lineRule="exact"/>
                    <w:jc w:val="center"/>
                    <w:textAlignment w:val="baseline"/>
                    <w:rPr>
                      <w:b/>
                      <w:sz w:val="21"/>
                      <w:szCs w:val="21"/>
                    </w:rPr>
                  </w:pPr>
                  <w:r>
                    <w:rPr>
                      <w:rFonts w:hint="eastAsia"/>
                      <w:b/>
                      <w:sz w:val="21"/>
                      <w:szCs w:val="21"/>
                    </w:rPr>
                    <w:t>≤250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1012" w:type="dxa"/>
                  <w:vAlign w:val="center"/>
                </w:tcPr>
                <w:p>
                  <w:pPr>
                    <w:overflowPunct w:val="0"/>
                    <w:autoSpaceDE w:val="0"/>
                    <w:autoSpaceDN w:val="0"/>
                    <w:adjustRightInd w:val="0"/>
                    <w:snapToGrid w:val="0"/>
                    <w:spacing w:line="320" w:lineRule="exact"/>
                    <w:jc w:val="center"/>
                    <w:textAlignment w:val="baseline"/>
                    <w:rPr>
                      <w:rFonts w:cs="宋体"/>
                      <w:sz w:val="21"/>
                      <w:szCs w:val="21"/>
                    </w:rPr>
                  </w:pPr>
                  <w:r>
                    <w:rPr>
                      <w:rFonts w:hint="eastAsia" w:cs="宋体"/>
                      <w:sz w:val="21"/>
                      <w:szCs w:val="21"/>
                    </w:rPr>
                    <w:t>5</w:t>
                  </w:r>
                </w:p>
              </w:tc>
              <w:tc>
                <w:tcPr>
                  <w:tcW w:w="4495" w:type="dxa"/>
                  <w:vAlign w:val="center"/>
                </w:tcPr>
                <w:p>
                  <w:pPr>
                    <w:overflowPunct w:val="0"/>
                    <w:autoSpaceDE w:val="0"/>
                    <w:autoSpaceDN w:val="0"/>
                    <w:adjustRightInd w:val="0"/>
                    <w:snapToGrid w:val="0"/>
                    <w:spacing w:line="320" w:lineRule="exact"/>
                    <w:jc w:val="center"/>
                    <w:textAlignment w:val="baseline"/>
                    <w:rPr>
                      <w:sz w:val="21"/>
                      <w:szCs w:val="21"/>
                    </w:rPr>
                  </w:pPr>
                  <w:r>
                    <w:rPr>
                      <w:rFonts w:hint="eastAsia"/>
                      <w:sz w:val="21"/>
                      <w:szCs w:val="21"/>
                    </w:rPr>
                    <w:t>氯化物（mg/L）</w:t>
                  </w:r>
                </w:p>
              </w:tc>
              <w:tc>
                <w:tcPr>
                  <w:tcW w:w="1968" w:type="dxa"/>
                </w:tcPr>
                <w:p>
                  <w:pPr>
                    <w:tabs>
                      <w:tab w:val="left" w:pos="1021"/>
                    </w:tabs>
                    <w:spacing w:line="320" w:lineRule="exact"/>
                    <w:jc w:val="center"/>
                    <w:rPr>
                      <w:b/>
                      <w:bCs/>
                      <w:sz w:val="21"/>
                      <w:szCs w:val="21"/>
                    </w:rPr>
                  </w:pPr>
                  <w:r>
                    <w:rPr>
                      <w:rFonts w:hint="eastAsia"/>
                      <w:b/>
                      <w:sz w:val="21"/>
                      <w:szCs w:val="21"/>
                    </w:rPr>
                    <w:t>≤</w:t>
                  </w:r>
                  <w:r>
                    <w:rPr>
                      <w:rFonts w:hint="eastAsia"/>
                      <w:b/>
                      <w:bCs/>
                      <w:sz w:val="21"/>
                      <w:szCs w:val="21"/>
                    </w:rPr>
                    <w:t>250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1012" w:type="dxa"/>
                  <w:vAlign w:val="center"/>
                </w:tcPr>
                <w:p>
                  <w:pPr>
                    <w:overflowPunct w:val="0"/>
                    <w:autoSpaceDE w:val="0"/>
                    <w:autoSpaceDN w:val="0"/>
                    <w:adjustRightInd w:val="0"/>
                    <w:snapToGrid w:val="0"/>
                    <w:spacing w:line="320" w:lineRule="exact"/>
                    <w:jc w:val="center"/>
                    <w:textAlignment w:val="baseline"/>
                    <w:rPr>
                      <w:rFonts w:cs="宋体"/>
                      <w:sz w:val="21"/>
                      <w:szCs w:val="21"/>
                    </w:rPr>
                  </w:pPr>
                  <w:r>
                    <w:rPr>
                      <w:rFonts w:hint="eastAsia" w:cs="宋体"/>
                      <w:sz w:val="21"/>
                      <w:szCs w:val="21"/>
                    </w:rPr>
                    <w:t>6</w:t>
                  </w:r>
                </w:p>
              </w:tc>
              <w:tc>
                <w:tcPr>
                  <w:tcW w:w="4495" w:type="dxa"/>
                  <w:vAlign w:val="center"/>
                </w:tcPr>
                <w:p>
                  <w:pPr>
                    <w:overflowPunct w:val="0"/>
                    <w:autoSpaceDE w:val="0"/>
                    <w:autoSpaceDN w:val="0"/>
                    <w:adjustRightInd w:val="0"/>
                    <w:snapToGrid w:val="0"/>
                    <w:spacing w:line="320" w:lineRule="exact"/>
                    <w:jc w:val="center"/>
                    <w:textAlignment w:val="baseline"/>
                    <w:rPr>
                      <w:sz w:val="21"/>
                      <w:szCs w:val="21"/>
                    </w:rPr>
                  </w:pPr>
                  <w:r>
                    <w:rPr>
                      <w:rFonts w:hint="eastAsia"/>
                      <w:sz w:val="21"/>
                      <w:szCs w:val="21"/>
                    </w:rPr>
                    <w:t>耗氧量（以高锰酸盐指数（mg/L）计）</w:t>
                  </w:r>
                </w:p>
              </w:tc>
              <w:tc>
                <w:tcPr>
                  <w:tcW w:w="1968" w:type="dxa"/>
                </w:tcPr>
                <w:p>
                  <w:pPr>
                    <w:tabs>
                      <w:tab w:val="left" w:pos="1021"/>
                    </w:tabs>
                    <w:spacing w:line="320" w:lineRule="exact"/>
                    <w:jc w:val="center"/>
                    <w:rPr>
                      <w:b/>
                      <w:bCs/>
                      <w:sz w:val="21"/>
                      <w:szCs w:val="21"/>
                    </w:rPr>
                  </w:pPr>
                  <w:r>
                    <w:rPr>
                      <w:rFonts w:hint="eastAsia"/>
                      <w:b/>
                      <w:sz w:val="21"/>
                      <w:szCs w:val="21"/>
                    </w:rPr>
                    <w:t>≤</w:t>
                  </w:r>
                  <w:r>
                    <w:rPr>
                      <w:rFonts w:hint="eastAsia"/>
                      <w:b/>
                      <w:bCs/>
                      <w:sz w:val="21"/>
                      <w:szCs w:val="21"/>
                    </w:rPr>
                    <w:t>3.0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1012" w:type="dxa"/>
                  <w:vAlign w:val="center"/>
                </w:tcPr>
                <w:p>
                  <w:pPr>
                    <w:overflowPunct w:val="0"/>
                    <w:autoSpaceDE w:val="0"/>
                    <w:autoSpaceDN w:val="0"/>
                    <w:adjustRightInd w:val="0"/>
                    <w:snapToGrid w:val="0"/>
                    <w:spacing w:line="320" w:lineRule="exact"/>
                    <w:jc w:val="center"/>
                    <w:textAlignment w:val="baseline"/>
                    <w:rPr>
                      <w:rFonts w:cs="宋体"/>
                      <w:sz w:val="21"/>
                      <w:szCs w:val="21"/>
                    </w:rPr>
                  </w:pPr>
                  <w:r>
                    <w:rPr>
                      <w:rFonts w:hint="eastAsia" w:cs="宋体"/>
                      <w:sz w:val="21"/>
                      <w:szCs w:val="21"/>
                    </w:rPr>
                    <w:t>7</w:t>
                  </w:r>
                </w:p>
              </w:tc>
              <w:tc>
                <w:tcPr>
                  <w:tcW w:w="4495" w:type="dxa"/>
                  <w:vAlign w:val="center"/>
                </w:tcPr>
                <w:p>
                  <w:pPr>
                    <w:overflowPunct w:val="0"/>
                    <w:autoSpaceDE w:val="0"/>
                    <w:autoSpaceDN w:val="0"/>
                    <w:adjustRightInd w:val="0"/>
                    <w:snapToGrid w:val="0"/>
                    <w:spacing w:line="320" w:lineRule="exact"/>
                    <w:jc w:val="center"/>
                    <w:textAlignment w:val="baseline"/>
                    <w:rPr>
                      <w:sz w:val="21"/>
                      <w:szCs w:val="21"/>
                    </w:rPr>
                  </w:pPr>
                  <w:r>
                    <w:rPr>
                      <w:rFonts w:hint="eastAsia"/>
                      <w:sz w:val="21"/>
                      <w:szCs w:val="21"/>
                    </w:rPr>
                    <w:t>硝酸盐（以N计）（mg/L）</w:t>
                  </w:r>
                </w:p>
              </w:tc>
              <w:tc>
                <w:tcPr>
                  <w:tcW w:w="1968" w:type="dxa"/>
                </w:tcPr>
                <w:p>
                  <w:pPr>
                    <w:tabs>
                      <w:tab w:val="left" w:pos="1021"/>
                    </w:tabs>
                    <w:spacing w:line="320" w:lineRule="exact"/>
                    <w:jc w:val="center"/>
                    <w:rPr>
                      <w:b/>
                      <w:bCs/>
                      <w:sz w:val="21"/>
                      <w:szCs w:val="21"/>
                    </w:rPr>
                  </w:pPr>
                  <w:r>
                    <w:rPr>
                      <w:rFonts w:hint="eastAsia"/>
                      <w:b/>
                      <w:sz w:val="21"/>
                      <w:szCs w:val="21"/>
                    </w:rPr>
                    <w:t>≤</w:t>
                  </w:r>
                  <w:r>
                    <w:rPr>
                      <w:rFonts w:hint="eastAsia"/>
                      <w:b/>
                      <w:bCs/>
                      <w:sz w:val="21"/>
                      <w:szCs w:val="21"/>
                    </w:rPr>
                    <w:t>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1012" w:type="dxa"/>
                  <w:vAlign w:val="center"/>
                </w:tcPr>
                <w:p>
                  <w:pPr>
                    <w:overflowPunct w:val="0"/>
                    <w:autoSpaceDE w:val="0"/>
                    <w:autoSpaceDN w:val="0"/>
                    <w:adjustRightInd w:val="0"/>
                    <w:snapToGrid w:val="0"/>
                    <w:spacing w:line="320" w:lineRule="exact"/>
                    <w:jc w:val="center"/>
                    <w:textAlignment w:val="baseline"/>
                    <w:rPr>
                      <w:rFonts w:cs="宋体"/>
                      <w:sz w:val="21"/>
                      <w:szCs w:val="21"/>
                    </w:rPr>
                  </w:pPr>
                  <w:r>
                    <w:rPr>
                      <w:rFonts w:hint="eastAsia" w:cs="宋体"/>
                      <w:sz w:val="21"/>
                      <w:szCs w:val="21"/>
                    </w:rPr>
                    <w:t>8</w:t>
                  </w:r>
                </w:p>
              </w:tc>
              <w:tc>
                <w:tcPr>
                  <w:tcW w:w="4495" w:type="dxa"/>
                  <w:vAlign w:val="center"/>
                </w:tcPr>
                <w:p>
                  <w:pPr>
                    <w:overflowPunct w:val="0"/>
                    <w:autoSpaceDE w:val="0"/>
                    <w:autoSpaceDN w:val="0"/>
                    <w:adjustRightInd w:val="0"/>
                    <w:snapToGrid w:val="0"/>
                    <w:spacing w:line="320" w:lineRule="exact"/>
                    <w:jc w:val="center"/>
                    <w:textAlignment w:val="baseline"/>
                    <w:rPr>
                      <w:sz w:val="21"/>
                      <w:szCs w:val="21"/>
                    </w:rPr>
                  </w:pPr>
                  <w:r>
                    <w:rPr>
                      <w:rFonts w:hint="eastAsia"/>
                      <w:sz w:val="21"/>
                      <w:szCs w:val="21"/>
                    </w:rPr>
                    <w:t>亚硝酸盐（以N计）（mg/L）</w:t>
                  </w:r>
                </w:p>
              </w:tc>
              <w:tc>
                <w:tcPr>
                  <w:tcW w:w="1968" w:type="dxa"/>
                </w:tcPr>
                <w:p>
                  <w:pPr>
                    <w:tabs>
                      <w:tab w:val="left" w:pos="1021"/>
                    </w:tabs>
                    <w:spacing w:line="320" w:lineRule="exact"/>
                    <w:jc w:val="center"/>
                    <w:rPr>
                      <w:b/>
                      <w:bCs/>
                      <w:sz w:val="21"/>
                      <w:szCs w:val="21"/>
                    </w:rPr>
                  </w:pPr>
                  <w:r>
                    <w:rPr>
                      <w:rFonts w:hint="eastAsia"/>
                      <w:b/>
                      <w:sz w:val="21"/>
                      <w:szCs w:val="21"/>
                    </w:rPr>
                    <w:t>≤</w:t>
                  </w:r>
                  <w:r>
                    <w:rPr>
                      <w:rFonts w:hint="eastAsia"/>
                      <w:b/>
                      <w:bCs/>
                      <w:sz w:val="21"/>
                      <w:szCs w:val="21"/>
                    </w:rPr>
                    <w:t>1.00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1012" w:type="dxa"/>
                  <w:vAlign w:val="center"/>
                </w:tcPr>
                <w:p>
                  <w:pPr>
                    <w:overflowPunct w:val="0"/>
                    <w:autoSpaceDE w:val="0"/>
                    <w:autoSpaceDN w:val="0"/>
                    <w:adjustRightInd w:val="0"/>
                    <w:snapToGrid w:val="0"/>
                    <w:spacing w:line="320" w:lineRule="exact"/>
                    <w:jc w:val="center"/>
                    <w:textAlignment w:val="baseline"/>
                    <w:rPr>
                      <w:rFonts w:cs="宋体"/>
                      <w:sz w:val="21"/>
                      <w:szCs w:val="21"/>
                    </w:rPr>
                  </w:pPr>
                  <w:r>
                    <w:rPr>
                      <w:rFonts w:hint="eastAsia" w:cs="宋体"/>
                      <w:sz w:val="21"/>
                      <w:szCs w:val="21"/>
                    </w:rPr>
                    <w:t>9</w:t>
                  </w:r>
                </w:p>
              </w:tc>
              <w:tc>
                <w:tcPr>
                  <w:tcW w:w="4495" w:type="dxa"/>
                  <w:vAlign w:val="center"/>
                </w:tcPr>
                <w:p>
                  <w:pPr>
                    <w:overflowPunct w:val="0"/>
                    <w:autoSpaceDE w:val="0"/>
                    <w:autoSpaceDN w:val="0"/>
                    <w:adjustRightInd w:val="0"/>
                    <w:snapToGrid w:val="0"/>
                    <w:spacing w:line="320" w:lineRule="exact"/>
                    <w:jc w:val="center"/>
                    <w:textAlignment w:val="baseline"/>
                    <w:rPr>
                      <w:sz w:val="21"/>
                      <w:szCs w:val="21"/>
                    </w:rPr>
                  </w:pPr>
                  <w:r>
                    <w:rPr>
                      <w:rFonts w:hint="eastAsia"/>
                      <w:sz w:val="21"/>
                      <w:szCs w:val="21"/>
                    </w:rPr>
                    <w:t>氨氮（NH</w:t>
                  </w:r>
                  <w:r>
                    <w:rPr>
                      <w:rFonts w:hint="eastAsia"/>
                      <w:sz w:val="21"/>
                      <w:szCs w:val="21"/>
                      <w:vertAlign w:val="subscript"/>
                    </w:rPr>
                    <w:t>4</w:t>
                  </w:r>
                  <w:r>
                    <w:rPr>
                      <w:rFonts w:hint="eastAsia"/>
                      <w:sz w:val="21"/>
                      <w:szCs w:val="21"/>
                    </w:rPr>
                    <w:t>）（mg/L）</w:t>
                  </w:r>
                </w:p>
              </w:tc>
              <w:tc>
                <w:tcPr>
                  <w:tcW w:w="1968" w:type="dxa"/>
                </w:tcPr>
                <w:p>
                  <w:pPr>
                    <w:tabs>
                      <w:tab w:val="left" w:pos="1021"/>
                    </w:tabs>
                    <w:spacing w:line="320" w:lineRule="exact"/>
                    <w:jc w:val="center"/>
                    <w:rPr>
                      <w:b/>
                      <w:bCs/>
                      <w:sz w:val="21"/>
                      <w:szCs w:val="21"/>
                    </w:rPr>
                  </w:pPr>
                  <w:r>
                    <w:rPr>
                      <w:rFonts w:hint="eastAsia"/>
                      <w:b/>
                      <w:sz w:val="21"/>
                      <w:szCs w:val="21"/>
                    </w:rPr>
                    <w:t>≤</w:t>
                  </w:r>
                  <w:r>
                    <w:rPr>
                      <w:rFonts w:hint="eastAsia"/>
                      <w:b/>
                      <w:bCs/>
                      <w:sz w:val="21"/>
                      <w:szCs w:val="21"/>
                    </w:rPr>
                    <w:t>0.5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1012" w:type="dxa"/>
                  <w:vAlign w:val="center"/>
                </w:tcPr>
                <w:p>
                  <w:pPr>
                    <w:overflowPunct w:val="0"/>
                    <w:autoSpaceDE w:val="0"/>
                    <w:autoSpaceDN w:val="0"/>
                    <w:adjustRightInd w:val="0"/>
                    <w:snapToGrid w:val="0"/>
                    <w:spacing w:line="320" w:lineRule="exact"/>
                    <w:jc w:val="center"/>
                    <w:textAlignment w:val="baseline"/>
                    <w:rPr>
                      <w:rFonts w:cs="宋体"/>
                      <w:sz w:val="21"/>
                      <w:szCs w:val="21"/>
                    </w:rPr>
                  </w:pPr>
                  <w:r>
                    <w:rPr>
                      <w:rFonts w:hint="eastAsia" w:cs="宋体"/>
                      <w:sz w:val="21"/>
                      <w:szCs w:val="21"/>
                    </w:rPr>
                    <w:t>10</w:t>
                  </w:r>
                </w:p>
              </w:tc>
              <w:tc>
                <w:tcPr>
                  <w:tcW w:w="4495" w:type="dxa"/>
                  <w:vAlign w:val="center"/>
                </w:tcPr>
                <w:p>
                  <w:pPr>
                    <w:overflowPunct w:val="0"/>
                    <w:autoSpaceDE w:val="0"/>
                    <w:autoSpaceDN w:val="0"/>
                    <w:adjustRightInd w:val="0"/>
                    <w:snapToGrid w:val="0"/>
                    <w:spacing w:line="320" w:lineRule="exact"/>
                    <w:jc w:val="center"/>
                    <w:textAlignment w:val="baseline"/>
                    <w:rPr>
                      <w:sz w:val="21"/>
                      <w:szCs w:val="21"/>
                    </w:rPr>
                  </w:pPr>
                  <w:r>
                    <w:rPr>
                      <w:rFonts w:hint="eastAsia"/>
                      <w:sz w:val="21"/>
                      <w:szCs w:val="21"/>
                    </w:rPr>
                    <w:t>氰化物（mg/L）</w:t>
                  </w:r>
                </w:p>
              </w:tc>
              <w:tc>
                <w:tcPr>
                  <w:tcW w:w="1968" w:type="dxa"/>
                </w:tcPr>
                <w:p>
                  <w:pPr>
                    <w:tabs>
                      <w:tab w:val="left" w:pos="1021"/>
                    </w:tabs>
                    <w:spacing w:line="320" w:lineRule="exact"/>
                    <w:jc w:val="center"/>
                    <w:rPr>
                      <w:b/>
                      <w:bCs/>
                      <w:sz w:val="21"/>
                      <w:szCs w:val="21"/>
                    </w:rPr>
                  </w:pPr>
                  <w:r>
                    <w:rPr>
                      <w:rFonts w:hint="eastAsia"/>
                      <w:b/>
                      <w:sz w:val="21"/>
                      <w:szCs w:val="21"/>
                    </w:rPr>
                    <w:t>≤</w:t>
                  </w:r>
                  <w:r>
                    <w:rPr>
                      <w:rFonts w:hint="eastAsia"/>
                      <w:b/>
                      <w:bCs/>
                      <w:sz w:val="21"/>
                      <w:szCs w:val="21"/>
                    </w:rPr>
                    <w:t>0.05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1012" w:type="dxa"/>
                  <w:vAlign w:val="center"/>
                </w:tcPr>
                <w:p>
                  <w:pPr>
                    <w:overflowPunct w:val="0"/>
                    <w:autoSpaceDE w:val="0"/>
                    <w:autoSpaceDN w:val="0"/>
                    <w:adjustRightInd w:val="0"/>
                    <w:snapToGrid w:val="0"/>
                    <w:spacing w:line="320" w:lineRule="exact"/>
                    <w:jc w:val="center"/>
                    <w:textAlignment w:val="baseline"/>
                    <w:rPr>
                      <w:rFonts w:cs="宋体"/>
                      <w:sz w:val="21"/>
                      <w:szCs w:val="21"/>
                    </w:rPr>
                  </w:pPr>
                  <w:r>
                    <w:rPr>
                      <w:rFonts w:hint="eastAsia" w:cs="宋体"/>
                      <w:sz w:val="21"/>
                      <w:szCs w:val="21"/>
                    </w:rPr>
                    <w:t>11</w:t>
                  </w:r>
                </w:p>
              </w:tc>
              <w:tc>
                <w:tcPr>
                  <w:tcW w:w="4495" w:type="dxa"/>
                  <w:vAlign w:val="center"/>
                </w:tcPr>
                <w:p>
                  <w:pPr>
                    <w:overflowPunct w:val="0"/>
                    <w:autoSpaceDE w:val="0"/>
                    <w:autoSpaceDN w:val="0"/>
                    <w:adjustRightInd w:val="0"/>
                    <w:snapToGrid w:val="0"/>
                    <w:spacing w:line="320" w:lineRule="exact"/>
                    <w:jc w:val="center"/>
                    <w:textAlignment w:val="baseline"/>
                    <w:rPr>
                      <w:sz w:val="21"/>
                      <w:szCs w:val="21"/>
                    </w:rPr>
                  </w:pPr>
                  <w:r>
                    <w:rPr>
                      <w:rFonts w:hint="eastAsia"/>
                      <w:sz w:val="21"/>
                      <w:szCs w:val="21"/>
                    </w:rPr>
                    <w:t>砷（As）（mg/L）</w:t>
                  </w:r>
                </w:p>
              </w:tc>
              <w:tc>
                <w:tcPr>
                  <w:tcW w:w="1968" w:type="dxa"/>
                </w:tcPr>
                <w:p>
                  <w:pPr>
                    <w:tabs>
                      <w:tab w:val="left" w:pos="1021"/>
                    </w:tabs>
                    <w:spacing w:line="320" w:lineRule="exact"/>
                    <w:jc w:val="center"/>
                    <w:rPr>
                      <w:b/>
                      <w:bCs/>
                      <w:sz w:val="21"/>
                      <w:szCs w:val="21"/>
                    </w:rPr>
                  </w:pPr>
                  <w:r>
                    <w:rPr>
                      <w:rFonts w:hint="eastAsia"/>
                      <w:b/>
                      <w:sz w:val="21"/>
                      <w:szCs w:val="21"/>
                    </w:rPr>
                    <w:t>≤</w:t>
                  </w:r>
                  <w:r>
                    <w:rPr>
                      <w:rFonts w:hint="eastAsia"/>
                      <w:b/>
                      <w:bCs/>
                      <w:sz w:val="21"/>
                      <w:szCs w:val="21"/>
                    </w:rPr>
                    <w:t>0.01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24" w:hRule="atLeast"/>
                <w:jc w:val="center"/>
              </w:trPr>
              <w:tc>
                <w:tcPr>
                  <w:tcW w:w="1012" w:type="dxa"/>
                  <w:vAlign w:val="center"/>
                </w:tcPr>
                <w:p>
                  <w:pPr>
                    <w:overflowPunct w:val="0"/>
                    <w:autoSpaceDE w:val="0"/>
                    <w:autoSpaceDN w:val="0"/>
                    <w:adjustRightInd w:val="0"/>
                    <w:snapToGrid w:val="0"/>
                    <w:spacing w:line="320" w:lineRule="exact"/>
                    <w:jc w:val="center"/>
                    <w:textAlignment w:val="baseline"/>
                    <w:rPr>
                      <w:rFonts w:cs="宋体"/>
                      <w:sz w:val="21"/>
                      <w:szCs w:val="21"/>
                    </w:rPr>
                  </w:pPr>
                  <w:r>
                    <w:rPr>
                      <w:rFonts w:hint="eastAsia" w:cs="宋体"/>
                      <w:sz w:val="21"/>
                      <w:szCs w:val="21"/>
                    </w:rPr>
                    <w:t>12</w:t>
                  </w:r>
                </w:p>
              </w:tc>
              <w:tc>
                <w:tcPr>
                  <w:tcW w:w="4495" w:type="dxa"/>
                  <w:vAlign w:val="center"/>
                </w:tcPr>
                <w:p>
                  <w:pPr>
                    <w:overflowPunct w:val="0"/>
                    <w:autoSpaceDE w:val="0"/>
                    <w:autoSpaceDN w:val="0"/>
                    <w:adjustRightInd w:val="0"/>
                    <w:snapToGrid w:val="0"/>
                    <w:spacing w:line="320" w:lineRule="exact"/>
                    <w:jc w:val="center"/>
                    <w:textAlignment w:val="baseline"/>
                    <w:rPr>
                      <w:sz w:val="21"/>
                      <w:szCs w:val="21"/>
                    </w:rPr>
                  </w:pPr>
                  <w:r>
                    <w:rPr>
                      <w:rFonts w:hint="eastAsia"/>
                      <w:sz w:val="21"/>
                      <w:szCs w:val="21"/>
                    </w:rPr>
                    <w:t>氟化物（mg/L）</w:t>
                  </w:r>
                </w:p>
              </w:tc>
              <w:tc>
                <w:tcPr>
                  <w:tcW w:w="1968" w:type="dxa"/>
                </w:tcPr>
                <w:p>
                  <w:pPr>
                    <w:tabs>
                      <w:tab w:val="left" w:pos="1021"/>
                    </w:tabs>
                    <w:spacing w:line="320" w:lineRule="exact"/>
                    <w:jc w:val="center"/>
                    <w:rPr>
                      <w:b/>
                      <w:bCs/>
                      <w:sz w:val="21"/>
                      <w:szCs w:val="21"/>
                    </w:rPr>
                  </w:pPr>
                  <w:r>
                    <w:rPr>
                      <w:rFonts w:hint="eastAsia"/>
                      <w:b/>
                      <w:sz w:val="21"/>
                      <w:szCs w:val="21"/>
                    </w:rPr>
                    <w:t>≤</w:t>
                  </w:r>
                  <w:r>
                    <w:rPr>
                      <w:rFonts w:hint="eastAsia"/>
                      <w:b/>
                      <w:bCs/>
                      <w:sz w:val="21"/>
                      <w:szCs w:val="21"/>
                    </w:rPr>
                    <w:t>1.0</w:t>
                  </w:r>
                </w:p>
              </w:tc>
            </w:tr>
          </w:tbl>
          <w:p>
            <w:pPr>
              <w:tabs>
                <w:tab w:val="left" w:pos="1021"/>
              </w:tabs>
              <w:spacing w:line="360" w:lineRule="auto"/>
              <w:ind w:left="616"/>
              <w:rPr>
                <w:kern w:val="24"/>
              </w:rPr>
            </w:pPr>
          </w:p>
          <w:p>
            <w:pPr>
              <w:tabs>
                <w:tab w:val="left" w:pos="1021"/>
              </w:tabs>
              <w:spacing w:line="360" w:lineRule="auto"/>
              <w:ind w:left="616"/>
              <w:rPr>
                <w:kern w:val="24"/>
              </w:rPr>
            </w:pPr>
            <w:r>
              <w:rPr>
                <w:rFonts w:hint="eastAsia"/>
                <w:kern w:val="24"/>
              </w:rPr>
              <w:t>3、环境空气质量</w:t>
            </w:r>
          </w:p>
          <w:p>
            <w:pPr>
              <w:pStyle w:val="254"/>
              <w:spacing w:line="360" w:lineRule="auto"/>
              <w:ind w:firstLine="360" w:firstLineChars="150"/>
            </w:pPr>
            <w:r>
              <w:rPr>
                <w:rFonts w:hint="eastAsia"/>
              </w:rPr>
              <w:t>项目取水工程段、新铺设管道段位于湖南东洞庭湖国家级自然保护区内，上述段区域属于大气环境功能一类区，环境空气评价执行</w:t>
            </w:r>
            <w:r>
              <w:t>GB3095-</w:t>
            </w:r>
            <w:r>
              <w:rPr>
                <w:rFonts w:hint="eastAsia"/>
              </w:rPr>
              <w:t>2012《环境空气质量标准》一级标准。</w:t>
            </w:r>
          </w:p>
          <w:p>
            <w:pPr>
              <w:tabs>
                <w:tab w:val="left" w:pos="1021"/>
              </w:tabs>
              <w:spacing w:line="440" w:lineRule="exact"/>
              <w:jc w:val="center"/>
              <w:rPr>
                <w:b/>
                <w:bCs/>
                <w:sz w:val="21"/>
                <w:szCs w:val="21"/>
              </w:rPr>
            </w:pPr>
            <w:r>
              <w:rPr>
                <w:rFonts w:hint="eastAsia"/>
                <w:b/>
                <w:bCs/>
                <w:sz w:val="21"/>
                <w:szCs w:val="21"/>
              </w:rPr>
              <w:t>表</w:t>
            </w:r>
            <w:r>
              <w:rPr>
                <w:b/>
                <w:bCs/>
                <w:sz w:val="21"/>
                <w:szCs w:val="21"/>
              </w:rPr>
              <w:t>4</w:t>
            </w:r>
            <w:r>
              <w:rPr>
                <w:rFonts w:hint="eastAsia"/>
                <w:b/>
                <w:bCs/>
                <w:sz w:val="21"/>
                <w:szCs w:val="21"/>
              </w:rPr>
              <w:t>-3   环境空气质量标准(摘录) 单位：</w:t>
            </w:r>
            <w:r>
              <w:rPr>
                <w:b/>
                <w:bCs/>
                <w:sz w:val="21"/>
                <w:szCs w:val="21"/>
              </w:rPr>
              <w:t>mg/m</w:t>
            </w:r>
            <w:r>
              <w:rPr>
                <w:b/>
                <w:bCs/>
                <w:sz w:val="21"/>
                <w:szCs w:val="21"/>
                <w:vertAlign w:val="superscript"/>
              </w:rPr>
              <w:t>3</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816"/>
              <w:gridCol w:w="1226"/>
              <w:gridCol w:w="1213"/>
              <w:gridCol w:w="1213"/>
              <w:gridCol w:w="1222"/>
              <w:gridCol w:w="121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exact"/>
                <w:jc w:val="center"/>
              </w:trPr>
              <w:tc>
                <w:tcPr>
                  <w:tcW w:w="3042" w:type="dxa"/>
                  <w:gridSpan w:val="2"/>
                  <w:vAlign w:val="center"/>
                </w:tcPr>
                <w:p>
                  <w:pPr>
                    <w:overflowPunct w:val="0"/>
                    <w:autoSpaceDE w:val="0"/>
                    <w:autoSpaceDN w:val="0"/>
                    <w:adjustRightInd w:val="0"/>
                    <w:jc w:val="center"/>
                    <w:textAlignment w:val="baseline"/>
                    <w:rPr>
                      <w:sz w:val="21"/>
                    </w:rPr>
                  </w:pPr>
                  <w:r>
                    <w:rPr>
                      <w:sz w:val="21"/>
                    </w:rPr>
                    <w:t>污染物名称</w:t>
                  </w:r>
                </w:p>
              </w:tc>
              <w:tc>
                <w:tcPr>
                  <w:tcW w:w="1213" w:type="dxa"/>
                  <w:tcBorders>
                    <w:right w:val="single" w:color="auto" w:sz="4" w:space="0"/>
                  </w:tcBorders>
                  <w:vAlign w:val="center"/>
                </w:tcPr>
                <w:p>
                  <w:pPr>
                    <w:overflowPunct w:val="0"/>
                    <w:autoSpaceDE w:val="0"/>
                    <w:autoSpaceDN w:val="0"/>
                    <w:adjustRightInd w:val="0"/>
                    <w:jc w:val="center"/>
                    <w:textAlignment w:val="baseline"/>
                    <w:rPr>
                      <w:sz w:val="21"/>
                      <w:vertAlign w:val="subscript"/>
                    </w:rPr>
                  </w:pPr>
                  <w:r>
                    <w:rPr>
                      <w:sz w:val="21"/>
                    </w:rPr>
                    <w:t>SO</w:t>
                  </w:r>
                  <w:r>
                    <w:rPr>
                      <w:sz w:val="21"/>
                      <w:vertAlign w:val="subscript"/>
                    </w:rPr>
                    <w:t>2</w:t>
                  </w:r>
                </w:p>
              </w:tc>
              <w:tc>
                <w:tcPr>
                  <w:tcW w:w="1213" w:type="dxa"/>
                  <w:tcBorders>
                    <w:right w:val="single" w:color="auto" w:sz="4" w:space="0"/>
                  </w:tcBorders>
                  <w:vAlign w:val="center"/>
                </w:tcPr>
                <w:p>
                  <w:pPr>
                    <w:overflowPunct w:val="0"/>
                    <w:autoSpaceDE w:val="0"/>
                    <w:autoSpaceDN w:val="0"/>
                    <w:adjustRightInd w:val="0"/>
                    <w:jc w:val="center"/>
                    <w:textAlignment w:val="baseline"/>
                    <w:rPr>
                      <w:sz w:val="21"/>
                      <w:vertAlign w:val="subscript"/>
                    </w:rPr>
                  </w:pPr>
                  <w:r>
                    <w:rPr>
                      <w:sz w:val="21"/>
                    </w:rPr>
                    <w:t>TSP</w:t>
                  </w:r>
                </w:p>
              </w:tc>
              <w:tc>
                <w:tcPr>
                  <w:tcW w:w="1222" w:type="dxa"/>
                  <w:tcBorders>
                    <w:left w:val="single" w:color="auto" w:sz="4" w:space="0"/>
                    <w:right w:val="single" w:color="auto" w:sz="4" w:space="0"/>
                  </w:tcBorders>
                  <w:vAlign w:val="center"/>
                </w:tcPr>
                <w:p>
                  <w:pPr>
                    <w:overflowPunct w:val="0"/>
                    <w:autoSpaceDE w:val="0"/>
                    <w:autoSpaceDN w:val="0"/>
                    <w:adjustRightInd w:val="0"/>
                    <w:jc w:val="center"/>
                    <w:textAlignment w:val="baseline"/>
                    <w:rPr>
                      <w:sz w:val="21"/>
                    </w:rPr>
                  </w:pPr>
                  <w:r>
                    <w:rPr>
                      <w:rFonts w:hint="eastAsia"/>
                      <w:sz w:val="21"/>
                    </w:rPr>
                    <w:t>PM</w:t>
                  </w:r>
                  <w:r>
                    <w:rPr>
                      <w:rFonts w:hint="eastAsia"/>
                      <w:sz w:val="21"/>
                      <w:vertAlign w:val="subscript"/>
                    </w:rPr>
                    <w:t>10</w:t>
                  </w:r>
                </w:p>
              </w:tc>
              <w:tc>
                <w:tcPr>
                  <w:tcW w:w="1213" w:type="dxa"/>
                  <w:tcBorders>
                    <w:left w:val="single" w:color="auto" w:sz="4" w:space="0"/>
                  </w:tcBorders>
                  <w:vAlign w:val="center"/>
                </w:tcPr>
                <w:p>
                  <w:pPr>
                    <w:overflowPunct w:val="0"/>
                    <w:autoSpaceDE w:val="0"/>
                    <w:autoSpaceDN w:val="0"/>
                    <w:adjustRightInd w:val="0"/>
                    <w:jc w:val="center"/>
                    <w:textAlignment w:val="baseline"/>
                    <w:rPr>
                      <w:sz w:val="21"/>
                    </w:rPr>
                  </w:pPr>
                  <w:r>
                    <w:rPr>
                      <w:sz w:val="21"/>
                    </w:rPr>
                    <w:t>N0</w:t>
                  </w:r>
                  <w:r>
                    <w:rPr>
                      <w:sz w:val="21"/>
                      <w:vertAlign w:val="subscript"/>
                    </w:rPr>
                    <w:t>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0" w:hRule="exact"/>
                <w:jc w:val="center"/>
              </w:trPr>
              <w:tc>
                <w:tcPr>
                  <w:tcW w:w="1816" w:type="dxa"/>
                  <w:vMerge w:val="restart"/>
                  <w:vAlign w:val="center"/>
                </w:tcPr>
                <w:p>
                  <w:pPr>
                    <w:overflowPunct w:val="0"/>
                    <w:autoSpaceDE w:val="0"/>
                    <w:autoSpaceDN w:val="0"/>
                    <w:adjustRightInd w:val="0"/>
                    <w:jc w:val="center"/>
                    <w:textAlignment w:val="baseline"/>
                    <w:rPr>
                      <w:sz w:val="21"/>
                    </w:rPr>
                  </w:pPr>
                  <w:r>
                    <w:rPr>
                      <w:sz w:val="21"/>
                    </w:rPr>
                    <w:t>GB3095-</w:t>
                  </w:r>
                  <w:r>
                    <w:rPr>
                      <w:rFonts w:hint="eastAsia"/>
                      <w:sz w:val="21"/>
                    </w:rPr>
                    <w:t>2012</w:t>
                  </w:r>
                  <w:r>
                    <w:rPr>
                      <w:sz w:val="21"/>
                    </w:rPr>
                    <w:t>中</w:t>
                  </w:r>
                </w:p>
                <w:p>
                  <w:pPr>
                    <w:overflowPunct w:val="0"/>
                    <w:autoSpaceDE w:val="0"/>
                    <w:autoSpaceDN w:val="0"/>
                    <w:adjustRightInd w:val="0"/>
                    <w:jc w:val="center"/>
                    <w:textAlignment w:val="baseline"/>
                    <w:rPr>
                      <w:sz w:val="21"/>
                    </w:rPr>
                  </w:pPr>
                  <w:r>
                    <w:rPr>
                      <w:rFonts w:hint="eastAsia"/>
                      <w:sz w:val="21"/>
                    </w:rPr>
                    <w:t>一</w:t>
                  </w:r>
                  <w:r>
                    <w:rPr>
                      <w:sz w:val="21"/>
                    </w:rPr>
                    <w:t>级浓度限值</w:t>
                  </w:r>
                </w:p>
              </w:tc>
              <w:tc>
                <w:tcPr>
                  <w:tcW w:w="1226" w:type="dxa"/>
                  <w:vAlign w:val="center"/>
                </w:tcPr>
                <w:p>
                  <w:pPr>
                    <w:overflowPunct w:val="0"/>
                    <w:autoSpaceDE w:val="0"/>
                    <w:autoSpaceDN w:val="0"/>
                    <w:adjustRightInd w:val="0"/>
                    <w:jc w:val="center"/>
                    <w:textAlignment w:val="baseline"/>
                    <w:rPr>
                      <w:sz w:val="21"/>
                    </w:rPr>
                  </w:pPr>
                  <w:r>
                    <w:rPr>
                      <w:sz w:val="21"/>
                    </w:rPr>
                    <w:t>日平均</w:t>
                  </w:r>
                </w:p>
              </w:tc>
              <w:tc>
                <w:tcPr>
                  <w:tcW w:w="1213" w:type="dxa"/>
                  <w:vAlign w:val="center"/>
                </w:tcPr>
                <w:p>
                  <w:pPr>
                    <w:overflowPunct w:val="0"/>
                    <w:autoSpaceDE w:val="0"/>
                    <w:autoSpaceDN w:val="0"/>
                    <w:adjustRightInd w:val="0"/>
                    <w:jc w:val="center"/>
                    <w:textAlignment w:val="baseline"/>
                    <w:rPr>
                      <w:sz w:val="21"/>
                    </w:rPr>
                  </w:pPr>
                  <w:r>
                    <w:rPr>
                      <w:rFonts w:hint="eastAsia"/>
                      <w:sz w:val="21"/>
                    </w:rPr>
                    <w:t>0.05</w:t>
                  </w:r>
                </w:p>
              </w:tc>
              <w:tc>
                <w:tcPr>
                  <w:tcW w:w="1213" w:type="dxa"/>
                  <w:tcBorders>
                    <w:right w:val="single" w:color="auto" w:sz="4" w:space="0"/>
                  </w:tcBorders>
                  <w:vAlign w:val="center"/>
                </w:tcPr>
                <w:p>
                  <w:pPr>
                    <w:overflowPunct w:val="0"/>
                    <w:autoSpaceDE w:val="0"/>
                    <w:autoSpaceDN w:val="0"/>
                    <w:adjustRightInd w:val="0"/>
                    <w:jc w:val="center"/>
                    <w:textAlignment w:val="baseline"/>
                    <w:rPr>
                      <w:sz w:val="21"/>
                    </w:rPr>
                  </w:pPr>
                  <w:r>
                    <w:rPr>
                      <w:rFonts w:hint="eastAsia"/>
                      <w:sz w:val="21"/>
                    </w:rPr>
                    <w:t>0.12</w:t>
                  </w:r>
                </w:p>
              </w:tc>
              <w:tc>
                <w:tcPr>
                  <w:tcW w:w="1222" w:type="dxa"/>
                  <w:tcBorders>
                    <w:left w:val="single" w:color="auto" w:sz="4" w:space="0"/>
                    <w:right w:val="single" w:color="auto" w:sz="4" w:space="0"/>
                  </w:tcBorders>
                </w:tcPr>
                <w:p>
                  <w:pPr>
                    <w:overflowPunct w:val="0"/>
                    <w:autoSpaceDE w:val="0"/>
                    <w:autoSpaceDN w:val="0"/>
                    <w:adjustRightInd w:val="0"/>
                    <w:jc w:val="center"/>
                    <w:textAlignment w:val="baseline"/>
                    <w:rPr>
                      <w:sz w:val="21"/>
                    </w:rPr>
                  </w:pPr>
                  <w:r>
                    <w:rPr>
                      <w:rFonts w:hint="eastAsia"/>
                      <w:sz w:val="21"/>
                    </w:rPr>
                    <w:t>0.05</w:t>
                  </w:r>
                </w:p>
              </w:tc>
              <w:tc>
                <w:tcPr>
                  <w:tcW w:w="1213" w:type="dxa"/>
                  <w:tcBorders>
                    <w:left w:val="single" w:color="auto" w:sz="4" w:space="0"/>
                  </w:tcBorders>
                  <w:vAlign w:val="center"/>
                </w:tcPr>
                <w:p>
                  <w:pPr>
                    <w:overflowPunct w:val="0"/>
                    <w:autoSpaceDE w:val="0"/>
                    <w:autoSpaceDN w:val="0"/>
                    <w:adjustRightInd w:val="0"/>
                    <w:jc w:val="center"/>
                    <w:textAlignment w:val="baseline"/>
                    <w:rPr>
                      <w:sz w:val="21"/>
                    </w:rPr>
                  </w:pPr>
                  <w:r>
                    <w:rPr>
                      <w:sz w:val="21"/>
                    </w:rPr>
                    <w:t>0.</w:t>
                  </w:r>
                  <w:r>
                    <w:rPr>
                      <w:rFonts w:hint="eastAsia"/>
                      <w:sz w:val="21"/>
                    </w:rPr>
                    <w:t>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0" w:hRule="exact"/>
                <w:jc w:val="center"/>
              </w:trPr>
              <w:tc>
                <w:tcPr>
                  <w:tcW w:w="1816" w:type="dxa"/>
                  <w:vMerge w:val="continue"/>
                  <w:vAlign w:val="center"/>
                </w:tcPr>
                <w:p>
                  <w:pPr>
                    <w:overflowPunct w:val="0"/>
                    <w:autoSpaceDE w:val="0"/>
                    <w:autoSpaceDN w:val="0"/>
                    <w:adjustRightInd w:val="0"/>
                    <w:jc w:val="center"/>
                    <w:textAlignment w:val="baseline"/>
                    <w:rPr>
                      <w:sz w:val="21"/>
                    </w:rPr>
                  </w:pPr>
                </w:p>
              </w:tc>
              <w:tc>
                <w:tcPr>
                  <w:tcW w:w="1226" w:type="dxa"/>
                  <w:vAlign w:val="center"/>
                </w:tcPr>
                <w:p>
                  <w:pPr>
                    <w:overflowPunct w:val="0"/>
                    <w:autoSpaceDE w:val="0"/>
                    <w:autoSpaceDN w:val="0"/>
                    <w:adjustRightInd w:val="0"/>
                    <w:jc w:val="center"/>
                    <w:textAlignment w:val="baseline"/>
                    <w:rPr>
                      <w:sz w:val="21"/>
                    </w:rPr>
                  </w:pPr>
                  <w:r>
                    <w:rPr>
                      <w:sz w:val="21"/>
                    </w:rPr>
                    <w:t>1小时平均</w:t>
                  </w:r>
                </w:p>
              </w:tc>
              <w:tc>
                <w:tcPr>
                  <w:tcW w:w="1213" w:type="dxa"/>
                  <w:vAlign w:val="center"/>
                </w:tcPr>
                <w:p>
                  <w:pPr>
                    <w:overflowPunct w:val="0"/>
                    <w:autoSpaceDE w:val="0"/>
                    <w:autoSpaceDN w:val="0"/>
                    <w:adjustRightInd w:val="0"/>
                    <w:jc w:val="center"/>
                    <w:textAlignment w:val="baseline"/>
                    <w:rPr>
                      <w:sz w:val="21"/>
                    </w:rPr>
                  </w:pPr>
                  <w:r>
                    <w:rPr>
                      <w:rFonts w:hint="eastAsia"/>
                      <w:sz w:val="21"/>
                    </w:rPr>
                    <w:t>0.15</w:t>
                  </w:r>
                </w:p>
              </w:tc>
              <w:tc>
                <w:tcPr>
                  <w:tcW w:w="1213" w:type="dxa"/>
                  <w:tcBorders>
                    <w:right w:val="single" w:color="auto" w:sz="4" w:space="0"/>
                  </w:tcBorders>
                  <w:vAlign w:val="center"/>
                </w:tcPr>
                <w:p>
                  <w:pPr>
                    <w:overflowPunct w:val="0"/>
                    <w:autoSpaceDE w:val="0"/>
                    <w:autoSpaceDN w:val="0"/>
                    <w:adjustRightInd w:val="0"/>
                    <w:jc w:val="center"/>
                    <w:textAlignment w:val="baseline"/>
                    <w:rPr>
                      <w:sz w:val="21"/>
                    </w:rPr>
                  </w:pPr>
                  <w:r>
                    <w:rPr>
                      <w:sz w:val="21"/>
                    </w:rPr>
                    <w:t>—</w:t>
                  </w:r>
                </w:p>
              </w:tc>
              <w:tc>
                <w:tcPr>
                  <w:tcW w:w="1222" w:type="dxa"/>
                  <w:tcBorders>
                    <w:left w:val="single" w:color="auto" w:sz="4" w:space="0"/>
                    <w:right w:val="single" w:color="auto" w:sz="4" w:space="0"/>
                  </w:tcBorders>
                </w:tcPr>
                <w:p>
                  <w:pPr>
                    <w:overflowPunct w:val="0"/>
                    <w:autoSpaceDE w:val="0"/>
                    <w:autoSpaceDN w:val="0"/>
                    <w:adjustRightInd w:val="0"/>
                    <w:jc w:val="center"/>
                    <w:textAlignment w:val="baseline"/>
                    <w:rPr>
                      <w:sz w:val="21"/>
                    </w:rPr>
                  </w:pPr>
                  <w:r>
                    <w:rPr>
                      <w:sz w:val="21"/>
                    </w:rPr>
                    <w:t>—</w:t>
                  </w:r>
                </w:p>
              </w:tc>
              <w:tc>
                <w:tcPr>
                  <w:tcW w:w="1213" w:type="dxa"/>
                  <w:tcBorders>
                    <w:left w:val="single" w:color="auto" w:sz="4" w:space="0"/>
                  </w:tcBorders>
                  <w:vAlign w:val="center"/>
                </w:tcPr>
                <w:p>
                  <w:pPr>
                    <w:overflowPunct w:val="0"/>
                    <w:autoSpaceDE w:val="0"/>
                    <w:autoSpaceDN w:val="0"/>
                    <w:adjustRightInd w:val="0"/>
                    <w:jc w:val="center"/>
                    <w:textAlignment w:val="baseline"/>
                    <w:rPr>
                      <w:sz w:val="21"/>
                    </w:rPr>
                  </w:pPr>
                  <w:r>
                    <w:rPr>
                      <w:sz w:val="21"/>
                    </w:rPr>
                    <w:t>0.2</w:t>
                  </w:r>
                  <w:r>
                    <w:rPr>
                      <w:rFonts w:hint="eastAsia"/>
                      <w:sz w:val="21"/>
                    </w:rPr>
                    <w:t>0</w:t>
                  </w:r>
                </w:p>
              </w:tc>
            </w:tr>
          </w:tbl>
          <w:p>
            <w:pPr>
              <w:spacing w:line="440" w:lineRule="exact"/>
              <w:ind w:firstLine="600" w:firstLineChars="250"/>
              <w:rPr>
                <w:kern w:val="24"/>
              </w:rPr>
            </w:pPr>
            <w:r>
              <w:rPr>
                <w:rFonts w:hint="eastAsia"/>
                <w:kern w:val="24"/>
              </w:rPr>
              <w:t>4、声环境质量</w:t>
            </w:r>
          </w:p>
          <w:p>
            <w:pPr>
              <w:pStyle w:val="254"/>
              <w:spacing w:line="360" w:lineRule="auto"/>
              <w:ind w:firstLine="360" w:firstLineChars="150"/>
            </w:pPr>
            <w:r>
              <w:rPr>
                <w:rFonts w:hint="eastAsia"/>
              </w:rPr>
              <w:t>项目区域执行《声环境质量标准》（</w:t>
            </w:r>
            <w:r>
              <w:t>GB3096-2008</w:t>
            </w:r>
            <w:r>
              <w:rPr>
                <w:rFonts w:hint="eastAsia"/>
              </w:rPr>
              <w:t>）</w:t>
            </w:r>
            <w:r>
              <w:rPr>
                <w:rFonts w:hint="eastAsia" w:ascii="宋体" w:hAnsi="宋体" w:cs="宋体"/>
              </w:rPr>
              <w:t>Ⅱ</w:t>
            </w:r>
            <w:r>
              <w:rPr>
                <w:rFonts w:hint="eastAsia"/>
              </w:rPr>
              <w:t>类标准</w:t>
            </w:r>
            <w:r>
              <w:t>(</w:t>
            </w:r>
            <w:r>
              <w:rPr>
                <w:rFonts w:hint="eastAsia"/>
              </w:rPr>
              <w:t>见表</w:t>
            </w:r>
            <w:r>
              <w:t>4</w:t>
            </w:r>
            <w:r>
              <w:rPr>
                <w:rFonts w:hint="eastAsia"/>
              </w:rPr>
              <w:t>-4)。</w:t>
            </w:r>
          </w:p>
          <w:p>
            <w:pPr>
              <w:tabs>
                <w:tab w:val="left" w:pos="1021"/>
              </w:tabs>
              <w:spacing w:line="300" w:lineRule="exact"/>
              <w:jc w:val="center"/>
              <w:rPr>
                <w:b/>
                <w:bCs/>
                <w:sz w:val="21"/>
                <w:szCs w:val="21"/>
              </w:rPr>
            </w:pPr>
            <w:r>
              <w:rPr>
                <w:rFonts w:hint="eastAsia"/>
                <w:b/>
                <w:bCs/>
              </w:rPr>
              <w:t xml:space="preserve">       </w:t>
            </w:r>
            <w:r>
              <w:rPr>
                <w:rFonts w:hint="eastAsia"/>
                <w:b/>
                <w:bCs/>
                <w:sz w:val="21"/>
                <w:szCs w:val="21"/>
              </w:rPr>
              <w:t xml:space="preserve"> 表</w:t>
            </w:r>
            <w:r>
              <w:rPr>
                <w:b/>
                <w:bCs/>
                <w:sz w:val="21"/>
                <w:szCs w:val="21"/>
              </w:rPr>
              <w:t>4</w:t>
            </w:r>
            <w:r>
              <w:rPr>
                <w:rFonts w:hint="eastAsia"/>
                <w:b/>
                <w:bCs/>
                <w:sz w:val="21"/>
                <w:szCs w:val="21"/>
              </w:rPr>
              <w:t xml:space="preserve">-4  </w:t>
            </w:r>
            <w:r>
              <w:rPr>
                <w:b/>
                <w:bCs/>
                <w:sz w:val="21"/>
                <w:szCs w:val="21"/>
              </w:rPr>
              <w:t>《声环境质量标准》GB3096-2008</w:t>
            </w:r>
            <w:r>
              <w:rPr>
                <w:rFonts w:hint="eastAsia"/>
                <w:b/>
                <w:bCs/>
                <w:sz w:val="21"/>
                <w:szCs w:val="21"/>
              </w:rPr>
              <w:t>（摘录） 单位：</w:t>
            </w:r>
            <w:r>
              <w:rPr>
                <w:b/>
                <w:bCs/>
                <w:sz w:val="21"/>
                <w:szCs w:val="21"/>
              </w:rPr>
              <w:t>dB</w:t>
            </w:r>
          </w:p>
          <w:tbl>
            <w:tblPr>
              <w:tblStyle w:val="44"/>
              <w:tblW w:w="0" w:type="auto"/>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2352"/>
              <w:gridCol w:w="2609"/>
              <w:gridCol w:w="283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exact"/>
              </w:trPr>
              <w:tc>
                <w:tcPr>
                  <w:tcW w:w="2520" w:type="dxa"/>
                  <w:vAlign w:val="center"/>
                </w:tcPr>
                <w:p>
                  <w:pPr>
                    <w:overflowPunct w:val="0"/>
                    <w:autoSpaceDE w:val="0"/>
                    <w:autoSpaceDN w:val="0"/>
                    <w:adjustRightInd w:val="0"/>
                    <w:spacing w:line="240" w:lineRule="atLeast"/>
                    <w:jc w:val="center"/>
                    <w:textAlignment w:val="baseline"/>
                    <w:rPr>
                      <w:sz w:val="21"/>
                    </w:rPr>
                  </w:pPr>
                  <w:r>
                    <w:rPr>
                      <w:rFonts w:hint="eastAsia"/>
                      <w:sz w:val="21"/>
                    </w:rPr>
                    <w:t>类别</w:t>
                  </w:r>
                </w:p>
              </w:tc>
              <w:tc>
                <w:tcPr>
                  <w:tcW w:w="2800" w:type="dxa"/>
                  <w:vAlign w:val="center"/>
                </w:tcPr>
                <w:p>
                  <w:pPr>
                    <w:overflowPunct w:val="0"/>
                    <w:autoSpaceDE w:val="0"/>
                    <w:autoSpaceDN w:val="0"/>
                    <w:adjustRightInd w:val="0"/>
                    <w:spacing w:line="240" w:lineRule="atLeast"/>
                    <w:jc w:val="center"/>
                    <w:textAlignment w:val="baseline"/>
                    <w:rPr>
                      <w:sz w:val="21"/>
                    </w:rPr>
                  </w:pPr>
                  <w:r>
                    <w:rPr>
                      <w:rFonts w:hint="eastAsia"/>
                      <w:sz w:val="21"/>
                    </w:rPr>
                    <w:t>昼间</w:t>
                  </w:r>
                </w:p>
              </w:tc>
              <w:tc>
                <w:tcPr>
                  <w:tcW w:w="3044" w:type="dxa"/>
                  <w:vAlign w:val="center"/>
                </w:tcPr>
                <w:p>
                  <w:pPr>
                    <w:overflowPunct w:val="0"/>
                    <w:autoSpaceDE w:val="0"/>
                    <w:autoSpaceDN w:val="0"/>
                    <w:adjustRightInd w:val="0"/>
                    <w:spacing w:line="240" w:lineRule="atLeast"/>
                    <w:jc w:val="center"/>
                    <w:textAlignment w:val="baseline"/>
                    <w:rPr>
                      <w:sz w:val="21"/>
                    </w:rPr>
                  </w:pPr>
                  <w:r>
                    <w:rPr>
                      <w:rFonts w:hint="eastAsia"/>
                      <w:sz w:val="21"/>
                    </w:rPr>
                    <w:t>夜间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 w:hRule="atLeast"/>
              </w:trPr>
              <w:tc>
                <w:tcPr>
                  <w:tcW w:w="2520" w:type="dxa"/>
                  <w:tcBorders>
                    <w:bottom w:val="single" w:color="auto" w:sz="12" w:space="0"/>
                  </w:tcBorders>
                  <w:vAlign w:val="center"/>
                </w:tcPr>
                <w:p>
                  <w:pPr>
                    <w:overflowPunct w:val="0"/>
                    <w:autoSpaceDE w:val="0"/>
                    <w:autoSpaceDN w:val="0"/>
                    <w:adjustRightInd w:val="0"/>
                    <w:spacing w:line="240" w:lineRule="atLeast"/>
                    <w:jc w:val="center"/>
                    <w:textAlignment w:val="baseline"/>
                    <w:rPr>
                      <w:sz w:val="21"/>
                    </w:rPr>
                  </w:pPr>
                  <w:r>
                    <w:rPr>
                      <w:sz w:val="21"/>
                    </w:rPr>
                    <w:t>2</w:t>
                  </w:r>
                  <w:r>
                    <w:rPr>
                      <w:rFonts w:hint="eastAsia"/>
                      <w:sz w:val="21"/>
                    </w:rPr>
                    <w:t>类</w:t>
                  </w:r>
                </w:p>
              </w:tc>
              <w:tc>
                <w:tcPr>
                  <w:tcW w:w="2800" w:type="dxa"/>
                  <w:tcBorders>
                    <w:bottom w:val="single" w:color="auto" w:sz="12" w:space="0"/>
                  </w:tcBorders>
                  <w:vAlign w:val="center"/>
                </w:tcPr>
                <w:p>
                  <w:pPr>
                    <w:overflowPunct w:val="0"/>
                    <w:autoSpaceDE w:val="0"/>
                    <w:autoSpaceDN w:val="0"/>
                    <w:adjustRightInd w:val="0"/>
                    <w:spacing w:line="240" w:lineRule="atLeast"/>
                    <w:jc w:val="center"/>
                    <w:textAlignment w:val="baseline"/>
                    <w:rPr>
                      <w:sz w:val="21"/>
                    </w:rPr>
                  </w:pPr>
                  <w:r>
                    <w:rPr>
                      <w:sz w:val="21"/>
                    </w:rPr>
                    <w:t>60</w:t>
                  </w:r>
                </w:p>
              </w:tc>
              <w:tc>
                <w:tcPr>
                  <w:tcW w:w="3044" w:type="dxa"/>
                  <w:tcBorders>
                    <w:bottom w:val="single" w:color="auto" w:sz="12" w:space="0"/>
                  </w:tcBorders>
                  <w:vAlign w:val="center"/>
                </w:tcPr>
                <w:p>
                  <w:pPr>
                    <w:overflowPunct w:val="0"/>
                    <w:autoSpaceDE w:val="0"/>
                    <w:autoSpaceDN w:val="0"/>
                    <w:adjustRightInd w:val="0"/>
                    <w:spacing w:line="240" w:lineRule="atLeast"/>
                    <w:jc w:val="center"/>
                    <w:textAlignment w:val="baseline"/>
                    <w:rPr>
                      <w:sz w:val="21"/>
                    </w:rPr>
                  </w:pPr>
                  <w:r>
                    <w:rPr>
                      <w:sz w:val="21"/>
                    </w:rPr>
                    <w:t>50</w:t>
                  </w:r>
                </w:p>
              </w:tc>
            </w:tr>
          </w:tbl>
          <w:p>
            <w:pPr>
              <w:spacing w:line="360" w:lineRule="auto"/>
              <w:ind w:firstLine="480" w:firstLineChars="200"/>
              <w:rPr>
                <w:kern w:val="24"/>
              </w:rPr>
            </w:pPr>
            <w:r>
              <w:rPr>
                <w:rFonts w:hint="eastAsia"/>
                <w:kern w:val="24"/>
              </w:rPr>
              <w:t>5、土壤环境质量标准</w:t>
            </w:r>
          </w:p>
          <w:p>
            <w:pPr>
              <w:spacing w:line="360" w:lineRule="auto"/>
              <w:ind w:firstLine="480" w:firstLineChars="200"/>
            </w:pPr>
            <w:r>
              <w:rPr>
                <w:rFonts w:hint="eastAsia"/>
              </w:rPr>
              <w:t>底泥和土壤环境参照《土壤环境质量 农用地土壤污染风险管控标准（试行）》（GB 15618-2018），见表</w:t>
            </w:r>
            <w:r>
              <w:t>4</w:t>
            </w:r>
            <w:r>
              <w:rPr>
                <w:rFonts w:hint="eastAsia"/>
              </w:rPr>
              <w:t>-5。</w:t>
            </w:r>
          </w:p>
          <w:p>
            <w:pPr>
              <w:tabs>
                <w:tab w:val="left" w:pos="1021"/>
              </w:tabs>
              <w:spacing w:line="300" w:lineRule="exact"/>
              <w:jc w:val="center"/>
              <w:rPr>
                <w:b/>
                <w:bCs/>
                <w:sz w:val="21"/>
                <w:szCs w:val="21"/>
              </w:rPr>
            </w:pPr>
            <w:r>
              <w:rPr>
                <w:rFonts w:hint="eastAsia"/>
                <w:b/>
                <w:bCs/>
                <w:sz w:val="21"/>
                <w:szCs w:val="21"/>
              </w:rPr>
              <w:t>表</w:t>
            </w:r>
            <w:r>
              <w:rPr>
                <w:b/>
                <w:bCs/>
                <w:sz w:val="21"/>
                <w:szCs w:val="21"/>
              </w:rPr>
              <w:t>4</w:t>
            </w:r>
            <w:r>
              <w:rPr>
                <w:rFonts w:hint="eastAsia"/>
                <w:b/>
                <w:bCs/>
                <w:sz w:val="21"/>
                <w:szCs w:val="21"/>
              </w:rPr>
              <w:t>-5 《土壤环境质量 农用地土壤污染风险管控标准（试行）》） （单位mg/kg）</w:t>
            </w:r>
          </w:p>
          <w:tbl>
            <w:tblPr>
              <w:tblStyle w:val="44"/>
              <w:tblW w:w="0" w:type="auto"/>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2018"/>
              <w:gridCol w:w="848"/>
              <w:gridCol w:w="826"/>
              <w:gridCol w:w="834"/>
              <w:gridCol w:w="848"/>
              <w:gridCol w:w="848"/>
              <w:gridCol w:w="862"/>
              <w:gridCol w:w="84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267" w:type="dxa"/>
                  <w:vAlign w:val="center"/>
                </w:tcPr>
                <w:p>
                  <w:pPr>
                    <w:overflowPunct w:val="0"/>
                    <w:autoSpaceDE w:val="0"/>
                    <w:autoSpaceDN w:val="0"/>
                    <w:adjustRightInd w:val="0"/>
                    <w:spacing w:line="320" w:lineRule="exact"/>
                    <w:jc w:val="center"/>
                    <w:textAlignment w:val="baseline"/>
                    <w:rPr>
                      <w:sz w:val="21"/>
                      <w:szCs w:val="21"/>
                    </w:rPr>
                  </w:pPr>
                  <w:r>
                    <w:rPr>
                      <w:rFonts w:hint="eastAsia"/>
                      <w:sz w:val="21"/>
                      <w:szCs w:val="21"/>
                    </w:rPr>
                    <w:t>级别</w:t>
                  </w:r>
                </w:p>
              </w:tc>
              <w:tc>
                <w:tcPr>
                  <w:tcW w:w="961" w:type="dxa"/>
                  <w:vAlign w:val="center"/>
                </w:tcPr>
                <w:p>
                  <w:pPr>
                    <w:spacing w:line="320" w:lineRule="exact"/>
                    <w:jc w:val="center"/>
                    <w:rPr>
                      <w:sz w:val="21"/>
                      <w:szCs w:val="21"/>
                    </w:rPr>
                  </w:pPr>
                  <w:r>
                    <w:rPr>
                      <w:rFonts w:hint="eastAsia"/>
                      <w:sz w:val="21"/>
                      <w:szCs w:val="21"/>
                    </w:rPr>
                    <w:t>Pb</w:t>
                  </w:r>
                </w:p>
              </w:tc>
              <w:tc>
                <w:tcPr>
                  <w:tcW w:w="961" w:type="dxa"/>
                  <w:vAlign w:val="center"/>
                </w:tcPr>
                <w:p>
                  <w:pPr>
                    <w:spacing w:line="320" w:lineRule="exact"/>
                    <w:jc w:val="center"/>
                    <w:rPr>
                      <w:sz w:val="21"/>
                      <w:szCs w:val="21"/>
                    </w:rPr>
                  </w:pPr>
                  <w:r>
                    <w:rPr>
                      <w:rFonts w:hint="eastAsia"/>
                      <w:sz w:val="21"/>
                      <w:szCs w:val="21"/>
                    </w:rPr>
                    <w:t>As</w:t>
                  </w:r>
                </w:p>
              </w:tc>
              <w:tc>
                <w:tcPr>
                  <w:tcW w:w="961" w:type="dxa"/>
                  <w:vAlign w:val="center"/>
                </w:tcPr>
                <w:p>
                  <w:pPr>
                    <w:spacing w:line="320" w:lineRule="exact"/>
                    <w:jc w:val="center"/>
                    <w:rPr>
                      <w:sz w:val="21"/>
                      <w:szCs w:val="21"/>
                    </w:rPr>
                  </w:pPr>
                  <w:r>
                    <w:rPr>
                      <w:rFonts w:hint="eastAsia"/>
                      <w:sz w:val="21"/>
                      <w:szCs w:val="21"/>
                    </w:rPr>
                    <w:t>Hg</w:t>
                  </w:r>
                </w:p>
              </w:tc>
              <w:tc>
                <w:tcPr>
                  <w:tcW w:w="961" w:type="dxa"/>
                  <w:vAlign w:val="center"/>
                </w:tcPr>
                <w:p>
                  <w:pPr>
                    <w:spacing w:line="320" w:lineRule="exact"/>
                    <w:jc w:val="center"/>
                    <w:rPr>
                      <w:sz w:val="21"/>
                      <w:szCs w:val="21"/>
                    </w:rPr>
                  </w:pPr>
                  <w:r>
                    <w:rPr>
                      <w:rFonts w:hint="eastAsia"/>
                      <w:sz w:val="21"/>
                      <w:szCs w:val="21"/>
                    </w:rPr>
                    <w:t>Cr</w:t>
                  </w:r>
                </w:p>
              </w:tc>
              <w:tc>
                <w:tcPr>
                  <w:tcW w:w="961" w:type="dxa"/>
                  <w:vAlign w:val="center"/>
                </w:tcPr>
                <w:p>
                  <w:pPr>
                    <w:spacing w:line="320" w:lineRule="exact"/>
                    <w:jc w:val="center"/>
                    <w:rPr>
                      <w:spacing w:val="-10"/>
                      <w:sz w:val="21"/>
                      <w:szCs w:val="21"/>
                    </w:rPr>
                  </w:pPr>
                  <w:r>
                    <w:rPr>
                      <w:rFonts w:hint="eastAsia"/>
                      <w:sz w:val="21"/>
                      <w:szCs w:val="21"/>
                    </w:rPr>
                    <w:t>Zn</w:t>
                  </w:r>
                </w:p>
              </w:tc>
              <w:tc>
                <w:tcPr>
                  <w:tcW w:w="961" w:type="dxa"/>
                  <w:vAlign w:val="center"/>
                </w:tcPr>
                <w:p>
                  <w:pPr>
                    <w:spacing w:line="320" w:lineRule="exact"/>
                    <w:jc w:val="center"/>
                    <w:rPr>
                      <w:sz w:val="21"/>
                      <w:szCs w:val="21"/>
                    </w:rPr>
                  </w:pPr>
                  <w:r>
                    <w:rPr>
                      <w:rFonts w:hint="eastAsia"/>
                      <w:sz w:val="21"/>
                      <w:szCs w:val="21"/>
                    </w:rPr>
                    <w:t>Cd</w:t>
                  </w:r>
                </w:p>
              </w:tc>
              <w:tc>
                <w:tcPr>
                  <w:tcW w:w="963" w:type="dxa"/>
                  <w:vAlign w:val="center"/>
                </w:tcPr>
                <w:p>
                  <w:pPr>
                    <w:spacing w:line="320" w:lineRule="exact"/>
                    <w:jc w:val="center"/>
                    <w:rPr>
                      <w:sz w:val="21"/>
                      <w:szCs w:val="21"/>
                    </w:rPr>
                  </w:pPr>
                  <w:r>
                    <w:rPr>
                      <w:rFonts w:hint="eastAsia"/>
                      <w:sz w:val="21"/>
                      <w:szCs w:val="21"/>
                    </w:rPr>
                    <w:t>Cu</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267" w:type="dxa"/>
                  <w:vAlign w:val="center"/>
                </w:tcPr>
                <w:p>
                  <w:pPr>
                    <w:overflowPunct w:val="0"/>
                    <w:autoSpaceDE w:val="0"/>
                    <w:autoSpaceDN w:val="0"/>
                    <w:adjustRightInd w:val="0"/>
                    <w:spacing w:line="320" w:lineRule="exact"/>
                    <w:jc w:val="center"/>
                    <w:textAlignment w:val="baseline"/>
                    <w:rPr>
                      <w:sz w:val="21"/>
                      <w:szCs w:val="21"/>
                    </w:rPr>
                  </w:pPr>
                  <w:r>
                    <w:rPr>
                      <w:rFonts w:hint="eastAsia"/>
                      <w:sz w:val="21"/>
                      <w:szCs w:val="21"/>
                    </w:rPr>
                    <w:t>pH</w:t>
                  </w:r>
                  <w:r>
                    <w:rPr>
                      <w:rFonts w:hint="eastAsia" w:ascii="宋体" w:hAnsi="宋体"/>
                      <w:sz w:val="21"/>
                      <w:szCs w:val="21"/>
                    </w:rPr>
                    <w:t>&gt;</w:t>
                  </w:r>
                  <w:r>
                    <w:rPr>
                      <w:rFonts w:hint="eastAsia"/>
                      <w:sz w:val="21"/>
                      <w:szCs w:val="21"/>
                    </w:rPr>
                    <w:t>7.5</w:t>
                  </w:r>
                </w:p>
              </w:tc>
              <w:tc>
                <w:tcPr>
                  <w:tcW w:w="961" w:type="dxa"/>
                  <w:vAlign w:val="center"/>
                </w:tcPr>
                <w:p>
                  <w:pPr>
                    <w:spacing w:line="340" w:lineRule="exact"/>
                    <w:jc w:val="center"/>
                    <w:textAlignment w:val="center"/>
                    <w:rPr>
                      <w:sz w:val="21"/>
                      <w:szCs w:val="21"/>
                    </w:rPr>
                  </w:pPr>
                  <w:r>
                    <w:rPr>
                      <w:rFonts w:hint="eastAsia"/>
                      <w:sz w:val="21"/>
                      <w:szCs w:val="21"/>
                    </w:rPr>
                    <w:t>170</w:t>
                  </w:r>
                </w:p>
              </w:tc>
              <w:tc>
                <w:tcPr>
                  <w:tcW w:w="961" w:type="dxa"/>
                  <w:vAlign w:val="center"/>
                </w:tcPr>
                <w:p>
                  <w:pPr>
                    <w:spacing w:line="340" w:lineRule="exact"/>
                    <w:jc w:val="center"/>
                    <w:textAlignment w:val="center"/>
                    <w:rPr>
                      <w:sz w:val="21"/>
                      <w:szCs w:val="21"/>
                    </w:rPr>
                  </w:pPr>
                  <w:r>
                    <w:rPr>
                      <w:rFonts w:hint="eastAsia"/>
                      <w:sz w:val="21"/>
                      <w:szCs w:val="21"/>
                    </w:rPr>
                    <w:t>25</w:t>
                  </w:r>
                </w:p>
              </w:tc>
              <w:tc>
                <w:tcPr>
                  <w:tcW w:w="961" w:type="dxa"/>
                  <w:vAlign w:val="center"/>
                </w:tcPr>
                <w:p>
                  <w:pPr>
                    <w:spacing w:line="340" w:lineRule="exact"/>
                    <w:jc w:val="center"/>
                    <w:textAlignment w:val="center"/>
                    <w:rPr>
                      <w:sz w:val="21"/>
                      <w:szCs w:val="21"/>
                    </w:rPr>
                  </w:pPr>
                  <w:r>
                    <w:rPr>
                      <w:rFonts w:hint="eastAsia"/>
                      <w:sz w:val="21"/>
                      <w:szCs w:val="21"/>
                    </w:rPr>
                    <w:t>3.4</w:t>
                  </w:r>
                </w:p>
              </w:tc>
              <w:tc>
                <w:tcPr>
                  <w:tcW w:w="961" w:type="dxa"/>
                  <w:vAlign w:val="center"/>
                </w:tcPr>
                <w:p>
                  <w:pPr>
                    <w:spacing w:line="340" w:lineRule="exact"/>
                    <w:jc w:val="center"/>
                    <w:textAlignment w:val="center"/>
                    <w:rPr>
                      <w:sz w:val="21"/>
                      <w:szCs w:val="21"/>
                    </w:rPr>
                  </w:pPr>
                  <w:r>
                    <w:rPr>
                      <w:rFonts w:hint="eastAsia"/>
                      <w:sz w:val="21"/>
                      <w:szCs w:val="21"/>
                    </w:rPr>
                    <w:t>250</w:t>
                  </w:r>
                </w:p>
              </w:tc>
              <w:tc>
                <w:tcPr>
                  <w:tcW w:w="961" w:type="dxa"/>
                  <w:vAlign w:val="center"/>
                </w:tcPr>
                <w:p>
                  <w:pPr>
                    <w:spacing w:line="340" w:lineRule="exact"/>
                    <w:jc w:val="center"/>
                    <w:textAlignment w:val="center"/>
                    <w:rPr>
                      <w:sz w:val="21"/>
                      <w:szCs w:val="21"/>
                    </w:rPr>
                  </w:pPr>
                  <w:r>
                    <w:rPr>
                      <w:rFonts w:hint="eastAsia"/>
                      <w:sz w:val="21"/>
                      <w:szCs w:val="21"/>
                    </w:rPr>
                    <w:t>300</w:t>
                  </w:r>
                </w:p>
              </w:tc>
              <w:tc>
                <w:tcPr>
                  <w:tcW w:w="961" w:type="dxa"/>
                  <w:vAlign w:val="center"/>
                </w:tcPr>
                <w:p>
                  <w:pPr>
                    <w:spacing w:line="340" w:lineRule="exact"/>
                    <w:jc w:val="center"/>
                    <w:textAlignment w:val="center"/>
                    <w:rPr>
                      <w:sz w:val="21"/>
                      <w:szCs w:val="21"/>
                    </w:rPr>
                  </w:pPr>
                  <w:r>
                    <w:rPr>
                      <w:rFonts w:hint="eastAsia"/>
                      <w:sz w:val="21"/>
                      <w:szCs w:val="21"/>
                    </w:rPr>
                    <w:t>0.6</w:t>
                  </w:r>
                </w:p>
              </w:tc>
              <w:tc>
                <w:tcPr>
                  <w:tcW w:w="963" w:type="dxa"/>
                  <w:vAlign w:val="center"/>
                </w:tcPr>
                <w:p>
                  <w:pPr>
                    <w:spacing w:line="320" w:lineRule="exact"/>
                    <w:jc w:val="center"/>
                    <w:textAlignment w:val="center"/>
                    <w:rPr>
                      <w:sz w:val="21"/>
                      <w:szCs w:val="21"/>
                    </w:rPr>
                  </w:pPr>
                  <w:r>
                    <w:rPr>
                      <w:rFonts w:hint="eastAsia"/>
                      <w:sz w:val="21"/>
                      <w:szCs w:val="21"/>
                    </w:rPr>
                    <w:t>100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267" w:type="dxa"/>
                </w:tcPr>
                <w:p>
                  <w:pPr>
                    <w:spacing w:line="340" w:lineRule="exact"/>
                    <w:jc w:val="center"/>
                    <w:textAlignment w:val="center"/>
                    <w:rPr>
                      <w:sz w:val="21"/>
                      <w:szCs w:val="21"/>
                    </w:rPr>
                  </w:pPr>
                  <w:r>
                    <w:rPr>
                      <w:sz w:val="21"/>
                      <w:szCs w:val="21"/>
                    </w:rPr>
                    <w:t>7.5</w:t>
                  </w:r>
                  <w:r>
                    <w:rPr>
                      <w:rFonts w:hAnsi="宋体"/>
                      <w:sz w:val="21"/>
                      <w:szCs w:val="21"/>
                    </w:rPr>
                    <w:t>≧</w:t>
                  </w:r>
                  <w:r>
                    <w:rPr>
                      <w:sz w:val="21"/>
                      <w:szCs w:val="21"/>
                    </w:rPr>
                    <w:t>pH&gt;6.5</w:t>
                  </w:r>
                </w:p>
              </w:tc>
              <w:tc>
                <w:tcPr>
                  <w:tcW w:w="961" w:type="dxa"/>
                  <w:vAlign w:val="center"/>
                </w:tcPr>
                <w:p>
                  <w:pPr>
                    <w:spacing w:line="340" w:lineRule="exact"/>
                    <w:jc w:val="center"/>
                    <w:textAlignment w:val="center"/>
                    <w:rPr>
                      <w:sz w:val="21"/>
                      <w:szCs w:val="21"/>
                    </w:rPr>
                  </w:pPr>
                  <w:r>
                    <w:rPr>
                      <w:rFonts w:hint="eastAsia"/>
                      <w:sz w:val="21"/>
                      <w:szCs w:val="21"/>
                    </w:rPr>
                    <w:t>120</w:t>
                  </w:r>
                </w:p>
              </w:tc>
              <w:tc>
                <w:tcPr>
                  <w:tcW w:w="961" w:type="dxa"/>
                  <w:vAlign w:val="center"/>
                </w:tcPr>
                <w:p>
                  <w:pPr>
                    <w:spacing w:line="340" w:lineRule="exact"/>
                    <w:jc w:val="center"/>
                    <w:textAlignment w:val="center"/>
                    <w:rPr>
                      <w:sz w:val="21"/>
                      <w:szCs w:val="21"/>
                    </w:rPr>
                  </w:pPr>
                  <w:r>
                    <w:rPr>
                      <w:rFonts w:hint="eastAsia"/>
                      <w:sz w:val="21"/>
                      <w:szCs w:val="21"/>
                    </w:rPr>
                    <w:t>30</w:t>
                  </w:r>
                </w:p>
              </w:tc>
              <w:tc>
                <w:tcPr>
                  <w:tcW w:w="961" w:type="dxa"/>
                  <w:vAlign w:val="center"/>
                </w:tcPr>
                <w:p>
                  <w:pPr>
                    <w:spacing w:line="340" w:lineRule="exact"/>
                    <w:jc w:val="center"/>
                    <w:textAlignment w:val="center"/>
                    <w:rPr>
                      <w:sz w:val="21"/>
                      <w:szCs w:val="21"/>
                    </w:rPr>
                  </w:pPr>
                  <w:r>
                    <w:rPr>
                      <w:rFonts w:hint="eastAsia"/>
                      <w:sz w:val="21"/>
                      <w:szCs w:val="21"/>
                    </w:rPr>
                    <w:t>2.4</w:t>
                  </w:r>
                </w:p>
              </w:tc>
              <w:tc>
                <w:tcPr>
                  <w:tcW w:w="961" w:type="dxa"/>
                  <w:vAlign w:val="center"/>
                </w:tcPr>
                <w:p>
                  <w:pPr>
                    <w:spacing w:line="340" w:lineRule="exact"/>
                    <w:jc w:val="center"/>
                    <w:textAlignment w:val="center"/>
                    <w:rPr>
                      <w:sz w:val="21"/>
                      <w:szCs w:val="21"/>
                    </w:rPr>
                  </w:pPr>
                  <w:r>
                    <w:rPr>
                      <w:rFonts w:hint="eastAsia"/>
                      <w:sz w:val="21"/>
                      <w:szCs w:val="21"/>
                    </w:rPr>
                    <w:t>200</w:t>
                  </w:r>
                </w:p>
              </w:tc>
              <w:tc>
                <w:tcPr>
                  <w:tcW w:w="961" w:type="dxa"/>
                  <w:vAlign w:val="center"/>
                </w:tcPr>
                <w:p>
                  <w:pPr>
                    <w:spacing w:line="340" w:lineRule="exact"/>
                    <w:jc w:val="center"/>
                    <w:textAlignment w:val="center"/>
                    <w:rPr>
                      <w:sz w:val="21"/>
                      <w:szCs w:val="21"/>
                    </w:rPr>
                  </w:pPr>
                  <w:r>
                    <w:rPr>
                      <w:rFonts w:hint="eastAsia"/>
                      <w:sz w:val="21"/>
                      <w:szCs w:val="21"/>
                    </w:rPr>
                    <w:t>250</w:t>
                  </w:r>
                </w:p>
              </w:tc>
              <w:tc>
                <w:tcPr>
                  <w:tcW w:w="961" w:type="dxa"/>
                  <w:vAlign w:val="center"/>
                </w:tcPr>
                <w:p>
                  <w:pPr>
                    <w:spacing w:line="340" w:lineRule="exact"/>
                    <w:jc w:val="center"/>
                    <w:textAlignment w:val="center"/>
                    <w:rPr>
                      <w:sz w:val="21"/>
                      <w:szCs w:val="21"/>
                    </w:rPr>
                  </w:pPr>
                  <w:r>
                    <w:rPr>
                      <w:rFonts w:hint="eastAsia"/>
                      <w:sz w:val="21"/>
                      <w:szCs w:val="21"/>
                    </w:rPr>
                    <w:t>0.03</w:t>
                  </w:r>
                </w:p>
              </w:tc>
              <w:tc>
                <w:tcPr>
                  <w:tcW w:w="963" w:type="dxa"/>
                  <w:vAlign w:val="center"/>
                </w:tcPr>
                <w:p>
                  <w:pPr>
                    <w:spacing w:line="320" w:lineRule="exact"/>
                    <w:jc w:val="center"/>
                    <w:textAlignment w:val="center"/>
                    <w:rPr>
                      <w:sz w:val="21"/>
                      <w:szCs w:val="21"/>
                    </w:rPr>
                  </w:pPr>
                  <w:r>
                    <w:rPr>
                      <w:rFonts w:hint="eastAsia"/>
                      <w:sz w:val="21"/>
                      <w:szCs w:val="21"/>
                    </w:rPr>
                    <w:t>100</w:t>
                  </w:r>
                </w:p>
              </w:tc>
            </w:tr>
          </w:tbl>
          <w:p>
            <w:pPr>
              <w:pStyle w:val="3"/>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498" w:type="dxa"/>
            <w:vAlign w:val="center"/>
          </w:tcPr>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污</w:t>
            </w:r>
          </w:p>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染</w:t>
            </w:r>
          </w:p>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物</w:t>
            </w:r>
          </w:p>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排</w:t>
            </w:r>
          </w:p>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放</w:t>
            </w:r>
          </w:p>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标</w:t>
            </w:r>
          </w:p>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准</w:t>
            </w:r>
          </w:p>
        </w:tc>
        <w:tc>
          <w:tcPr>
            <w:tcW w:w="8149" w:type="dxa"/>
          </w:tcPr>
          <w:p>
            <w:pPr>
              <w:numPr>
                <w:ilvl w:val="0"/>
                <w:numId w:val="3"/>
              </w:numPr>
              <w:spacing w:line="440" w:lineRule="exact"/>
              <w:ind w:right="240" w:rightChars="100" w:firstLine="480" w:firstLineChars="200"/>
              <w:rPr>
                <w:kern w:val="24"/>
              </w:rPr>
            </w:pPr>
            <w:r>
              <w:rPr>
                <w:rFonts w:hint="eastAsia"/>
                <w:kern w:val="24"/>
              </w:rPr>
              <w:t>废水：工程施工无生产废水，生活污水</w:t>
            </w:r>
            <w:r>
              <w:rPr>
                <w:kern w:val="24"/>
              </w:rPr>
              <w:t>可纳入当地污水收集、处置系统</w:t>
            </w:r>
            <w:r>
              <w:rPr>
                <w:rFonts w:hint="eastAsia"/>
                <w:kern w:val="24"/>
              </w:rPr>
              <w:t>，不外排。</w:t>
            </w:r>
          </w:p>
          <w:p>
            <w:pPr>
              <w:spacing w:line="440" w:lineRule="exact"/>
              <w:ind w:right="240" w:rightChars="100" w:firstLine="480" w:firstLineChars="200"/>
            </w:pPr>
            <w:r>
              <w:rPr>
                <w:rFonts w:hint="eastAsia"/>
                <w:kern w:val="24"/>
              </w:rPr>
              <w:t>2、废气：</w:t>
            </w:r>
            <w:r>
              <w:rPr>
                <w:rFonts w:hint="eastAsia"/>
              </w:rPr>
              <w:t>粉尘执行</w:t>
            </w:r>
            <w:r>
              <w:t>GBl6297-1996</w:t>
            </w:r>
            <w:r>
              <w:rPr>
                <w:rFonts w:hint="eastAsia"/>
              </w:rPr>
              <w:t>《大气污染物综合排放标准》</w:t>
            </w:r>
            <w:r>
              <w:t>(</w:t>
            </w:r>
            <w:r>
              <w:rPr>
                <w:rFonts w:hint="eastAsia"/>
              </w:rPr>
              <w:t>见表</w:t>
            </w:r>
            <w:r>
              <w:t>4</w:t>
            </w:r>
            <w:r>
              <w:rPr>
                <w:rFonts w:hint="eastAsia"/>
              </w:rPr>
              <w:t>-</w:t>
            </w:r>
            <w:r>
              <w:rPr>
                <w:rFonts w:hint="eastAsia"/>
                <w:lang w:val="en-US" w:eastAsia="zh-CN"/>
              </w:rPr>
              <w:t>6</w:t>
            </w:r>
            <w:r>
              <w:rPr>
                <w:rFonts w:hint="eastAsia"/>
              </w:rPr>
              <w:t>)。</w:t>
            </w:r>
          </w:p>
          <w:p>
            <w:pPr>
              <w:tabs>
                <w:tab w:val="left" w:pos="1021"/>
              </w:tabs>
              <w:spacing w:line="440" w:lineRule="exact"/>
              <w:jc w:val="center"/>
              <w:rPr>
                <w:b/>
                <w:bCs/>
                <w:sz w:val="21"/>
                <w:szCs w:val="21"/>
              </w:rPr>
            </w:pPr>
            <w:r>
              <w:rPr>
                <w:rFonts w:hint="eastAsia"/>
                <w:b/>
                <w:bCs/>
                <w:sz w:val="21"/>
                <w:szCs w:val="21"/>
              </w:rPr>
              <w:t>表</w:t>
            </w:r>
            <w:r>
              <w:rPr>
                <w:b/>
                <w:bCs/>
                <w:sz w:val="21"/>
                <w:szCs w:val="21"/>
              </w:rPr>
              <w:t>4</w:t>
            </w:r>
            <w:r>
              <w:rPr>
                <w:rFonts w:hint="eastAsia"/>
                <w:b/>
                <w:bCs/>
                <w:sz w:val="21"/>
                <w:szCs w:val="21"/>
              </w:rPr>
              <w:t>-</w:t>
            </w:r>
            <w:r>
              <w:rPr>
                <w:rFonts w:hint="eastAsia"/>
                <w:b/>
                <w:bCs/>
                <w:sz w:val="21"/>
                <w:szCs w:val="21"/>
                <w:lang w:val="en-US" w:eastAsia="zh-CN"/>
              </w:rPr>
              <w:t>6</w:t>
            </w:r>
            <w:r>
              <w:rPr>
                <w:rFonts w:hint="eastAsia"/>
                <w:b/>
                <w:bCs/>
                <w:sz w:val="21"/>
                <w:szCs w:val="21"/>
              </w:rPr>
              <w:t xml:space="preserve"> 粉尘排放标准(摘录)  单位：</w:t>
            </w:r>
            <w:r>
              <w:rPr>
                <w:b/>
                <w:bCs/>
                <w:sz w:val="21"/>
                <w:szCs w:val="21"/>
              </w:rPr>
              <w:t>mg/m</w:t>
            </w:r>
            <w:r>
              <w:rPr>
                <w:b/>
                <w:bCs/>
                <w:sz w:val="21"/>
                <w:szCs w:val="21"/>
                <w:vertAlign w:val="superscript"/>
              </w:rPr>
              <w:t>3</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083"/>
              <w:gridCol w:w="1709"/>
              <w:gridCol w:w="1935"/>
              <w:gridCol w:w="317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185" w:type="dxa"/>
                  <w:vAlign w:val="center"/>
                </w:tcPr>
                <w:p>
                  <w:pPr>
                    <w:overflowPunct w:val="0"/>
                    <w:autoSpaceDE w:val="0"/>
                    <w:autoSpaceDN w:val="0"/>
                    <w:adjustRightInd w:val="0"/>
                    <w:spacing w:line="400" w:lineRule="exact"/>
                    <w:jc w:val="center"/>
                    <w:textAlignment w:val="baseline"/>
                    <w:rPr>
                      <w:sz w:val="21"/>
                    </w:rPr>
                  </w:pPr>
                  <w:r>
                    <w:rPr>
                      <w:rFonts w:hint="eastAsia"/>
                      <w:sz w:val="21"/>
                    </w:rPr>
                    <w:t>污染物</w:t>
                  </w:r>
                </w:p>
              </w:tc>
              <w:tc>
                <w:tcPr>
                  <w:tcW w:w="1875" w:type="dxa"/>
                  <w:vAlign w:val="center"/>
                </w:tcPr>
                <w:p>
                  <w:pPr>
                    <w:overflowPunct w:val="0"/>
                    <w:autoSpaceDE w:val="0"/>
                    <w:autoSpaceDN w:val="0"/>
                    <w:adjustRightInd w:val="0"/>
                    <w:spacing w:line="400" w:lineRule="exact"/>
                    <w:jc w:val="center"/>
                    <w:textAlignment w:val="baseline"/>
                    <w:rPr>
                      <w:sz w:val="21"/>
                    </w:rPr>
                  </w:pPr>
                  <w:r>
                    <w:rPr>
                      <w:rFonts w:hint="eastAsia"/>
                      <w:sz w:val="21"/>
                    </w:rPr>
                    <w:t>生产工艺</w:t>
                  </w:r>
                </w:p>
              </w:tc>
              <w:tc>
                <w:tcPr>
                  <w:tcW w:w="2160" w:type="dxa"/>
                  <w:vAlign w:val="center"/>
                </w:tcPr>
                <w:p>
                  <w:pPr>
                    <w:overflowPunct w:val="0"/>
                    <w:autoSpaceDE w:val="0"/>
                    <w:autoSpaceDN w:val="0"/>
                    <w:adjustRightInd w:val="0"/>
                    <w:spacing w:line="400" w:lineRule="exact"/>
                    <w:jc w:val="center"/>
                    <w:textAlignment w:val="baseline"/>
                    <w:rPr>
                      <w:sz w:val="21"/>
                    </w:rPr>
                  </w:pPr>
                  <w:r>
                    <w:rPr>
                      <w:rFonts w:hint="eastAsia"/>
                      <w:sz w:val="21"/>
                    </w:rPr>
                    <w:t>最高允许排放浓度</w:t>
                  </w:r>
                </w:p>
              </w:tc>
              <w:tc>
                <w:tcPr>
                  <w:tcW w:w="3600" w:type="dxa"/>
                  <w:vAlign w:val="center"/>
                </w:tcPr>
                <w:p>
                  <w:pPr>
                    <w:overflowPunct w:val="0"/>
                    <w:autoSpaceDE w:val="0"/>
                    <w:autoSpaceDN w:val="0"/>
                    <w:adjustRightInd w:val="0"/>
                    <w:spacing w:line="400" w:lineRule="exact"/>
                    <w:jc w:val="center"/>
                    <w:textAlignment w:val="baseline"/>
                    <w:rPr>
                      <w:sz w:val="21"/>
                    </w:rPr>
                  </w:pPr>
                  <w:r>
                    <w:rPr>
                      <w:rFonts w:hint="eastAsia"/>
                      <w:sz w:val="21"/>
                    </w:rPr>
                    <w:t>无组织排放监控浓度限值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8" w:hRule="exact"/>
                <w:jc w:val="center"/>
              </w:trPr>
              <w:tc>
                <w:tcPr>
                  <w:tcW w:w="1185" w:type="dxa"/>
                  <w:tcBorders>
                    <w:top w:val="single" w:color="auto" w:sz="4" w:space="0"/>
                  </w:tcBorders>
                  <w:vAlign w:val="center"/>
                </w:tcPr>
                <w:p>
                  <w:pPr>
                    <w:overflowPunct w:val="0"/>
                    <w:autoSpaceDE w:val="0"/>
                    <w:autoSpaceDN w:val="0"/>
                    <w:adjustRightInd w:val="0"/>
                    <w:spacing w:line="400" w:lineRule="exact"/>
                    <w:jc w:val="center"/>
                    <w:textAlignment w:val="baseline"/>
                    <w:rPr>
                      <w:sz w:val="21"/>
                    </w:rPr>
                  </w:pPr>
                  <w:r>
                    <w:rPr>
                      <w:sz w:val="21"/>
                    </w:rPr>
                    <w:t>粉尘</w:t>
                  </w:r>
                </w:p>
              </w:tc>
              <w:tc>
                <w:tcPr>
                  <w:tcW w:w="1875" w:type="dxa"/>
                  <w:tcBorders>
                    <w:top w:val="single" w:color="auto" w:sz="4" w:space="0"/>
                  </w:tcBorders>
                  <w:vAlign w:val="center"/>
                </w:tcPr>
                <w:p>
                  <w:pPr>
                    <w:overflowPunct w:val="0"/>
                    <w:autoSpaceDE w:val="0"/>
                    <w:autoSpaceDN w:val="0"/>
                    <w:adjustRightInd w:val="0"/>
                    <w:spacing w:line="400" w:lineRule="exact"/>
                    <w:jc w:val="center"/>
                    <w:textAlignment w:val="baseline"/>
                    <w:rPr>
                      <w:sz w:val="21"/>
                    </w:rPr>
                  </w:pPr>
                  <w:r>
                    <w:rPr>
                      <w:sz w:val="21"/>
                    </w:rPr>
                    <w:t>取、弃土及车辆运行</w:t>
                  </w:r>
                </w:p>
              </w:tc>
              <w:tc>
                <w:tcPr>
                  <w:tcW w:w="2160" w:type="dxa"/>
                  <w:tcBorders>
                    <w:top w:val="single" w:color="auto" w:sz="4" w:space="0"/>
                  </w:tcBorders>
                  <w:vAlign w:val="center"/>
                </w:tcPr>
                <w:p>
                  <w:pPr>
                    <w:overflowPunct w:val="0"/>
                    <w:autoSpaceDE w:val="0"/>
                    <w:autoSpaceDN w:val="0"/>
                    <w:adjustRightInd w:val="0"/>
                    <w:spacing w:line="400" w:lineRule="exact"/>
                    <w:jc w:val="center"/>
                    <w:textAlignment w:val="baseline"/>
                    <w:rPr>
                      <w:sz w:val="21"/>
                    </w:rPr>
                  </w:pPr>
                  <w:r>
                    <w:rPr>
                      <w:sz w:val="21"/>
                    </w:rPr>
                    <w:t>1.0</w:t>
                  </w:r>
                </w:p>
              </w:tc>
              <w:tc>
                <w:tcPr>
                  <w:tcW w:w="3600" w:type="dxa"/>
                  <w:tcBorders>
                    <w:top w:val="single" w:color="auto" w:sz="4" w:space="0"/>
                  </w:tcBorders>
                  <w:vAlign w:val="center"/>
                </w:tcPr>
                <w:p>
                  <w:pPr>
                    <w:overflowPunct w:val="0"/>
                    <w:autoSpaceDE w:val="0"/>
                    <w:autoSpaceDN w:val="0"/>
                    <w:adjustRightInd w:val="0"/>
                    <w:spacing w:line="400" w:lineRule="exact"/>
                    <w:jc w:val="center"/>
                    <w:textAlignment w:val="baseline"/>
                    <w:rPr>
                      <w:sz w:val="21"/>
                    </w:rPr>
                  </w:pPr>
                  <w:r>
                    <w:rPr>
                      <w:sz w:val="21"/>
                    </w:rPr>
                    <w:t>不得有明显的无组织排放存在</w:t>
                  </w:r>
                </w:p>
              </w:tc>
            </w:tr>
          </w:tbl>
          <w:p>
            <w:pPr>
              <w:spacing w:line="440" w:lineRule="exact"/>
              <w:ind w:firstLine="360" w:firstLineChars="150"/>
              <w:rPr>
                <w:kern w:val="24"/>
                <w:highlight w:val="none"/>
              </w:rPr>
            </w:pPr>
            <w:r>
              <w:rPr>
                <w:rFonts w:hint="eastAsia"/>
              </w:rPr>
              <w:t>3、噪声：</w:t>
            </w:r>
            <w:r>
              <w:rPr>
                <w:rFonts w:hint="eastAsia"/>
                <w:kern w:val="24"/>
              </w:rPr>
              <w:t>施工期噪声执行</w:t>
            </w:r>
            <w:r>
              <w:rPr>
                <w:kern w:val="24"/>
              </w:rPr>
              <w:t>GB12523-2011《建筑施工场界环境噪声排放标准》标准(</w:t>
            </w:r>
            <w:r>
              <w:rPr>
                <w:rFonts w:hint="eastAsia"/>
                <w:kern w:val="24"/>
              </w:rPr>
              <w:t>见表</w:t>
            </w:r>
            <w:r>
              <w:rPr>
                <w:kern w:val="24"/>
              </w:rPr>
              <w:t>4</w:t>
            </w:r>
            <w:r>
              <w:rPr>
                <w:rFonts w:hint="eastAsia"/>
                <w:kern w:val="24"/>
              </w:rPr>
              <w:t>-</w:t>
            </w:r>
            <w:r>
              <w:rPr>
                <w:rFonts w:hint="eastAsia"/>
                <w:kern w:val="24"/>
                <w:lang w:val="en-US" w:eastAsia="zh-CN"/>
              </w:rPr>
              <w:t>7</w:t>
            </w:r>
            <w:r>
              <w:rPr>
                <w:kern w:val="24"/>
              </w:rPr>
              <w:t>)</w:t>
            </w:r>
            <w:r>
              <w:rPr>
                <w:rFonts w:hint="eastAsia"/>
                <w:kern w:val="24"/>
              </w:rPr>
              <w:t>；</w:t>
            </w:r>
            <w:r>
              <w:rPr>
                <w:kern w:val="24"/>
                <w:highlight w:val="none"/>
              </w:rPr>
              <w:t xml:space="preserve"> </w:t>
            </w:r>
            <w:r>
              <w:rPr>
                <w:rFonts w:hint="eastAsia"/>
                <w:highlight w:val="none"/>
              </w:rPr>
              <w:t>噪声营运期执行《工业企业厂界环境噪声排放标准》（GB12348－2008）中的 2 类标准值。</w:t>
            </w:r>
          </w:p>
          <w:p>
            <w:pPr>
              <w:tabs>
                <w:tab w:val="left" w:pos="1021"/>
              </w:tabs>
              <w:spacing w:line="300" w:lineRule="exact"/>
              <w:jc w:val="center"/>
              <w:rPr>
                <w:b/>
                <w:bCs/>
                <w:sz w:val="21"/>
                <w:szCs w:val="21"/>
              </w:rPr>
            </w:pPr>
            <w:r>
              <w:rPr>
                <w:rFonts w:hint="eastAsia"/>
                <w:b/>
                <w:bCs/>
              </w:rPr>
              <w:t xml:space="preserve">   </w:t>
            </w:r>
            <w:r>
              <w:rPr>
                <w:rFonts w:hint="eastAsia"/>
                <w:b/>
                <w:bCs/>
                <w:sz w:val="21"/>
                <w:szCs w:val="21"/>
              </w:rPr>
              <w:t>表</w:t>
            </w:r>
            <w:r>
              <w:rPr>
                <w:b/>
                <w:bCs/>
                <w:sz w:val="21"/>
                <w:szCs w:val="21"/>
              </w:rPr>
              <w:t>4</w:t>
            </w:r>
            <w:r>
              <w:rPr>
                <w:rFonts w:hint="eastAsia"/>
                <w:b/>
                <w:bCs/>
                <w:sz w:val="21"/>
                <w:szCs w:val="21"/>
              </w:rPr>
              <w:t>-</w:t>
            </w:r>
            <w:r>
              <w:rPr>
                <w:rFonts w:hint="eastAsia"/>
                <w:b/>
                <w:bCs/>
                <w:sz w:val="21"/>
                <w:szCs w:val="21"/>
                <w:lang w:val="en-US" w:eastAsia="zh-CN"/>
              </w:rPr>
              <w:t>7</w:t>
            </w:r>
            <w:r>
              <w:rPr>
                <w:rFonts w:hint="eastAsia"/>
                <w:b/>
                <w:bCs/>
                <w:sz w:val="21"/>
                <w:szCs w:val="21"/>
              </w:rPr>
              <w:t xml:space="preserve">  建筑施工场界环境噪声排放标准</w:t>
            </w:r>
            <w:r>
              <w:rPr>
                <w:b/>
                <w:bCs/>
                <w:sz w:val="21"/>
                <w:szCs w:val="21"/>
              </w:rPr>
              <w:t xml:space="preserve">  </w:t>
            </w:r>
            <w:r>
              <w:rPr>
                <w:rFonts w:hint="eastAsia"/>
                <w:b/>
                <w:bCs/>
                <w:sz w:val="21"/>
                <w:szCs w:val="21"/>
              </w:rPr>
              <w:t>单位：</w:t>
            </w:r>
            <w:r>
              <w:rPr>
                <w:b/>
                <w:bCs/>
                <w:sz w:val="21"/>
                <w:szCs w:val="21"/>
              </w:rPr>
              <w:t>dB</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3444"/>
              <w:gridCol w:w="445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exact"/>
                <w:jc w:val="center"/>
              </w:trPr>
              <w:tc>
                <w:tcPr>
                  <w:tcW w:w="3711" w:type="dxa"/>
                  <w:vAlign w:val="center"/>
                </w:tcPr>
                <w:p>
                  <w:pPr>
                    <w:overflowPunct w:val="0"/>
                    <w:autoSpaceDE w:val="0"/>
                    <w:autoSpaceDN w:val="0"/>
                    <w:adjustRightInd w:val="0"/>
                    <w:spacing w:line="240" w:lineRule="atLeast"/>
                    <w:jc w:val="center"/>
                    <w:textAlignment w:val="baseline"/>
                    <w:rPr>
                      <w:sz w:val="21"/>
                    </w:rPr>
                  </w:pPr>
                  <w:r>
                    <w:rPr>
                      <w:rFonts w:hint="eastAsia"/>
                      <w:sz w:val="21"/>
                    </w:rPr>
                    <w:t>昼间</w:t>
                  </w:r>
                </w:p>
              </w:tc>
              <w:tc>
                <w:tcPr>
                  <w:tcW w:w="4817" w:type="dxa"/>
                  <w:vAlign w:val="center"/>
                </w:tcPr>
                <w:p>
                  <w:pPr>
                    <w:overflowPunct w:val="0"/>
                    <w:autoSpaceDE w:val="0"/>
                    <w:autoSpaceDN w:val="0"/>
                    <w:adjustRightInd w:val="0"/>
                    <w:spacing w:line="240" w:lineRule="atLeast"/>
                    <w:jc w:val="center"/>
                    <w:textAlignment w:val="baseline"/>
                    <w:rPr>
                      <w:sz w:val="21"/>
                    </w:rPr>
                  </w:pPr>
                  <w:r>
                    <w:rPr>
                      <w:rFonts w:hint="eastAsia"/>
                      <w:sz w:val="21"/>
                    </w:rPr>
                    <w:t>夜间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exact"/>
                <w:jc w:val="center"/>
              </w:trPr>
              <w:tc>
                <w:tcPr>
                  <w:tcW w:w="3711" w:type="dxa"/>
                  <w:vAlign w:val="center"/>
                </w:tcPr>
                <w:p>
                  <w:pPr>
                    <w:overflowPunct w:val="0"/>
                    <w:autoSpaceDE w:val="0"/>
                    <w:autoSpaceDN w:val="0"/>
                    <w:adjustRightInd w:val="0"/>
                    <w:spacing w:line="240" w:lineRule="atLeast"/>
                    <w:jc w:val="center"/>
                    <w:textAlignment w:val="baseline"/>
                    <w:rPr>
                      <w:sz w:val="21"/>
                    </w:rPr>
                  </w:pPr>
                  <w:r>
                    <w:rPr>
                      <w:sz w:val="21"/>
                    </w:rPr>
                    <w:t>70</w:t>
                  </w:r>
                </w:p>
              </w:tc>
              <w:tc>
                <w:tcPr>
                  <w:tcW w:w="4817" w:type="dxa"/>
                  <w:vAlign w:val="center"/>
                </w:tcPr>
                <w:p>
                  <w:pPr>
                    <w:overflowPunct w:val="0"/>
                    <w:autoSpaceDE w:val="0"/>
                    <w:autoSpaceDN w:val="0"/>
                    <w:adjustRightInd w:val="0"/>
                    <w:spacing w:line="240" w:lineRule="atLeast"/>
                    <w:jc w:val="center"/>
                    <w:textAlignment w:val="baseline"/>
                    <w:rPr>
                      <w:sz w:val="21"/>
                    </w:rPr>
                  </w:pPr>
                  <w:r>
                    <w:rPr>
                      <w:sz w:val="21"/>
                    </w:rPr>
                    <w:t>55</w:t>
                  </w:r>
                </w:p>
              </w:tc>
            </w:tr>
          </w:tbl>
          <w:p>
            <w:pPr>
              <w:tabs>
                <w:tab w:val="left" w:pos="1021"/>
              </w:tabs>
              <w:spacing w:line="300" w:lineRule="exact"/>
              <w:jc w:val="center"/>
              <w:rPr>
                <w:b/>
                <w:bCs/>
                <w:sz w:val="21"/>
                <w:szCs w:val="21"/>
              </w:rPr>
            </w:pPr>
            <w:r>
              <w:rPr>
                <w:rFonts w:hint="eastAsia"/>
                <w:b/>
                <w:bCs/>
              </w:rPr>
              <w:t xml:space="preserve"> </w:t>
            </w:r>
            <w:r>
              <w:rPr>
                <w:rFonts w:hint="eastAsia"/>
                <w:b/>
                <w:bCs/>
                <w:sz w:val="21"/>
                <w:szCs w:val="21"/>
              </w:rPr>
              <w:t>表</w:t>
            </w:r>
            <w:r>
              <w:rPr>
                <w:b/>
                <w:bCs/>
                <w:sz w:val="21"/>
                <w:szCs w:val="21"/>
              </w:rPr>
              <w:t>4</w:t>
            </w:r>
            <w:r>
              <w:rPr>
                <w:rFonts w:hint="eastAsia"/>
                <w:b/>
                <w:bCs/>
                <w:sz w:val="21"/>
                <w:szCs w:val="21"/>
              </w:rPr>
              <w:t>-</w:t>
            </w:r>
            <w:r>
              <w:rPr>
                <w:rFonts w:hint="eastAsia"/>
                <w:b/>
                <w:bCs/>
                <w:sz w:val="21"/>
                <w:szCs w:val="21"/>
                <w:lang w:val="en-US" w:eastAsia="zh-CN"/>
              </w:rPr>
              <w:t>8</w:t>
            </w:r>
            <w:r>
              <w:rPr>
                <w:rFonts w:hint="eastAsia"/>
                <w:b/>
                <w:bCs/>
                <w:sz w:val="21"/>
                <w:szCs w:val="21"/>
              </w:rPr>
              <w:t xml:space="preserve"> 工业企业厂界环境噪声排放标准</w:t>
            </w:r>
            <w:r>
              <w:rPr>
                <w:b/>
                <w:bCs/>
                <w:sz w:val="21"/>
                <w:szCs w:val="21"/>
              </w:rPr>
              <w:t xml:space="preserve">  </w:t>
            </w:r>
            <w:r>
              <w:rPr>
                <w:rFonts w:hint="eastAsia"/>
                <w:b/>
                <w:bCs/>
                <w:sz w:val="21"/>
                <w:szCs w:val="21"/>
              </w:rPr>
              <w:t>单位：</w:t>
            </w:r>
            <w:r>
              <w:rPr>
                <w:b/>
                <w:bCs/>
                <w:sz w:val="21"/>
                <w:szCs w:val="21"/>
              </w:rPr>
              <w:t>dB</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3444"/>
              <w:gridCol w:w="445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exact"/>
                <w:jc w:val="center"/>
              </w:trPr>
              <w:tc>
                <w:tcPr>
                  <w:tcW w:w="3711" w:type="dxa"/>
                  <w:vAlign w:val="center"/>
                </w:tcPr>
                <w:p>
                  <w:pPr>
                    <w:overflowPunct w:val="0"/>
                    <w:autoSpaceDE w:val="0"/>
                    <w:autoSpaceDN w:val="0"/>
                    <w:adjustRightInd w:val="0"/>
                    <w:spacing w:line="240" w:lineRule="atLeast"/>
                    <w:jc w:val="center"/>
                    <w:textAlignment w:val="baseline"/>
                    <w:rPr>
                      <w:sz w:val="21"/>
                    </w:rPr>
                  </w:pPr>
                  <w:r>
                    <w:rPr>
                      <w:rFonts w:hint="eastAsia"/>
                      <w:sz w:val="21"/>
                    </w:rPr>
                    <w:t>昼间</w:t>
                  </w:r>
                </w:p>
              </w:tc>
              <w:tc>
                <w:tcPr>
                  <w:tcW w:w="4817" w:type="dxa"/>
                  <w:vAlign w:val="center"/>
                </w:tcPr>
                <w:p>
                  <w:pPr>
                    <w:overflowPunct w:val="0"/>
                    <w:autoSpaceDE w:val="0"/>
                    <w:autoSpaceDN w:val="0"/>
                    <w:adjustRightInd w:val="0"/>
                    <w:spacing w:line="240" w:lineRule="atLeast"/>
                    <w:jc w:val="center"/>
                    <w:textAlignment w:val="baseline"/>
                    <w:rPr>
                      <w:sz w:val="21"/>
                    </w:rPr>
                  </w:pPr>
                  <w:r>
                    <w:rPr>
                      <w:rFonts w:hint="eastAsia"/>
                      <w:sz w:val="21"/>
                    </w:rPr>
                    <w:t>夜间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exact"/>
                <w:jc w:val="center"/>
              </w:trPr>
              <w:tc>
                <w:tcPr>
                  <w:tcW w:w="3711" w:type="dxa"/>
                  <w:vAlign w:val="center"/>
                </w:tcPr>
                <w:p>
                  <w:pPr>
                    <w:overflowPunct w:val="0"/>
                    <w:autoSpaceDE w:val="0"/>
                    <w:autoSpaceDN w:val="0"/>
                    <w:adjustRightInd w:val="0"/>
                    <w:spacing w:line="240" w:lineRule="atLeast"/>
                    <w:jc w:val="center"/>
                    <w:textAlignment w:val="baseline"/>
                    <w:rPr>
                      <w:sz w:val="21"/>
                    </w:rPr>
                  </w:pPr>
                  <w:r>
                    <w:rPr>
                      <w:rFonts w:hint="eastAsia"/>
                      <w:sz w:val="21"/>
                    </w:rPr>
                    <w:t>60</w:t>
                  </w:r>
                </w:p>
              </w:tc>
              <w:tc>
                <w:tcPr>
                  <w:tcW w:w="4817" w:type="dxa"/>
                  <w:vAlign w:val="center"/>
                </w:tcPr>
                <w:p>
                  <w:pPr>
                    <w:overflowPunct w:val="0"/>
                    <w:autoSpaceDE w:val="0"/>
                    <w:autoSpaceDN w:val="0"/>
                    <w:adjustRightInd w:val="0"/>
                    <w:spacing w:line="240" w:lineRule="atLeast"/>
                    <w:jc w:val="center"/>
                    <w:textAlignment w:val="baseline"/>
                    <w:rPr>
                      <w:sz w:val="21"/>
                    </w:rPr>
                  </w:pPr>
                  <w:r>
                    <w:rPr>
                      <w:rFonts w:hint="eastAsia"/>
                      <w:sz w:val="21"/>
                    </w:rPr>
                    <w:t>50</w:t>
                  </w:r>
                </w:p>
              </w:tc>
            </w:tr>
          </w:tbl>
          <w:p>
            <w:pPr>
              <w:spacing w:line="360" w:lineRule="auto"/>
              <w:ind w:firstLine="480" w:firstLineChars="200"/>
            </w:pPr>
          </w:p>
          <w:p>
            <w:pPr>
              <w:numPr>
                <w:ilvl w:val="0"/>
                <w:numId w:val="4"/>
              </w:numPr>
              <w:spacing w:line="360" w:lineRule="auto"/>
              <w:ind w:firstLine="480" w:firstLineChars="200"/>
              <w:rPr>
                <w:highlight w:val="none"/>
              </w:rPr>
            </w:pPr>
            <w:r>
              <w:rPr>
                <w:rFonts w:hint="eastAsia"/>
              </w:rPr>
              <w:t>固体废物：弃土、弃渣参照</w:t>
            </w:r>
            <w:r>
              <w:t>执行《一般工业固体废物贮存、处置场污染控制标准》（GB18599-2001）</w:t>
            </w:r>
            <w:r>
              <w:rPr>
                <w:rFonts w:hint="eastAsia"/>
              </w:rPr>
              <w:t>及2013年修改单中要求</w:t>
            </w:r>
            <w:r>
              <w:t>；生活垃圾执行《生活垃圾填埋场污染控制标准》（GB16889-2008）。</w:t>
            </w:r>
            <w:r>
              <w:rPr>
                <w:rFonts w:hint="eastAsia"/>
                <w:highlight w:val="none"/>
              </w:rPr>
              <w:t>危险废物贮存按照《危险废物贮存污染控制标准》（GB18597-2001）及修改单要求。</w:t>
            </w:r>
          </w:p>
          <w:p>
            <w:pPr>
              <w:pStyle w:val="6"/>
            </w:pPr>
          </w:p>
          <w:p/>
          <w:p>
            <w:pPr>
              <w:pStyle w:val="6"/>
            </w:pPr>
          </w:p>
          <w:p/>
          <w:p>
            <w:pPr>
              <w:pStyle w:val="6"/>
            </w:pPr>
          </w:p>
          <w:p/>
          <w:p>
            <w:pPr>
              <w:pStyle w:val="6"/>
            </w:pPr>
          </w:p>
          <w:p/>
          <w:p>
            <w:pPr>
              <w:pStyle w:val="6"/>
            </w:pPr>
          </w:p>
          <w:p/>
          <w:p>
            <w:pPr>
              <w:pStyle w:val="6"/>
            </w:pPr>
          </w:p>
          <w:p/>
          <w:p>
            <w:pPr>
              <w:pStyle w:val="3"/>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154" w:hRule="atLeast"/>
        </w:trPr>
        <w:tc>
          <w:tcPr>
            <w:tcW w:w="498" w:type="dxa"/>
            <w:vAlign w:val="center"/>
          </w:tcPr>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总</w:t>
            </w:r>
          </w:p>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量</w:t>
            </w:r>
          </w:p>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控</w:t>
            </w:r>
          </w:p>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制</w:t>
            </w:r>
          </w:p>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指</w:t>
            </w:r>
          </w:p>
          <w:p>
            <w:pPr>
              <w:pStyle w:val="31"/>
              <w:ind w:firstLine="0" w:firstLineChars="0"/>
              <w:jc w:val="center"/>
              <w:rPr>
                <w:b/>
                <w:color w:val="000000" w:themeColor="text1"/>
                <w:sz w:val="28"/>
                <w14:textFill>
                  <w14:solidFill>
                    <w14:schemeClr w14:val="tx1"/>
                  </w14:solidFill>
                </w14:textFill>
              </w:rPr>
            </w:pPr>
            <w:r>
              <w:rPr>
                <w:b/>
                <w:color w:val="000000" w:themeColor="text1"/>
                <w:sz w:val="28"/>
                <w14:textFill>
                  <w14:solidFill>
                    <w14:schemeClr w14:val="tx1"/>
                  </w14:solidFill>
                </w14:textFill>
              </w:rPr>
              <w:t>标</w:t>
            </w:r>
          </w:p>
        </w:tc>
        <w:tc>
          <w:tcPr>
            <w:tcW w:w="8149" w:type="dxa"/>
            <w:vAlign w:val="center"/>
          </w:tcPr>
          <w:p>
            <w:pPr>
              <w:pStyle w:val="115"/>
              <w:ind w:firstLine="0" w:firstLineChars="0"/>
            </w:pPr>
            <w:r>
              <w:rPr>
                <w:rFonts w:ascii="宋体" w:hAnsi="宋体"/>
                <w:szCs w:val="24"/>
              </w:rPr>
              <w:t>本项目无总量控制指标。</w:t>
            </w:r>
          </w:p>
          <w:p>
            <w:pPr>
              <w:pStyle w:val="115"/>
              <w:ind w:firstLine="0" w:firstLineChars="0"/>
            </w:pPr>
          </w:p>
        </w:tc>
      </w:tr>
    </w:tbl>
    <w:p>
      <w:pPr>
        <w:spacing w:line="360" w:lineRule="auto"/>
        <w:rPr>
          <w:b/>
          <w:color w:val="000000" w:themeColor="text1"/>
          <w:sz w:val="28"/>
          <w14:textFill>
            <w14:solidFill>
              <w14:schemeClr w14:val="tx1"/>
            </w14:solidFill>
          </w14:textFill>
        </w:rPr>
        <w:sectPr>
          <w:pgSz w:w="11906" w:h="16838"/>
          <w:pgMar w:top="1440" w:right="1800" w:bottom="1440" w:left="1800" w:header="851" w:footer="992" w:gutter="0"/>
          <w:cols w:space="425" w:num="1"/>
          <w:docGrid w:type="lines" w:linePitch="326" w:charSpace="0"/>
        </w:sectPr>
      </w:pPr>
    </w:p>
    <w:p>
      <w:pPr>
        <w:spacing w:line="360" w:lineRule="auto"/>
        <w:outlineLvl w:val="0"/>
        <w:rPr>
          <w:b/>
          <w:color w:val="000000" w:themeColor="text1"/>
          <w:sz w:val="30"/>
          <w14:textFill>
            <w14:solidFill>
              <w14:schemeClr w14:val="tx1"/>
            </w14:solidFill>
          </w14:textFill>
        </w:rPr>
      </w:pPr>
      <w:bookmarkStart w:id="20" w:name="_Toc523322728"/>
      <w:r>
        <w:rPr>
          <w:b/>
          <w:color w:val="000000" w:themeColor="text1"/>
          <w:sz w:val="28"/>
          <w14:textFill>
            <w14:solidFill>
              <w14:schemeClr w14:val="tx1"/>
            </w14:solidFill>
          </w14:textFill>
        </w:rPr>
        <w:t>五、</w:t>
      </w:r>
      <w:r>
        <w:rPr>
          <w:b/>
          <w:color w:val="000000" w:themeColor="text1"/>
          <w:sz w:val="30"/>
          <w14:textFill>
            <w14:solidFill>
              <w14:schemeClr w14:val="tx1"/>
            </w14:solidFill>
          </w14:textFill>
        </w:rPr>
        <w:t>建设项目工程分析</w:t>
      </w:r>
      <w:bookmarkEnd w:id="20"/>
    </w:p>
    <w:tbl>
      <w:tblPr>
        <w:tblStyle w:val="44"/>
        <w:tblW w:w="9072" w:type="dxa"/>
        <w:tblInd w:w="108"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178"/>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0610" w:hRule="atLeast"/>
        </w:trPr>
        <w:tc>
          <w:tcPr>
            <w:tcW w:w="9072" w:type="dxa"/>
          </w:tcPr>
          <w:p>
            <w:pPr>
              <w:spacing w:line="360" w:lineRule="auto"/>
              <w:ind w:firstLine="482" w:firstLineChars="200"/>
              <w:rPr>
                <w:rFonts w:hAnsi="宋体"/>
                <w:b/>
              </w:rPr>
            </w:pPr>
            <w:r>
              <w:rPr>
                <w:rFonts w:hint="eastAsia" w:hAnsi="宋体"/>
                <w:b/>
              </w:rPr>
              <w:t>一、施工期</w:t>
            </w:r>
          </w:p>
          <w:p>
            <w:pPr>
              <w:spacing w:line="360" w:lineRule="auto"/>
              <w:ind w:firstLine="480" w:firstLineChars="200"/>
              <w:rPr>
                <w:rFonts w:hAnsi="宋体"/>
              </w:rPr>
            </w:pPr>
            <w:r>
              <w:rPr>
                <w:rFonts w:hint="eastAsia" w:hAnsi="宋体"/>
              </w:rPr>
              <w:t>根据该工程项目特点，建设项目环境影响因素的产生可分为两个阶段，即工程建 设施工期和生产营运期。工程建设中的主要工程活动是</w:t>
            </w:r>
            <w:r>
              <w:rPr>
                <w:rFonts w:hint="eastAsia" w:hAnsi="宋体"/>
                <w:lang w:eastAsia="zh-CN"/>
              </w:rPr>
              <w:t>输水工程施工</w:t>
            </w:r>
            <w:r>
              <w:rPr>
                <w:rFonts w:hint="eastAsia" w:hAnsi="宋体"/>
              </w:rPr>
              <w:t>，施工期只需要</w:t>
            </w:r>
            <w:r>
              <w:rPr>
                <w:rFonts w:hint="eastAsia" w:hAnsi="宋体"/>
                <w:lang w:eastAsia="zh-CN"/>
              </w:rPr>
              <w:t>输水工程施工</w:t>
            </w:r>
            <w:r>
              <w:rPr>
                <w:rFonts w:hint="eastAsia" w:hAnsi="宋体"/>
              </w:rPr>
              <w:t>进行评价。生产营运期的主要工况为原水输送。</w:t>
            </w:r>
          </w:p>
          <w:p>
            <w:pPr>
              <w:spacing w:line="360" w:lineRule="auto"/>
              <w:ind w:firstLine="480" w:firstLineChars="200"/>
              <w:rPr>
                <w:rFonts w:hint="eastAsia" w:hAnsi="宋体"/>
                <w:highlight w:val="none"/>
              </w:rPr>
            </w:pPr>
            <w:r>
              <w:rPr>
                <w:rFonts w:hint="eastAsia" w:hAnsi="宋体"/>
                <w:highlight w:val="none"/>
                <w:lang w:eastAsia="zh-CN"/>
              </w:rPr>
              <w:t>（</w:t>
            </w:r>
            <w:r>
              <w:rPr>
                <w:rFonts w:hint="eastAsia" w:hAnsi="宋体"/>
                <w:highlight w:val="none"/>
                <w:lang w:val="en-US" w:eastAsia="zh-CN"/>
              </w:rPr>
              <w:t>1</w:t>
            </w:r>
            <w:r>
              <w:rPr>
                <w:rFonts w:hint="eastAsia" w:hAnsi="宋体"/>
                <w:highlight w:val="none"/>
                <w:lang w:eastAsia="zh-CN"/>
              </w:rPr>
              <w:t>）顶管施工</w:t>
            </w:r>
          </w:p>
          <w:p>
            <w:pPr>
              <w:pStyle w:val="6"/>
              <w:rPr>
                <w:rFonts w:hint="eastAsia" w:hAnsi="宋体"/>
              </w:rPr>
            </w:pPr>
            <w:r>
              <w:drawing>
                <wp:anchor distT="0" distB="0" distL="114300" distR="114300" simplePos="0" relativeHeight="251673600" behindDoc="0" locked="0" layoutInCell="1" allowOverlap="1">
                  <wp:simplePos x="0" y="0"/>
                  <wp:positionH relativeFrom="column">
                    <wp:posOffset>861695</wp:posOffset>
                  </wp:positionH>
                  <wp:positionV relativeFrom="paragraph">
                    <wp:posOffset>135890</wp:posOffset>
                  </wp:positionV>
                  <wp:extent cx="3652520" cy="4791710"/>
                  <wp:effectExtent l="0" t="0" r="5080" b="8890"/>
                  <wp:wrapNone/>
                  <wp:docPr id="4" name="图片 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55"/>
                          <pic:cNvPicPr>
                            <a:picLocks noChangeAspect="1"/>
                          </pic:cNvPicPr>
                        </pic:nvPicPr>
                        <pic:blipFill>
                          <a:blip r:embed="rId32"/>
                          <a:stretch>
                            <a:fillRect/>
                          </a:stretch>
                        </pic:blipFill>
                        <pic:spPr>
                          <a:xfrm>
                            <a:off x="0" y="0"/>
                            <a:ext cx="3652520" cy="4791710"/>
                          </a:xfrm>
                          <a:prstGeom prst="rect">
                            <a:avLst/>
                          </a:prstGeom>
                          <a:noFill/>
                          <a:ln>
                            <a:noFill/>
                          </a:ln>
                        </pic:spPr>
                      </pic:pic>
                    </a:graphicData>
                  </a:graphic>
                </wp:anchor>
              </w:drawing>
            </w:r>
          </w:p>
          <w:p>
            <w:pPr>
              <w:rPr>
                <w:rFonts w:hint="eastAsia" w:hAnsi="宋体"/>
              </w:rPr>
            </w:pPr>
          </w:p>
          <w:p>
            <w:pPr>
              <w:pStyle w:val="6"/>
              <w:rPr>
                <w:rFonts w:hint="eastAsia" w:hAnsi="宋体"/>
              </w:rPr>
            </w:pPr>
            <w:r>
              <w:rPr>
                <w:sz w:val="32"/>
              </w:rPr>
              <mc:AlternateContent>
                <mc:Choice Requires="wps">
                  <w:drawing>
                    <wp:anchor distT="0" distB="0" distL="114300" distR="114300" simplePos="0" relativeHeight="251805696" behindDoc="0" locked="0" layoutInCell="1" allowOverlap="1">
                      <wp:simplePos x="0" y="0"/>
                      <wp:positionH relativeFrom="column">
                        <wp:posOffset>5124450</wp:posOffset>
                      </wp:positionH>
                      <wp:positionV relativeFrom="paragraph">
                        <wp:posOffset>81280</wp:posOffset>
                      </wp:positionV>
                      <wp:extent cx="474980" cy="361950"/>
                      <wp:effectExtent l="0" t="0" r="1270" b="0"/>
                      <wp:wrapNone/>
                      <wp:docPr id="18" name="文本框 18"/>
                      <wp:cNvGraphicFramePr/>
                      <a:graphic xmlns:a="http://schemas.openxmlformats.org/drawingml/2006/main">
                        <a:graphicData uri="http://schemas.microsoft.com/office/word/2010/wordprocessingShape">
                          <wps:wsp>
                            <wps:cNvSpPr txBox="1"/>
                            <wps:spPr>
                              <a:xfrm>
                                <a:off x="6093460" y="1879600"/>
                                <a:ext cx="474980" cy="36195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宋体"/>
                                      <w:sz w:val="18"/>
                                      <w:szCs w:val="18"/>
                                      <w:lang w:eastAsia="zh-CN"/>
                                    </w:rPr>
                                  </w:pPr>
                                  <w:r>
                                    <w:rPr>
                                      <w:rFonts w:hint="eastAsia"/>
                                      <w:sz w:val="18"/>
                                      <w:szCs w:val="18"/>
                                      <w:lang w:eastAsia="zh-CN"/>
                                    </w:rPr>
                                    <w:t>噪声</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03.5pt;margin-top:6.4pt;height:28.5pt;width:37.4pt;z-index:251805696;mso-width-relative:page;mso-height-relative:page;" fillcolor="#FFFFFF [3201]" filled="t" stroked="f" coordsize="21600,21600" o:gfxdata="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U+/1SdQAAAAJAQAADwAAAAAAAAABACAAAAAiAAAAZHJzL2Rv&#10;d25yZXYueG1sUEsBAhQAFAAAAAgAh07iQDzniTA+AgAATgQAAA4AAAAAAAAAAQAgAAAAIwEAAGRy&#10;cy9lMm9Eb2MueG1sUEsFBgAAAAAGAAYAWQEAANMFAAAAAA==&#10;">
                      <v:fill on="t" focussize="0,0"/>
                      <v:stroke on="f" weight="0.5pt"/>
                      <v:imagedata o:title=""/>
                      <o:lock v:ext="edit" aspectratio="f"/>
                      <v:textbox>
                        <w:txbxContent>
                          <w:p>
                            <w:pPr>
                              <w:rPr>
                                <w:rFonts w:hint="eastAsia" w:eastAsia="宋体"/>
                                <w:sz w:val="18"/>
                                <w:szCs w:val="18"/>
                                <w:lang w:eastAsia="zh-CN"/>
                              </w:rPr>
                            </w:pPr>
                            <w:r>
                              <w:rPr>
                                <w:rFonts w:hint="eastAsia"/>
                                <w:sz w:val="18"/>
                                <w:szCs w:val="18"/>
                                <w:lang w:eastAsia="zh-CN"/>
                              </w:rPr>
                              <w:t>噪声</w:t>
                            </w:r>
                          </w:p>
                        </w:txbxContent>
                      </v:textbox>
                    </v:shape>
                  </w:pict>
                </mc:Fallback>
              </mc:AlternateContent>
            </w:r>
            <w:r>
              <mc:AlternateContent>
                <mc:Choice Requires="wps">
                  <w:drawing>
                    <wp:anchor distT="0" distB="0" distL="114300" distR="114300" simplePos="0" relativeHeight="251694080" behindDoc="0" locked="0" layoutInCell="1" allowOverlap="1">
                      <wp:simplePos x="0" y="0"/>
                      <wp:positionH relativeFrom="column">
                        <wp:posOffset>4786630</wp:posOffset>
                      </wp:positionH>
                      <wp:positionV relativeFrom="paragraph">
                        <wp:posOffset>278765</wp:posOffset>
                      </wp:positionV>
                      <wp:extent cx="252730" cy="8890"/>
                      <wp:effectExtent l="0" t="47625" r="13970" b="57785"/>
                      <wp:wrapNone/>
                      <wp:docPr id="14" name="直接连接符 14"/>
                      <wp:cNvGraphicFramePr/>
                      <a:graphic xmlns:a="http://schemas.openxmlformats.org/drawingml/2006/main">
                        <a:graphicData uri="http://schemas.microsoft.com/office/word/2010/wordprocessingShape">
                          <wps:wsp>
                            <wps:cNvCnPr/>
                            <wps:spPr>
                              <a:xfrm flipV="1">
                                <a:off x="0" y="0"/>
                                <a:ext cx="252730" cy="8890"/>
                              </a:xfrm>
                              <a:prstGeom prst="line">
                                <a:avLst/>
                              </a:prstGeom>
                              <a:ln w="12700" cap="flat" cmpd="sng">
                                <a:solidFill>
                                  <a:srgbClr val="000001"/>
                                </a:solidFill>
                                <a:prstDash val="dash"/>
                                <a:headEnd type="none" w="med" len="med"/>
                                <a:tailEnd type="arrow" w="med" len="med"/>
                              </a:ln>
                            </wps:spPr>
                            <wps:bodyPr upright="1"/>
                          </wps:wsp>
                        </a:graphicData>
                      </a:graphic>
                    </wp:anchor>
                  </w:drawing>
                </mc:Choice>
                <mc:Fallback>
                  <w:pict>
                    <v:line id="_x0000_s1026" o:spid="_x0000_s1026" o:spt="20" style="position:absolute;left:0pt;flip:y;margin-left:376.9pt;margin-top:21.95pt;height:0.7pt;width:19.9pt;z-index:251694080;mso-width-relative:page;mso-height-relative:page;" filled="f" stroked="t" coordsize="21600,21600" o:gfxdata="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Y&#10;94w32AAAAAkBAAAPAAAAAAAAAAEAIAAAACIAAABkcnMvZG93bnJldi54bWxQSwECFAAUAAAACACH&#10;TuJAen/8HesBAAClAwAADgAAAAAAAAABACAAAAAnAQAAZHJzL2Uyb0RvYy54bWxQSwUGAAAAAAYA&#10;BgBZAQAAhAUAAAAA&#10;">
                      <v:fill on="f" focussize="0,0"/>
                      <v:stroke weight="1pt" color="#000001" joinstyle="round" dashstyle="dash" endarrow="open"/>
                      <v:imagedata o:title=""/>
                      <o:lock v:ext="edit" aspectratio="f"/>
                    </v:line>
                  </w:pict>
                </mc:Fallback>
              </mc:AlternateContent>
            </w:r>
            <w:r>
              <mc:AlternateContent>
                <mc:Choice Requires="wps">
                  <w:drawing>
                    <wp:anchor distT="0" distB="0" distL="114300" distR="114300" simplePos="0" relativeHeight="251689984" behindDoc="0" locked="0" layoutInCell="1" allowOverlap="1">
                      <wp:simplePos x="0" y="0"/>
                      <wp:positionH relativeFrom="column">
                        <wp:posOffset>4784090</wp:posOffset>
                      </wp:positionH>
                      <wp:positionV relativeFrom="paragraph">
                        <wp:posOffset>29210</wp:posOffset>
                      </wp:positionV>
                      <wp:extent cx="635" cy="3856355"/>
                      <wp:effectExtent l="6350" t="0" r="12065" b="10795"/>
                      <wp:wrapNone/>
                      <wp:docPr id="13" name="直接连接符 13"/>
                      <wp:cNvGraphicFramePr/>
                      <a:graphic xmlns:a="http://schemas.openxmlformats.org/drawingml/2006/main">
                        <a:graphicData uri="http://schemas.microsoft.com/office/word/2010/wordprocessingShape">
                          <wps:wsp>
                            <wps:cNvCnPr/>
                            <wps:spPr>
                              <a:xfrm>
                                <a:off x="0" y="0"/>
                                <a:ext cx="635" cy="3856355"/>
                              </a:xfrm>
                              <a:prstGeom prst="line">
                                <a:avLst/>
                              </a:prstGeom>
                              <a:ln w="12700" cap="flat" cmpd="sng">
                                <a:solidFill>
                                  <a:srgbClr val="000001"/>
                                </a:solidFill>
                                <a:prstDash val="solid"/>
                                <a:headEnd type="none" w="med" len="med"/>
                                <a:tailEnd type="none" w="med" len="med"/>
                              </a:ln>
                            </wps:spPr>
                            <wps:bodyPr upright="1"/>
                          </wps:wsp>
                        </a:graphicData>
                      </a:graphic>
                    </wp:anchor>
                  </w:drawing>
                </mc:Choice>
                <mc:Fallback>
                  <w:pict>
                    <v:line id="_x0000_s1026" o:spid="_x0000_s1026" o:spt="20" style="position:absolute;left:0pt;margin-left:376.7pt;margin-top:2.3pt;height:303.65pt;width:0.05pt;z-index:251689984;mso-width-relative:page;mso-height-relative:page;" filled="f" stroked="t" coordsize="21600,21600" o:gfxdata="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ViFujtgAAAAJAQAADwAA&#10;AAAAAAABACAAAAAiAAAAZHJzL2Rvd25yZXYueG1sUEsBAhQAFAAAAAgAh07iQKa66g7dAQAAmwMA&#10;AA4AAAAAAAAAAQAgAAAAJwEAAGRycy9lMm9Eb2MueG1sUEsFBgAAAAAGAAYAWQEAAHYFAAAAAA==&#10;">
                      <v:fill on="f" focussize="0,0"/>
                      <v:stroke weight="1pt" color="#000001" joinstyle="round"/>
                      <v:imagedata o:title=""/>
                      <o:lock v:ext="edit" aspectratio="f"/>
                    </v:line>
                  </w:pict>
                </mc:Fallback>
              </mc:AlternateContent>
            </w:r>
            <w:r>
              <mc:AlternateContent>
                <mc:Choice Requires="wps">
                  <w:drawing>
                    <wp:anchor distT="0" distB="0" distL="114300" distR="114300" simplePos="0" relativeHeight="251677696" behindDoc="0" locked="0" layoutInCell="1" allowOverlap="1">
                      <wp:simplePos x="0" y="0"/>
                      <wp:positionH relativeFrom="column">
                        <wp:posOffset>3423285</wp:posOffset>
                      </wp:positionH>
                      <wp:positionV relativeFrom="paragraph">
                        <wp:posOffset>41910</wp:posOffset>
                      </wp:positionV>
                      <wp:extent cx="1351280" cy="635"/>
                      <wp:effectExtent l="0" t="0" r="0" b="0"/>
                      <wp:wrapNone/>
                      <wp:docPr id="5" name="直接连接符 5"/>
                      <wp:cNvGraphicFramePr/>
                      <a:graphic xmlns:a="http://schemas.openxmlformats.org/drawingml/2006/main">
                        <a:graphicData uri="http://schemas.microsoft.com/office/word/2010/wordprocessingShape">
                          <wps:wsp>
                            <wps:cNvCnPr/>
                            <wps:spPr>
                              <a:xfrm flipV="1">
                                <a:off x="0" y="0"/>
                                <a:ext cx="1351280" cy="635"/>
                              </a:xfrm>
                              <a:prstGeom prst="line">
                                <a:avLst/>
                              </a:prstGeom>
                              <a:ln w="12700" cap="flat" cmpd="sng">
                                <a:solidFill>
                                  <a:srgbClr val="000001"/>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269.55pt;margin-top:3.3pt;height:0.05pt;width:106.4pt;z-index:251677696;mso-width-relative:page;mso-height-relative:page;" filled="f" stroked="t" coordsize="21600,21600" o:gfxdata="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zL2JzNUAAAAH&#10;AQAADwAAAAAAAAABACAAAAAiAAAAZHJzL2Rvd25yZXYueG1sUEsBAhQAFAAAAAgAh07iQAUxPEHm&#10;AQAAowMAAA4AAAAAAAAAAQAgAAAAJAEAAGRycy9lMm9Eb2MueG1sUEsFBgAAAAAGAAYAWQEAAHwF&#10;AAAAAA==&#10;">
                      <v:fill on="f" focussize="0,0"/>
                      <v:stroke weight="1pt" color="#000001" joinstyle="round"/>
                      <v:imagedata o:title=""/>
                      <o:lock v:ext="edit" aspectratio="f"/>
                    </v:line>
                  </w:pict>
                </mc:Fallback>
              </mc:AlternateContent>
            </w:r>
          </w:p>
          <w:p>
            <w:pPr>
              <w:rPr>
                <w:rFonts w:hint="eastAsia" w:hAnsi="宋体"/>
              </w:rPr>
            </w:pPr>
          </w:p>
          <w:p>
            <w:pPr>
              <w:pStyle w:val="6"/>
              <w:rPr>
                <w:rFonts w:hint="eastAsia" w:hAnsi="宋体"/>
              </w:rPr>
            </w:pPr>
            <w:r>
              <w:rPr>
                <w:sz w:val="32"/>
              </w:rPr>
              <mc:AlternateContent>
                <mc:Choice Requires="wps">
                  <w:drawing>
                    <wp:anchor distT="0" distB="0" distL="114300" distR="114300" simplePos="0" relativeHeight="251954176" behindDoc="0" locked="0" layoutInCell="1" allowOverlap="1">
                      <wp:simplePos x="0" y="0"/>
                      <wp:positionH relativeFrom="column">
                        <wp:posOffset>5086350</wp:posOffset>
                      </wp:positionH>
                      <wp:positionV relativeFrom="paragraph">
                        <wp:posOffset>73025</wp:posOffset>
                      </wp:positionV>
                      <wp:extent cx="474980" cy="361950"/>
                      <wp:effectExtent l="0" t="0" r="1270" b="0"/>
                      <wp:wrapNone/>
                      <wp:docPr id="19" name="文本框 19"/>
                      <wp:cNvGraphicFramePr/>
                      <a:graphic xmlns:a="http://schemas.openxmlformats.org/drawingml/2006/main">
                        <a:graphicData uri="http://schemas.microsoft.com/office/word/2010/wordprocessingShape">
                          <wps:wsp>
                            <wps:cNvSpPr txBox="1"/>
                            <wps:spPr>
                              <a:xfrm>
                                <a:off x="0" y="0"/>
                                <a:ext cx="474980" cy="36195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宋体"/>
                                      <w:sz w:val="18"/>
                                      <w:szCs w:val="18"/>
                                      <w:lang w:eastAsia="zh-CN"/>
                                    </w:rPr>
                                  </w:pPr>
                                  <w:r>
                                    <w:rPr>
                                      <w:rFonts w:hint="eastAsia"/>
                                      <w:sz w:val="18"/>
                                      <w:szCs w:val="18"/>
                                      <w:lang w:eastAsia="zh-CN"/>
                                    </w:rPr>
                                    <w:t>弃土</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00.5pt;margin-top:5.75pt;height:28.5pt;width:37.4pt;z-index:251954176;mso-width-relative:page;mso-height-relative:page;" fillcolor="#FFFFFF [3201]" filled="t" stroked="f" coordsize="21600,21600" o:gfxdata="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Ang6O51AAAAAkBAAAPAAAAAAAAAAEAIAAAACIAAABkcnMvZG93bnJldi54bWxQ&#10;SwECFAAUAAAACACHTuJAjHvDTzQCAABCBAAADgAAAAAAAAABACAAAAAjAQAAZHJzL2Uyb0RvYy54&#10;bWxQSwUGAAAAAAYABgBZAQAAyQUAAAAA&#10;">
                      <v:fill on="t" focussize="0,0"/>
                      <v:stroke on="f" weight="0.5pt"/>
                      <v:imagedata o:title=""/>
                      <o:lock v:ext="edit" aspectratio="f"/>
                      <v:textbox>
                        <w:txbxContent>
                          <w:p>
                            <w:pPr>
                              <w:rPr>
                                <w:rFonts w:hint="eastAsia" w:eastAsia="宋体"/>
                                <w:sz w:val="18"/>
                                <w:szCs w:val="18"/>
                                <w:lang w:eastAsia="zh-CN"/>
                              </w:rPr>
                            </w:pPr>
                            <w:r>
                              <w:rPr>
                                <w:rFonts w:hint="eastAsia"/>
                                <w:sz w:val="18"/>
                                <w:szCs w:val="18"/>
                                <w:lang w:eastAsia="zh-CN"/>
                              </w:rPr>
                              <w:t>弃土</w:t>
                            </w:r>
                          </w:p>
                        </w:txbxContent>
                      </v:textbox>
                    </v:shape>
                  </w:pict>
                </mc:Fallback>
              </mc:AlternateContent>
            </w:r>
            <w:r>
              <mc:AlternateContent>
                <mc:Choice Requires="wps">
                  <w:drawing>
                    <wp:anchor distT="0" distB="0" distL="114300" distR="114300" simplePos="0" relativeHeight="251730944" behindDoc="0" locked="0" layoutInCell="1" allowOverlap="1">
                      <wp:simplePos x="0" y="0"/>
                      <wp:positionH relativeFrom="column">
                        <wp:posOffset>4805680</wp:posOffset>
                      </wp:positionH>
                      <wp:positionV relativeFrom="paragraph">
                        <wp:posOffset>222885</wp:posOffset>
                      </wp:positionV>
                      <wp:extent cx="252730" cy="8890"/>
                      <wp:effectExtent l="0" t="47625" r="13970" b="57785"/>
                      <wp:wrapNone/>
                      <wp:docPr id="15" name="直接连接符 15"/>
                      <wp:cNvGraphicFramePr/>
                      <a:graphic xmlns:a="http://schemas.openxmlformats.org/drawingml/2006/main">
                        <a:graphicData uri="http://schemas.microsoft.com/office/word/2010/wordprocessingShape">
                          <wps:wsp>
                            <wps:cNvCnPr/>
                            <wps:spPr>
                              <a:xfrm flipV="1">
                                <a:off x="0" y="0"/>
                                <a:ext cx="252730" cy="8890"/>
                              </a:xfrm>
                              <a:prstGeom prst="line">
                                <a:avLst/>
                              </a:prstGeom>
                              <a:ln w="12700" cap="flat" cmpd="sng">
                                <a:solidFill>
                                  <a:srgbClr val="000001"/>
                                </a:solidFill>
                                <a:prstDash val="dash"/>
                                <a:headEnd type="none" w="med" len="med"/>
                                <a:tailEnd type="arrow" w="med" len="med"/>
                              </a:ln>
                            </wps:spPr>
                            <wps:bodyPr upright="1"/>
                          </wps:wsp>
                        </a:graphicData>
                      </a:graphic>
                    </wp:anchor>
                  </w:drawing>
                </mc:Choice>
                <mc:Fallback>
                  <w:pict>
                    <v:line id="_x0000_s1026" o:spid="_x0000_s1026" o:spt="20" style="position:absolute;left:0pt;flip:y;margin-left:378.4pt;margin-top:17.55pt;height:0.7pt;width:19.9pt;z-index:251730944;mso-width-relative:page;mso-height-relative:page;" filled="f" stroked="t" coordsize="21600,21600" o:gfxdata="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A2P&#10;G/nXAAAACQEAAA8AAAAAAAAAAQAgAAAAIgAAAGRycy9kb3ducmV2LnhtbFBLAQIUABQAAAAIAIdO&#10;4kANlMF46wEAAKUDAAAOAAAAAAAAAAEAIAAAACYBAABkcnMvZTJvRG9jLnhtbFBLBQYAAAAABgAG&#10;AFkBAACDBQAAAAA=&#10;">
                      <v:fill on="f" focussize="0,0"/>
                      <v:stroke weight="1pt" color="#000001" joinstyle="round" dashstyle="dash" endarrow="open"/>
                      <v:imagedata o:title=""/>
                      <o:lock v:ext="edit" aspectratio="f"/>
                    </v:line>
                  </w:pict>
                </mc:Fallback>
              </mc:AlternateContent>
            </w:r>
          </w:p>
          <w:p>
            <w:pPr>
              <w:rPr>
                <w:rFonts w:hint="eastAsia" w:hAnsi="宋体"/>
              </w:rPr>
            </w:pPr>
          </w:p>
          <w:p>
            <w:pPr>
              <w:pStyle w:val="6"/>
              <w:rPr>
                <w:rFonts w:hint="eastAsia" w:hAnsi="宋体"/>
              </w:rPr>
            </w:pPr>
            <w:r>
              <w:rPr>
                <w:sz w:val="32"/>
              </w:rPr>
              <mc:AlternateContent>
                <mc:Choice Requires="wps">
                  <w:drawing>
                    <wp:anchor distT="0" distB="0" distL="114300" distR="114300" simplePos="0" relativeHeight="252102656" behindDoc="0" locked="0" layoutInCell="1" allowOverlap="1">
                      <wp:simplePos x="0" y="0"/>
                      <wp:positionH relativeFrom="column">
                        <wp:posOffset>5114925</wp:posOffset>
                      </wp:positionH>
                      <wp:positionV relativeFrom="paragraph">
                        <wp:posOffset>483870</wp:posOffset>
                      </wp:positionV>
                      <wp:extent cx="474980" cy="361950"/>
                      <wp:effectExtent l="0" t="0" r="1270" b="0"/>
                      <wp:wrapNone/>
                      <wp:docPr id="20" name="文本框 20"/>
                      <wp:cNvGraphicFramePr/>
                      <a:graphic xmlns:a="http://schemas.openxmlformats.org/drawingml/2006/main">
                        <a:graphicData uri="http://schemas.microsoft.com/office/word/2010/wordprocessingShape">
                          <wps:wsp>
                            <wps:cNvSpPr txBox="1"/>
                            <wps:spPr>
                              <a:xfrm>
                                <a:off x="0" y="0"/>
                                <a:ext cx="474980" cy="36195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宋体"/>
                                      <w:sz w:val="18"/>
                                      <w:szCs w:val="18"/>
                                      <w:lang w:eastAsia="zh-CN"/>
                                    </w:rPr>
                                  </w:pPr>
                                  <w:r>
                                    <w:rPr>
                                      <w:rFonts w:hint="eastAsia"/>
                                      <w:sz w:val="18"/>
                                      <w:szCs w:val="18"/>
                                      <w:lang w:eastAsia="zh-CN"/>
                                    </w:rPr>
                                    <w:t>泥浆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02.75pt;margin-top:38.1pt;height:28.5pt;width:37.4pt;z-index:252102656;mso-width-relative:page;mso-height-relative:page;" fillcolor="#FFFFFF [3201]" filled="t" stroked="f" coordsize="21600,21600" o:gfxdata="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G5pJfrVAAAACgEAAA8AAAAAAAAAAQAgAAAAIgAAAGRycy9kb3ducmV2Lnht&#10;bFBLAQIUABQAAAAIAIdO4kCU2r+NNQIAAEIEAAAOAAAAAAAAAAEAIAAAACQBAABkcnMvZTJvRG9j&#10;LnhtbFBLBQYAAAAABgAGAFkBAADLBQAAAAA=&#10;">
                      <v:fill on="t" focussize="0,0"/>
                      <v:stroke on="f" weight="0.5pt"/>
                      <v:imagedata o:title=""/>
                      <o:lock v:ext="edit" aspectratio="f"/>
                      <v:textbox>
                        <w:txbxContent>
                          <w:p>
                            <w:pPr>
                              <w:rPr>
                                <w:rFonts w:hint="eastAsia" w:eastAsia="宋体"/>
                                <w:sz w:val="18"/>
                                <w:szCs w:val="18"/>
                                <w:lang w:eastAsia="zh-CN"/>
                              </w:rPr>
                            </w:pPr>
                            <w:r>
                              <w:rPr>
                                <w:rFonts w:hint="eastAsia"/>
                                <w:sz w:val="18"/>
                                <w:szCs w:val="18"/>
                                <w:lang w:eastAsia="zh-CN"/>
                              </w:rPr>
                              <w:t>泥浆</w:t>
                            </w:r>
                          </w:p>
                        </w:txbxContent>
                      </v:textbox>
                    </v:shape>
                  </w:pict>
                </mc:Fallback>
              </mc:AlternateContent>
            </w:r>
            <w:r>
              <mc:AlternateContent>
                <mc:Choice Requires="wps">
                  <w:drawing>
                    <wp:anchor distT="0" distB="0" distL="114300" distR="114300" simplePos="0" relativeHeight="251767808" behindDoc="0" locked="0" layoutInCell="1" allowOverlap="1">
                      <wp:simplePos x="0" y="0"/>
                      <wp:positionH relativeFrom="column">
                        <wp:posOffset>4815205</wp:posOffset>
                      </wp:positionH>
                      <wp:positionV relativeFrom="paragraph">
                        <wp:posOffset>528955</wp:posOffset>
                      </wp:positionV>
                      <wp:extent cx="252730" cy="8890"/>
                      <wp:effectExtent l="0" t="47625" r="13970" b="57785"/>
                      <wp:wrapNone/>
                      <wp:docPr id="16" name="直接连接符 16"/>
                      <wp:cNvGraphicFramePr/>
                      <a:graphic xmlns:a="http://schemas.openxmlformats.org/drawingml/2006/main">
                        <a:graphicData uri="http://schemas.microsoft.com/office/word/2010/wordprocessingShape">
                          <wps:wsp>
                            <wps:cNvCnPr/>
                            <wps:spPr>
                              <a:xfrm flipV="1">
                                <a:off x="0" y="0"/>
                                <a:ext cx="252730" cy="8890"/>
                              </a:xfrm>
                              <a:prstGeom prst="line">
                                <a:avLst/>
                              </a:prstGeom>
                              <a:ln w="12700" cap="flat" cmpd="sng">
                                <a:solidFill>
                                  <a:srgbClr val="000001"/>
                                </a:solidFill>
                                <a:prstDash val="dash"/>
                                <a:headEnd type="none" w="med" len="med"/>
                                <a:tailEnd type="arrow" w="med" len="med"/>
                              </a:ln>
                            </wps:spPr>
                            <wps:bodyPr upright="1"/>
                          </wps:wsp>
                        </a:graphicData>
                      </a:graphic>
                    </wp:anchor>
                  </w:drawing>
                </mc:Choice>
                <mc:Fallback>
                  <w:pict>
                    <v:line id="_x0000_s1026" o:spid="_x0000_s1026" o:spt="20" style="position:absolute;left:0pt;flip:y;margin-left:379.15pt;margin-top:41.65pt;height:0.7pt;width:19.9pt;z-index:251767808;mso-width-relative:page;mso-height-relative:page;" filled="f" stroked="t" coordsize="21600,21600" o:gfxdata="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l&#10;3qjr2AAAAAkBAAAPAAAAAAAAAAEAIAAAACIAAABkcnMvZG93bnJldi54bWxQSwECFAAUAAAACACH&#10;TuJAlKmH1+sBAAClAwAADgAAAAAAAAABACAAAAAnAQAAZHJzL2Uyb0RvYy54bWxQSwUGAAAAAAYA&#10;BgBZAQAAhAUAAAAA&#10;">
                      <v:fill on="f" focussize="0,0"/>
                      <v:stroke weight="1pt" color="#000001" joinstyle="round" dashstyle="dash" endarrow="open"/>
                      <v:imagedata o:title=""/>
                      <o:lock v:ext="edit" aspectratio="f"/>
                    </v:line>
                  </w:pict>
                </mc:Fallback>
              </mc:AlternateContent>
            </w:r>
          </w:p>
          <w:p>
            <w:pPr>
              <w:rPr>
                <w:rFonts w:hint="eastAsia" w:hAnsi="宋体"/>
              </w:rPr>
            </w:pPr>
          </w:p>
          <w:p>
            <w:pPr>
              <w:pStyle w:val="6"/>
              <w:rPr>
                <w:rFonts w:hint="eastAsia" w:hAnsi="宋体"/>
              </w:rPr>
            </w:pPr>
            <w:r>
              <w:rPr>
                <w:sz w:val="32"/>
              </w:rPr>
              <mc:AlternateContent>
                <mc:Choice Requires="wps">
                  <w:drawing>
                    <wp:anchor distT="0" distB="0" distL="114300" distR="114300" simplePos="0" relativeHeight="252251136" behindDoc="0" locked="0" layoutInCell="1" allowOverlap="1">
                      <wp:simplePos x="0" y="0"/>
                      <wp:positionH relativeFrom="column">
                        <wp:posOffset>5019675</wp:posOffset>
                      </wp:positionH>
                      <wp:positionV relativeFrom="paragraph">
                        <wp:posOffset>485140</wp:posOffset>
                      </wp:positionV>
                      <wp:extent cx="560705" cy="514350"/>
                      <wp:effectExtent l="0" t="0" r="10795" b="0"/>
                      <wp:wrapNone/>
                      <wp:docPr id="21" name="文本框 21"/>
                      <wp:cNvGraphicFramePr/>
                      <a:graphic xmlns:a="http://schemas.openxmlformats.org/drawingml/2006/main">
                        <a:graphicData uri="http://schemas.microsoft.com/office/word/2010/wordprocessingShape">
                          <wps:wsp>
                            <wps:cNvSpPr txBox="1"/>
                            <wps:spPr>
                              <a:xfrm>
                                <a:off x="0" y="0"/>
                                <a:ext cx="560705" cy="51435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宋体"/>
                                      <w:sz w:val="18"/>
                                      <w:szCs w:val="18"/>
                                      <w:lang w:eastAsia="zh-CN"/>
                                    </w:rPr>
                                  </w:pPr>
                                  <w:r>
                                    <w:rPr>
                                      <w:rFonts w:hint="eastAsia"/>
                                      <w:sz w:val="18"/>
                                      <w:szCs w:val="18"/>
                                      <w:lang w:eastAsia="zh-CN"/>
                                    </w:rPr>
                                    <w:t>扬尘、废气</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95.25pt;margin-top:38.2pt;height:40.5pt;width:44.15pt;z-index:252251136;mso-width-relative:page;mso-height-relative:page;" fillcolor="#FFFFFF [3201]" filled="t" stroked="f" coordsize="21600,21600" o:gfxdata="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SJjQO1QAAAAoBAAAPAAAAAAAAAAEAIAAAACIAAABkcnMvZG93bnJldi54bWxQ&#10;SwECFAAUAAAACACHTuJAuO5dOTMCAABCBAAADgAAAAAAAAABACAAAAAkAQAAZHJzL2Uyb0RvYy54&#10;bWxQSwUGAAAAAAYABgBZAQAAyQUAAAAA&#10;">
                      <v:fill on="t" focussize="0,0"/>
                      <v:stroke on="f" weight="0.5pt"/>
                      <v:imagedata o:title=""/>
                      <o:lock v:ext="edit" aspectratio="f"/>
                      <v:textbox>
                        <w:txbxContent>
                          <w:p>
                            <w:pPr>
                              <w:rPr>
                                <w:rFonts w:hint="eastAsia" w:eastAsia="宋体"/>
                                <w:sz w:val="18"/>
                                <w:szCs w:val="18"/>
                                <w:lang w:eastAsia="zh-CN"/>
                              </w:rPr>
                            </w:pPr>
                            <w:r>
                              <w:rPr>
                                <w:rFonts w:hint="eastAsia"/>
                                <w:sz w:val="18"/>
                                <w:szCs w:val="18"/>
                                <w:lang w:eastAsia="zh-CN"/>
                              </w:rPr>
                              <w:t>扬尘、废气</w:t>
                            </w:r>
                          </w:p>
                        </w:txbxContent>
                      </v:textbox>
                    </v:shape>
                  </w:pict>
                </mc:Fallback>
              </mc:AlternateContent>
            </w:r>
            <w:r>
              <mc:AlternateContent>
                <mc:Choice Requires="wps">
                  <w:drawing>
                    <wp:anchor distT="0" distB="0" distL="114300" distR="114300" simplePos="0" relativeHeight="251804672" behindDoc="0" locked="0" layoutInCell="1" allowOverlap="1">
                      <wp:simplePos x="0" y="0"/>
                      <wp:positionH relativeFrom="column">
                        <wp:posOffset>4786630</wp:posOffset>
                      </wp:positionH>
                      <wp:positionV relativeFrom="paragraph">
                        <wp:posOffset>501650</wp:posOffset>
                      </wp:positionV>
                      <wp:extent cx="252730" cy="8890"/>
                      <wp:effectExtent l="0" t="47625" r="13970" b="57785"/>
                      <wp:wrapNone/>
                      <wp:docPr id="17" name="直接连接符 17"/>
                      <wp:cNvGraphicFramePr/>
                      <a:graphic xmlns:a="http://schemas.openxmlformats.org/drawingml/2006/main">
                        <a:graphicData uri="http://schemas.microsoft.com/office/word/2010/wordprocessingShape">
                          <wps:wsp>
                            <wps:cNvCnPr/>
                            <wps:spPr>
                              <a:xfrm flipV="1">
                                <a:off x="0" y="0"/>
                                <a:ext cx="252730" cy="8890"/>
                              </a:xfrm>
                              <a:prstGeom prst="line">
                                <a:avLst/>
                              </a:prstGeom>
                              <a:ln w="12700" cap="flat" cmpd="sng">
                                <a:solidFill>
                                  <a:srgbClr val="000001"/>
                                </a:solidFill>
                                <a:prstDash val="dash"/>
                                <a:headEnd type="none" w="med" len="med"/>
                                <a:tailEnd type="arrow" w="med" len="med"/>
                              </a:ln>
                            </wps:spPr>
                            <wps:bodyPr upright="1"/>
                          </wps:wsp>
                        </a:graphicData>
                      </a:graphic>
                    </wp:anchor>
                  </w:drawing>
                </mc:Choice>
                <mc:Fallback>
                  <w:pict>
                    <v:line id="_x0000_s1026" o:spid="_x0000_s1026" o:spt="20" style="position:absolute;left:0pt;flip:y;margin-left:376.9pt;margin-top:39.5pt;height:0.7pt;width:19.9pt;z-index:251804672;mso-width-relative:page;mso-height-relative:page;" filled="f" stroked="t" coordsize="21600,21600" o:gfxdata="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c&#10;QTzP2AAAAAkBAAAPAAAAAAAAAAEAIAAAACIAAABkcnMvZG93bnJldi54bWxQSwECFAAUAAAACACH&#10;TuJA40K6susBAAClAwAADgAAAAAAAAABACAAAAAnAQAAZHJzL2Uyb0RvYy54bWxQSwUGAAAAAAYA&#10;BgBZAQAAhAUAAAAA&#10;">
                      <v:fill on="f" focussize="0,0"/>
                      <v:stroke weight="1pt" color="#000001" joinstyle="round" dashstyle="dash" endarrow="open"/>
                      <v:imagedata o:title=""/>
                      <o:lock v:ext="edit" aspectratio="f"/>
                    </v:line>
                  </w:pict>
                </mc:Fallback>
              </mc:AlternateContent>
            </w:r>
          </w:p>
          <w:p>
            <w:pPr>
              <w:rPr>
                <w:rFonts w:hint="eastAsia" w:hAnsi="宋体"/>
              </w:rPr>
            </w:pPr>
          </w:p>
          <w:p>
            <w:pPr>
              <w:widowControl/>
              <w:jc w:val="center"/>
              <w:rPr>
                <w:b/>
                <w:bCs/>
                <w:kern w:val="0"/>
                <w:sz w:val="21"/>
                <w:szCs w:val="21"/>
                <w:u w:val="single"/>
                <w:lang w:bidi="ar"/>
              </w:rPr>
            </w:pPr>
            <w:r>
              <mc:AlternateContent>
                <mc:Choice Requires="wps">
                  <w:drawing>
                    <wp:anchor distT="0" distB="0" distL="114300" distR="114300" simplePos="0" relativeHeight="251685888" behindDoc="0" locked="0" layoutInCell="1" allowOverlap="1">
                      <wp:simplePos x="0" y="0"/>
                      <wp:positionH relativeFrom="column">
                        <wp:posOffset>3422015</wp:posOffset>
                      </wp:positionH>
                      <wp:positionV relativeFrom="paragraph">
                        <wp:posOffset>34925</wp:posOffset>
                      </wp:positionV>
                      <wp:extent cx="1343025" cy="635"/>
                      <wp:effectExtent l="0" t="0" r="0" b="0"/>
                      <wp:wrapNone/>
                      <wp:docPr id="10" name="直接连接符 10"/>
                      <wp:cNvGraphicFramePr/>
                      <a:graphic xmlns:a="http://schemas.openxmlformats.org/drawingml/2006/main">
                        <a:graphicData uri="http://schemas.microsoft.com/office/word/2010/wordprocessingShape">
                          <wps:wsp>
                            <wps:cNvCnPr/>
                            <wps:spPr>
                              <a:xfrm flipH="1">
                                <a:off x="0" y="0"/>
                                <a:ext cx="1343025" cy="635"/>
                              </a:xfrm>
                              <a:prstGeom prst="line">
                                <a:avLst/>
                              </a:prstGeom>
                              <a:ln w="12700" cap="flat" cmpd="sng">
                                <a:solidFill>
                                  <a:srgbClr val="000001"/>
                                </a:solidFill>
                                <a:prstDash val="solid"/>
                                <a:headEnd type="none" w="med" len="med"/>
                                <a:tailEnd type="none" w="med" len="med"/>
                              </a:ln>
                            </wps:spPr>
                            <wps:bodyPr upright="1"/>
                          </wps:wsp>
                        </a:graphicData>
                      </a:graphic>
                    </wp:anchor>
                  </w:drawing>
                </mc:Choice>
                <mc:Fallback>
                  <w:pict>
                    <v:line id="_x0000_s1026" o:spid="_x0000_s1026" o:spt="20" style="position:absolute;left:0pt;flip:x;margin-left:269.45pt;margin-top:2.75pt;height:0.05pt;width:105.75pt;z-index:251685888;mso-width-relative:page;mso-height-relative:page;" filled="f" stroked="t" coordsize="21600,21600" o:gfxdata="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B8VXj1QAAAAcB&#10;AAAPAAAAAAAAAAEAIAAAACIAAABkcnMvZG93bnJldi54bWxQSwECFAAUAAAACACHTuJAGhoQwuUB&#10;AAClAwAADgAAAAAAAAABACAAAAAkAQAAZHJzL2Uyb0RvYy54bWxQSwUGAAAAAAYABgBZAQAAewUA&#10;AAAA&#10;">
                      <v:fill on="f" focussize="0,0"/>
                      <v:stroke weight="1pt" color="#000001" joinstyle="round"/>
                      <v:imagedata o:title=""/>
                      <o:lock v:ext="edit" aspectratio="f"/>
                    </v:line>
                  </w:pict>
                </mc:Fallback>
              </mc:AlternateContent>
            </w:r>
          </w:p>
          <w:p>
            <w:pPr>
              <w:widowControl/>
              <w:jc w:val="center"/>
              <w:rPr>
                <w:b/>
                <w:bCs/>
                <w:kern w:val="0"/>
                <w:sz w:val="21"/>
                <w:szCs w:val="21"/>
                <w:u w:val="single"/>
                <w:lang w:bidi="ar"/>
              </w:rPr>
            </w:pPr>
            <w:r>
              <w:rPr>
                <w:b/>
                <w:bCs/>
                <w:kern w:val="0"/>
                <w:sz w:val="21"/>
                <w:szCs w:val="21"/>
                <w:u w:val="single"/>
                <w:lang w:bidi="ar"/>
              </w:rPr>
              <w:t>图</w:t>
            </w:r>
            <w:r>
              <w:rPr>
                <w:rFonts w:hint="eastAsia"/>
                <w:b/>
                <w:bCs/>
                <w:kern w:val="0"/>
                <w:sz w:val="21"/>
                <w:szCs w:val="21"/>
                <w:u w:val="single"/>
                <w:lang w:val="en-US" w:eastAsia="zh-CN" w:bidi="ar"/>
              </w:rPr>
              <w:t>5</w:t>
            </w:r>
            <w:r>
              <w:rPr>
                <w:b/>
                <w:bCs/>
                <w:kern w:val="0"/>
                <w:sz w:val="21"/>
                <w:szCs w:val="21"/>
                <w:u w:val="single"/>
                <w:lang w:bidi="ar"/>
              </w:rPr>
              <w:t>-</w:t>
            </w:r>
            <w:r>
              <w:rPr>
                <w:rFonts w:hint="eastAsia"/>
                <w:b/>
                <w:bCs/>
                <w:kern w:val="0"/>
                <w:sz w:val="21"/>
                <w:szCs w:val="21"/>
                <w:u w:val="single"/>
                <w:lang w:val="en-US" w:eastAsia="zh-CN" w:bidi="ar"/>
              </w:rPr>
              <w:t>1</w:t>
            </w:r>
            <w:r>
              <w:rPr>
                <w:b/>
                <w:bCs/>
                <w:kern w:val="0"/>
                <w:sz w:val="21"/>
                <w:szCs w:val="21"/>
                <w:u w:val="single"/>
                <w:lang w:bidi="ar"/>
              </w:rPr>
              <w:t xml:space="preserve">  泥水平衡顶管施工工艺流程图</w:t>
            </w:r>
          </w:p>
          <w:p>
            <w:pPr>
              <w:rPr>
                <w:rFonts w:hint="eastAsia"/>
              </w:rPr>
            </w:pPr>
          </w:p>
          <w:p>
            <w:pPr>
              <w:spacing w:line="360" w:lineRule="auto"/>
              <w:ind w:firstLine="480" w:firstLineChars="200"/>
              <w:rPr>
                <w:rFonts w:hint="eastAsia" w:hAnsi="宋体"/>
                <w:highlight w:val="none"/>
              </w:rPr>
            </w:pPr>
            <w:r>
              <w:rPr>
                <w:rFonts w:hint="eastAsia" w:hAnsi="宋体"/>
                <w:highlight w:val="none"/>
                <w:lang w:eastAsia="zh-CN"/>
              </w:rPr>
              <w:t>项目洪水港取水泵站穿堤处需顶管施工，顶管法分为一般顶管法和泥水平衡顶管法，本项目穿堤时选用泥水平衡顶管法。泥水平衡式顶管是一种以全断面切削土体，以泥水压力来平衡土压力和地下水压力，又以泥水作为输送弃土介质的机械自动化顶管施工法。泥水平衡顶管系统主要由顶管机头、地面操作台及其他辅助设备组成，机头内部有PLC控制箱，地面操作台队机头给出动作信号控制机头的动作。排泥系统将弃土排除，吊车下管，由千斤顶将管道分段顶进。随着工具管的推进，刀盘在不断转动，进泥管不断供泥水，排泥管不断将混有弃土的泥水排出泥水舱。泥水舱要保持一定的压力，使刀盘在有泥水压力的情况下向前钻进。泥水平衡工具管的基本原理是泥水护壁，在泥水式顶管施工中，要使挖掘面保持稳定，必须向泥水舱注入一定压力的泥水。泥水在压力作用下向土体内部渗透，在开挖面形成一层泥皮。泥皮的作用，一方面阻止泥水继续向土体内部渗漏，另一方面，泥水的压力通过泥皮作用在开挖面防止坍塌。</w:t>
            </w:r>
          </w:p>
          <w:p>
            <w:pPr>
              <w:spacing w:line="360" w:lineRule="auto"/>
              <w:ind w:firstLine="480" w:firstLineChars="200"/>
              <w:rPr>
                <w:rFonts w:hint="eastAsia" w:hAnsi="宋体"/>
              </w:rPr>
            </w:pPr>
          </w:p>
          <w:p>
            <w:pPr>
              <w:spacing w:line="360" w:lineRule="auto"/>
              <w:ind w:firstLine="480" w:firstLineChars="200"/>
              <w:rPr>
                <w:rFonts w:hint="eastAsia" w:hAnsi="宋体" w:eastAsia="宋体"/>
                <w:lang w:eastAsia="zh-CN"/>
              </w:rPr>
            </w:pPr>
            <w:r>
              <w:rPr>
                <w:rFonts w:hint="eastAsia" w:hAnsi="宋体"/>
              </w:rPr>
              <w:t>（</w:t>
            </w:r>
            <w:r>
              <w:rPr>
                <w:rFonts w:hint="eastAsia" w:hAnsi="宋体"/>
                <w:lang w:val="en-US" w:eastAsia="zh-CN"/>
              </w:rPr>
              <w:t>2</w:t>
            </w:r>
            <w:r>
              <w:rPr>
                <w:rFonts w:hint="eastAsia" w:hAnsi="宋体"/>
              </w:rPr>
              <w:t>）</w:t>
            </w:r>
            <w:r>
              <w:rPr>
                <w:rFonts w:hint="eastAsia" w:hAnsi="宋体"/>
                <w:lang w:eastAsia="zh-CN"/>
              </w:rPr>
              <w:t>埋地输水管施工</w:t>
            </w:r>
          </w:p>
          <w:p>
            <w:pPr>
              <w:spacing w:line="360" w:lineRule="auto"/>
              <w:rPr>
                <w:b/>
                <w:bCs/>
                <w:sz w:val="28"/>
                <w:szCs w:val="28"/>
              </w:rPr>
            </w:pPr>
            <w:r>
              <w:rPr>
                <w:rFonts w:hint="eastAsia"/>
                <w:b/>
                <w:bCs/>
                <w:sz w:val="28"/>
                <w:szCs w:val="28"/>
              </w:rPr>
              <w:drawing>
                <wp:inline distT="0" distB="0" distL="114300" distR="114300">
                  <wp:extent cx="5476875" cy="2390775"/>
                  <wp:effectExtent l="0" t="0" r="9525" b="9525"/>
                  <wp:docPr id="125" name="图片 125" descr="15899682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125" descr="1589968296(1)"/>
                          <pic:cNvPicPr>
                            <a:picLocks noChangeAspect="1"/>
                          </pic:cNvPicPr>
                        </pic:nvPicPr>
                        <pic:blipFill>
                          <a:blip r:embed="rId33"/>
                          <a:stretch>
                            <a:fillRect/>
                          </a:stretch>
                        </pic:blipFill>
                        <pic:spPr>
                          <a:xfrm>
                            <a:off x="0" y="0"/>
                            <a:ext cx="5476875" cy="2390775"/>
                          </a:xfrm>
                          <a:prstGeom prst="rect">
                            <a:avLst/>
                          </a:prstGeom>
                        </pic:spPr>
                      </pic:pic>
                    </a:graphicData>
                  </a:graphic>
                </wp:inline>
              </w:drawing>
            </w:r>
          </w:p>
          <w:p>
            <w:pPr>
              <w:tabs>
                <w:tab w:val="left" w:pos="1677"/>
              </w:tabs>
              <w:ind w:left="711" w:firstLine="2530" w:firstLineChars="1200"/>
              <w:jc w:val="left"/>
              <w:rPr>
                <w:rFonts w:ascii="宋体" w:hAnsi="宋体" w:cs="宋体"/>
                <w:sz w:val="21"/>
                <w:szCs w:val="21"/>
              </w:rPr>
            </w:pPr>
            <w:r>
              <w:rPr>
                <w:rFonts w:ascii="宋体" w:hAnsi="宋体" w:cs="宋体"/>
                <w:b/>
                <w:bCs/>
                <w:sz w:val="21"/>
                <w:szCs w:val="21"/>
              </w:rPr>
              <w:t>图</w:t>
            </w:r>
            <w:r>
              <w:rPr>
                <w:rFonts w:ascii="宋体" w:hAnsi="宋体" w:cs="宋体"/>
                <w:b/>
                <w:bCs/>
                <w:spacing w:val="-53"/>
                <w:sz w:val="21"/>
                <w:szCs w:val="21"/>
              </w:rPr>
              <w:t xml:space="preserve"> </w:t>
            </w:r>
            <w:r>
              <w:rPr>
                <w:rFonts w:eastAsia="Times New Roman"/>
                <w:b/>
                <w:bCs/>
                <w:sz w:val="21"/>
                <w:szCs w:val="21"/>
              </w:rPr>
              <w:t>5-</w:t>
            </w:r>
            <w:r>
              <w:rPr>
                <w:rFonts w:hint="eastAsia"/>
                <w:b/>
                <w:bCs/>
                <w:sz w:val="21"/>
                <w:szCs w:val="21"/>
                <w:lang w:val="en-US" w:eastAsia="zh-CN"/>
              </w:rPr>
              <w:t>2</w:t>
            </w:r>
            <w:r>
              <w:rPr>
                <w:rFonts w:eastAsia="Times New Roman"/>
                <w:b/>
                <w:bCs/>
                <w:sz w:val="21"/>
                <w:szCs w:val="21"/>
              </w:rPr>
              <w:tab/>
            </w:r>
            <w:r>
              <w:rPr>
                <w:rFonts w:ascii="宋体" w:hAnsi="宋体" w:cs="宋体"/>
                <w:b/>
                <w:bCs/>
                <w:sz w:val="21"/>
                <w:szCs w:val="21"/>
              </w:rPr>
              <w:t>输水管道施工工艺图</w:t>
            </w:r>
          </w:p>
          <w:p>
            <w:pPr>
              <w:spacing w:line="360" w:lineRule="auto"/>
              <w:ind w:firstLine="480" w:firstLineChars="200"/>
              <w:rPr>
                <w:rFonts w:hAnsi="宋体"/>
              </w:rPr>
            </w:pPr>
            <w:r>
              <w:rPr>
                <w:rFonts w:hint="eastAsia" w:hAnsi="宋体"/>
              </w:rPr>
              <w:t>工艺说明：</w:t>
            </w:r>
          </w:p>
          <w:p>
            <w:pPr>
              <w:spacing w:line="360" w:lineRule="auto"/>
              <w:ind w:firstLine="480" w:firstLineChars="200"/>
              <w:rPr>
                <w:rFonts w:hAnsi="宋体"/>
              </w:rPr>
            </w:pPr>
            <w:r>
              <w:rPr>
                <w:rFonts w:hint="eastAsia" w:hAnsi="宋体"/>
              </w:rPr>
              <w:t>1）</w:t>
            </w:r>
            <w:r>
              <w:rPr>
                <w:rFonts w:hAnsi="宋体"/>
              </w:rPr>
              <w:t>管槽开挖</w:t>
            </w:r>
          </w:p>
          <w:p>
            <w:pPr>
              <w:spacing w:line="360" w:lineRule="auto"/>
              <w:ind w:firstLine="480" w:firstLineChars="200"/>
              <w:rPr>
                <w:rFonts w:hAnsi="宋体"/>
              </w:rPr>
            </w:pPr>
            <w:r>
              <w:rPr>
                <w:rFonts w:hAnsi="宋体"/>
              </w:rPr>
              <w:t>提水管线采用分段平行施工，埋管沟槽土方采用机械开挖，石方开挖采用机械破 碎锤破碎，弃渣就近堆放在管槽外侧用于管槽回填和平整场地。施工技术要求：</w:t>
            </w:r>
          </w:p>
          <w:p>
            <w:pPr>
              <w:spacing w:line="360" w:lineRule="auto"/>
              <w:ind w:firstLine="480" w:firstLineChars="200"/>
              <w:rPr>
                <w:rFonts w:hAnsi="宋体"/>
              </w:rPr>
            </w:pPr>
            <w:r>
              <w:rPr>
                <w:rFonts w:hAnsi="宋体"/>
              </w:rPr>
              <w:t>①管槽应按设计要求开挖，槽底应密实、平整，无松土和积水；</w:t>
            </w:r>
          </w:p>
          <w:p>
            <w:pPr>
              <w:spacing w:line="360" w:lineRule="auto"/>
              <w:ind w:firstLine="480" w:firstLineChars="200"/>
              <w:rPr>
                <w:rFonts w:hAnsi="宋体"/>
              </w:rPr>
            </w:pPr>
            <w:r>
              <w:rPr>
                <w:rFonts w:hAnsi="宋体"/>
              </w:rPr>
              <w:t>②槽底若为软弱地基，应进行换土处理或设置管床；槽底与管道接触部位 15cm</w:t>
            </w:r>
          </w:p>
          <w:p>
            <w:pPr>
              <w:spacing w:line="360" w:lineRule="auto"/>
              <w:rPr>
                <w:rFonts w:hAnsi="宋体"/>
              </w:rPr>
            </w:pPr>
            <w:r>
              <w:rPr>
                <w:rFonts w:hAnsi="宋体"/>
              </w:rPr>
              <w:t>范围内不含粒径大于 2.5cm 的石子，否则应换土夯实。</w:t>
            </w:r>
          </w:p>
          <w:p>
            <w:pPr>
              <w:spacing w:line="360" w:lineRule="auto"/>
              <w:ind w:firstLine="480" w:firstLineChars="200"/>
              <w:rPr>
                <w:rFonts w:hAnsi="宋体"/>
              </w:rPr>
            </w:pPr>
            <w:r>
              <w:rPr>
                <w:rFonts w:hAnsi="宋体"/>
              </w:rPr>
              <w:t>2）钢管连接</w:t>
            </w:r>
          </w:p>
          <w:p>
            <w:pPr>
              <w:spacing w:line="360" w:lineRule="auto"/>
              <w:ind w:firstLine="480" w:firstLineChars="200"/>
              <w:rPr>
                <w:rFonts w:hAnsi="宋体"/>
              </w:rPr>
            </w:pPr>
            <w:r>
              <w:rPr>
                <w:rFonts w:hAnsi="宋体"/>
              </w:rPr>
              <w:t>①本工程所有钢管均采用焊接，焊缝应饱满。</w:t>
            </w:r>
          </w:p>
          <w:p>
            <w:pPr>
              <w:spacing w:line="360" w:lineRule="auto"/>
              <w:ind w:firstLine="480" w:firstLineChars="200"/>
              <w:rPr>
                <w:rFonts w:hAnsi="宋体"/>
              </w:rPr>
            </w:pPr>
            <w:r>
              <w:rPr>
                <w:rFonts w:hAnsi="宋体"/>
              </w:rPr>
              <w:t>②管道安装过程中，下班时或中途因故停止安装时，应采用相关措施将管道口封 堵，安装过程中首先检查管道内有无堵塞物。</w:t>
            </w:r>
          </w:p>
          <w:p>
            <w:pPr>
              <w:spacing w:line="360" w:lineRule="auto"/>
              <w:ind w:firstLine="480" w:firstLineChars="200"/>
              <w:rPr>
                <w:rFonts w:hAnsi="宋体"/>
              </w:rPr>
            </w:pPr>
            <w:r>
              <w:rPr>
                <w:rFonts w:hAnsi="宋体"/>
              </w:rPr>
              <w:t>③管道各种连接应采用专用连接工具，管道连接应采用同种牌号级别、压力等级 相同的管材、管件以及管道附件。不同牌号的管件以及管道附件之间的连接应经过试 验、判定连接质量能得到保证后方可连接。</w:t>
            </w:r>
          </w:p>
          <w:p>
            <w:pPr>
              <w:spacing w:line="360" w:lineRule="auto"/>
              <w:ind w:firstLine="480" w:firstLineChars="200"/>
              <w:rPr>
                <w:rFonts w:hAnsi="宋体"/>
              </w:rPr>
            </w:pPr>
            <w:r>
              <w:rPr>
                <w:rFonts w:hAnsi="宋体"/>
              </w:rPr>
              <w:t>3）回填 管道管槽回填采用机械回填，分层压实。</w:t>
            </w:r>
          </w:p>
          <w:p>
            <w:pPr>
              <w:spacing w:line="360" w:lineRule="auto"/>
              <w:ind w:firstLine="480" w:firstLineChars="200"/>
              <w:rPr>
                <w:rFonts w:hAnsi="宋体"/>
              </w:rPr>
            </w:pPr>
            <w:r>
              <w:rPr>
                <w:rFonts w:hAnsi="宋体"/>
              </w:rPr>
              <w:t>4）试压 管线敷设完了以后，在最终回填前进行质量检查验收工作，一般压力管道进行水压试验，无压管道进行闭水检验。管道试压应符合设计要求和相关标准的规定。</w:t>
            </w:r>
          </w:p>
          <w:p>
            <w:pPr>
              <w:spacing w:line="360" w:lineRule="auto"/>
              <w:ind w:firstLine="482" w:firstLineChars="200"/>
              <w:rPr>
                <w:rFonts w:hAnsi="宋体"/>
                <w:b/>
              </w:rPr>
            </w:pPr>
            <w:r>
              <w:rPr>
                <w:rFonts w:hint="eastAsia" w:hAnsi="宋体"/>
                <w:b/>
              </w:rPr>
              <w:t>1、</w:t>
            </w:r>
            <w:r>
              <w:rPr>
                <w:rFonts w:hAnsi="宋体"/>
                <w:b/>
              </w:rPr>
              <w:t>施工期主要污染工序</w:t>
            </w:r>
          </w:p>
          <w:p>
            <w:pPr>
              <w:spacing w:line="360" w:lineRule="auto"/>
              <w:ind w:firstLine="480" w:firstLineChars="200"/>
              <w:rPr>
                <w:rFonts w:hAnsi="宋体"/>
              </w:rPr>
            </w:pPr>
            <w:r>
              <w:rPr>
                <w:rFonts w:hAnsi="宋体"/>
              </w:rPr>
              <w:t>由施工期工艺流程和产污环节分析可知，项目施工期的污染因素主要为：</w:t>
            </w:r>
          </w:p>
          <w:p>
            <w:pPr>
              <w:spacing w:line="360" w:lineRule="auto"/>
              <w:ind w:firstLine="480" w:firstLineChars="200"/>
              <w:rPr>
                <w:rFonts w:hAnsi="宋体"/>
              </w:rPr>
            </w:pPr>
            <w:r>
              <w:rPr>
                <w:rFonts w:hAnsi="宋体"/>
              </w:rPr>
              <w:t>（1）废气：主要为施工扬尘、运输扬尘、施工设备尾气。</w:t>
            </w:r>
          </w:p>
          <w:p>
            <w:pPr>
              <w:spacing w:line="360" w:lineRule="auto"/>
              <w:ind w:firstLine="480" w:firstLineChars="200"/>
              <w:rPr>
                <w:rFonts w:hAnsi="宋体"/>
              </w:rPr>
            </w:pPr>
            <w:r>
              <w:rPr>
                <w:rFonts w:hAnsi="宋体"/>
              </w:rPr>
              <w:t>（2）废水：施工废水、施工人员生活污水、试压废水。</w:t>
            </w:r>
          </w:p>
          <w:p>
            <w:pPr>
              <w:spacing w:line="360" w:lineRule="auto"/>
              <w:ind w:firstLine="480" w:firstLineChars="200"/>
              <w:rPr>
                <w:rFonts w:hAnsi="宋体"/>
              </w:rPr>
            </w:pPr>
            <w:r>
              <w:rPr>
                <w:rFonts w:hAnsi="宋体"/>
              </w:rPr>
              <w:t>（3）噪声：各种施工机械噪声、物料运输噪声。</w:t>
            </w:r>
          </w:p>
          <w:p>
            <w:pPr>
              <w:spacing w:line="360" w:lineRule="auto"/>
              <w:ind w:firstLine="480" w:firstLineChars="200"/>
              <w:rPr>
                <w:rFonts w:hAnsi="宋体"/>
                <w:highlight w:val="none"/>
              </w:rPr>
            </w:pPr>
            <w:r>
              <w:rPr>
                <w:rFonts w:hAnsi="宋体"/>
              </w:rPr>
              <w:t>（4）固废：表土、土石方</w:t>
            </w:r>
            <w:r>
              <w:rPr>
                <w:rFonts w:hint="eastAsia" w:hAnsi="宋体"/>
                <w:highlight w:val="none"/>
                <w:lang w:eastAsia="zh-CN"/>
              </w:rPr>
              <w:t>、废泥浆</w:t>
            </w:r>
            <w:r>
              <w:rPr>
                <w:rFonts w:hAnsi="宋体"/>
                <w:highlight w:val="none"/>
              </w:rPr>
              <w:t>。</w:t>
            </w:r>
          </w:p>
          <w:p>
            <w:pPr>
              <w:spacing w:line="360" w:lineRule="auto"/>
              <w:ind w:firstLine="482" w:firstLineChars="200"/>
              <w:rPr>
                <w:rFonts w:hAnsi="宋体"/>
                <w:b/>
              </w:rPr>
            </w:pPr>
            <w:r>
              <w:rPr>
                <w:rFonts w:hint="eastAsia" w:hAnsi="宋体"/>
                <w:b/>
              </w:rPr>
              <w:t>2、</w:t>
            </w:r>
            <w:r>
              <w:rPr>
                <w:rFonts w:hAnsi="宋体"/>
                <w:b/>
              </w:rPr>
              <w:t>施工期污染物产生及治理措施</w:t>
            </w:r>
          </w:p>
          <w:p>
            <w:pPr>
              <w:spacing w:line="360" w:lineRule="auto"/>
              <w:ind w:firstLine="482" w:firstLineChars="200"/>
              <w:rPr>
                <w:rFonts w:hAnsi="宋体"/>
                <w:b/>
              </w:rPr>
            </w:pPr>
            <w:r>
              <w:rPr>
                <w:rFonts w:hint="eastAsia" w:hAnsi="宋体"/>
                <w:b/>
              </w:rPr>
              <w:t>2</w:t>
            </w:r>
            <w:r>
              <w:rPr>
                <w:rFonts w:hAnsi="宋体"/>
                <w:b/>
              </w:rPr>
              <w:t xml:space="preserve">.1 废气 </w:t>
            </w:r>
          </w:p>
          <w:p>
            <w:pPr>
              <w:spacing w:line="360" w:lineRule="auto"/>
              <w:ind w:firstLine="480" w:firstLineChars="200"/>
              <w:rPr>
                <w:rFonts w:hAnsi="宋体"/>
              </w:rPr>
            </w:pPr>
            <w:r>
              <w:rPr>
                <w:rFonts w:hAnsi="宋体"/>
              </w:rPr>
              <w:t>施工期产生的主要大气污染物为施工扬尘及机械燃油产生的尾气。</w:t>
            </w:r>
          </w:p>
          <w:p>
            <w:pPr>
              <w:spacing w:line="360" w:lineRule="auto"/>
              <w:ind w:firstLine="480" w:firstLineChars="200"/>
              <w:rPr>
                <w:rFonts w:hAnsi="宋体"/>
              </w:rPr>
            </w:pPr>
            <w:r>
              <w:rPr>
                <w:rFonts w:hAnsi="宋体"/>
              </w:rPr>
              <w:t xml:space="preserve">（1）施工扬尘 </w:t>
            </w:r>
          </w:p>
          <w:p>
            <w:pPr>
              <w:spacing w:line="360" w:lineRule="auto"/>
              <w:ind w:firstLine="480" w:firstLineChars="200"/>
              <w:rPr>
                <w:rFonts w:hAnsi="宋体"/>
              </w:rPr>
            </w:pPr>
            <w:r>
              <w:rPr>
                <w:rFonts w:hAnsi="宋体"/>
              </w:rPr>
              <w:t>施工扬尘主要来源于土方露天堆积风力扬尘、土石方开挖和出渣装卸等产生的二次扬尘、车辆运输等施工作业过程中产生的扬尘和逸散尘。 影响起尘量的因素包括：基础开挖起尘量、施工渣土堆场起尘量、进出车辆夹带泥砂量、弃土外运装载起尘量以及起尘高度、采取的防护措施、空气湿度、风速等因 素有关。根据北京市环境保护科研所等单位在市政施工现场的实测资料，在一般气象 条件下，平均风速为 2.5m/s，建筑工地内 TSP 浓度为其上风向对照点的 2～2.5 倍， 建筑施工扬尘的影响范围在其下风向可达 150m，影响范围内 TSP 浓度平均值可达 0.49mg/m</w:t>
            </w:r>
            <w:r>
              <w:rPr>
                <w:rFonts w:hAnsi="宋体"/>
                <w:vertAlign w:val="superscript"/>
              </w:rPr>
              <w:t>3</w:t>
            </w:r>
            <w:r>
              <w:rPr>
                <w:rFonts w:hAnsi="宋体"/>
              </w:rPr>
              <w:t>。当有围栏时，同等条件下其影响距离可缩短 40%。当风速大于 5m/s，施 工现场及其下风向部分区域的 TSP 浓度将超过《环境空气质量标准》（GB3095-2012） 中的二级标准，而且随着风速的增加，施工扬尘产生的污染程度和超标范围也将随之 增强和扩大。</w:t>
            </w:r>
          </w:p>
          <w:p>
            <w:pPr>
              <w:spacing w:line="360" w:lineRule="auto"/>
              <w:ind w:firstLine="480" w:firstLineChars="200"/>
              <w:rPr>
                <w:rFonts w:hAnsi="宋体"/>
              </w:rPr>
            </w:pPr>
            <w:r>
              <w:rPr>
                <w:rFonts w:hAnsi="宋体"/>
              </w:rPr>
              <w:t>施工扬尘产生量最大的时间出现在土方的挖掘阶段，由于这个阶段裸露浮土较 多，扬尘产生几率较大，尤其是施工场地周围及下风向的部分地区。</w:t>
            </w:r>
          </w:p>
          <w:p>
            <w:pPr>
              <w:spacing w:line="360" w:lineRule="auto"/>
              <w:ind w:firstLine="480" w:firstLineChars="200"/>
              <w:rPr>
                <w:rFonts w:hAnsi="宋体"/>
              </w:rPr>
            </w:pPr>
            <w:r>
              <w:rPr>
                <w:rFonts w:hAnsi="宋体"/>
              </w:rPr>
              <w:t>治理措施：</w:t>
            </w:r>
          </w:p>
          <w:p>
            <w:pPr>
              <w:spacing w:line="360" w:lineRule="auto"/>
              <w:ind w:firstLine="480" w:firstLineChars="200"/>
              <w:rPr>
                <w:rFonts w:hAnsi="宋体"/>
              </w:rPr>
            </w:pPr>
            <w:r>
              <w:rPr>
                <w:rFonts w:hAnsi="宋体"/>
              </w:rPr>
              <w:t>A.严格执行安全文明施工标准规范，全面推行现场标准化管理。严格落实施工 现场围挡、工地物料堆场覆盖、施工现场路面硬化、驶出工地车辆冲洗、拆迁工地 湿法作业、渣土运输车辆密闭等扬尘防治要求。研究渣土运输车辆密闭改装标准， 确保实现渣土密闭运输。加强建设工地监督检查，督促责任单位落实降尘、压尘和 抑尘措施。”</w:t>
            </w:r>
          </w:p>
          <w:p>
            <w:pPr>
              <w:spacing w:line="360" w:lineRule="auto"/>
              <w:ind w:firstLine="480" w:firstLineChars="200"/>
              <w:rPr>
                <w:rFonts w:hAnsi="宋体"/>
              </w:rPr>
            </w:pPr>
            <w:r>
              <w:rPr>
                <w:rFonts w:hAnsi="宋体"/>
              </w:rPr>
              <w:t>B.由于区域农地土壤吸水性能较好，因此，要求在施工前分片区洒水增加土壤 湿度，然后在进行挖掘、运输，场内运输车应控制车速，降低扬尘的产生。</w:t>
            </w:r>
          </w:p>
          <w:p>
            <w:pPr>
              <w:spacing w:line="360" w:lineRule="auto"/>
              <w:ind w:firstLine="480" w:firstLineChars="200"/>
              <w:rPr>
                <w:rFonts w:hAnsi="宋体"/>
              </w:rPr>
            </w:pPr>
            <w:r>
              <w:rPr>
                <w:rFonts w:hAnsi="宋体"/>
              </w:rPr>
              <w:t>C.要求在车辆进出场口设置冲洗平台，车辆冲洗干净方可出场，运输车辆必须遮蓬，防治运输途中的扬尘。</w:t>
            </w:r>
          </w:p>
          <w:p>
            <w:pPr>
              <w:spacing w:line="360" w:lineRule="auto"/>
              <w:ind w:firstLine="480" w:firstLineChars="200"/>
              <w:rPr>
                <w:rFonts w:hAnsi="宋体"/>
              </w:rPr>
            </w:pPr>
            <w:r>
              <w:rPr>
                <w:rFonts w:hAnsi="宋体"/>
              </w:rPr>
              <w:t>（2）机械燃油废气</w:t>
            </w:r>
          </w:p>
          <w:p>
            <w:pPr>
              <w:spacing w:line="360" w:lineRule="auto"/>
              <w:ind w:firstLine="480" w:firstLineChars="200"/>
              <w:rPr>
                <w:rFonts w:hAnsi="宋体"/>
              </w:rPr>
            </w:pPr>
            <w:r>
              <w:rPr>
                <w:rFonts w:hAnsi="宋体"/>
              </w:rPr>
              <w:t>本项目施工高峰期约 2 台施工机械设备使用油料为汽油或柴油。由于燃油机械尾 气排放口低，属低矮点源无序排放，在使用过程中会产生一定量燃油废气，其成分主 要有 CO、NOx 等，其特点是排放量小，间断性排放。在各施工设备和车辆状况良好、 尾气排放达标、不超载、不使用劣质燃料的前提下，燃油废气不会对周围环境产生明显影响。</w:t>
            </w:r>
          </w:p>
          <w:p>
            <w:pPr>
              <w:spacing w:line="360" w:lineRule="auto"/>
              <w:ind w:firstLine="480" w:firstLineChars="200"/>
              <w:rPr>
                <w:rFonts w:hAnsi="宋体"/>
              </w:rPr>
            </w:pPr>
            <w:r>
              <w:rPr>
                <w:rFonts w:hAnsi="宋体"/>
              </w:rPr>
              <w:t xml:space="preserve">（3）运输道路扬尘 </w:t>
            </w:r>
          </w:p>
          <w:p>
            <w:pPr>
              <w:spacing w:line="360" w:lineRule="auto"/>
              <w:ind w:firstLine="480" w:firstLineChars="200"/>
              <w:rPr>
                <w:rFonts w:hAnsi="宋体"/>
              </w:rPr>
            </w:pPr>
            <w:r>
              <w:rPr>
                <w:rFonts w:hAnsi="宋体"/>
              </w:rPr>
              <w:t>施工区运输扬尘来源于进场公路和厂内公路。在干燥天气情况下，车辆行驶容易产生扬尘，道路扬尘产生量与路面情况、路面清洁程度、路面湿润程度、车流量、车 速、载重量等有关。要求定期对运输道路进行洒水降尘。</w:t>
            </w:r>
          </w:p>
          <w:p>
            <w:pPr>
              <w:spacing w:line="360" w:lineRule="auto"/>
              <w:ind w:firstLine="482" w:firstLineChars="200"/>
              <w:rPr>
                <w:rFonts w:hAnsi="宋体"/>
                <w:b/>
              </w:rPr>
            </w:pPr>
            <w:r>
              <w:rPr>
                <w:rFonts w:hint="eastAsia" w:hAnsi="宋体"/>
                <w:b/>
              </w:rPr>
              <w:t>2</w:t>
            </w:r>
            <w:r>
              <w:rPr>
                <w:rFonts w:hAnsi="宋体"/>
                <w:b/>
              </w:rPr>
              <w:t xml:space="preserve">.2 废水 </w:t>
            </w:r>
          </w:p>
          <w:p>
            <w:pPr>
              <w:spacing w:line="360" w:lineRule="auto"/>
              <w:ind w:firstLine="480" w:firstLineChars="200"/>
              <w:rPr>
                <w:rFonts w:hAnsi="宋体"/>
              </w:rPr>
            </w:pPr>
            <w:r>
              <w:rPr>
                <w:rFonts w:hAnsi="宋体"/>
              </w:rPr>
              <w:t>拟建项目</w:t>
            </w:r>
            <w:r>
              <w:rPr>
                <w:rFonts w:hint="eastAsia" w:hAnsi="宋体"/>
              </w:rPr>
              <w:t>施工人员全部为附近工人，不设置施工住宿地，因此不存在生活污水，</w:t>
            </w:r>
            <w:r>
              <w:rPr>
                <w:rFonts w:hAnsi="宋体"/>
              </w:rPr>
              <w:t>施工期对地表水环境的影响主要来自施工废水。</w:t>
            </w:r>
          </w:p>
          <w:p>
            <w:pPr>
              <w:spacing w:line="360" w:lineRule="auto"/>
              <w:ind w:firstLine="480" w:firstLineChars="200"/>
              <w:rPr>
                <w:rFonts w:hAnsi="宋体"/>
              </w:rPr>
            </w:pPr>
            <w:r>
              <w:rPr>
                <w:rFonts w:hAnsi="宋体"/>
              </w:rPr>
              <w:t xml:space="preserve">（1）施工废水 </w:t>
            </w:r>
          </w:p>
          <w:p>
            <w:pPr>
              <w:spacing w:line="360" w:lineRule="auto"/>
              <w:ind w:firstLine="480" w:firstLineChars="200"/>
              <w:rPr>
                <w:rFonts w:hAnsi="宋体"/>
              </w:rPr>
            </w:pPr>
            <w:r>
              <w:rPr>
                <w:rFonts w:hAnsi="宋体"/>
              </w:rPr>
              <w:t>施工废水：拟建项目施工期废水主要包括施工机械及运输车辆冲洗水以及试压清管废水等。这些废水主要</w:t>
            </w:r>
            <w:r>
              <w:rPr>
                <w:rFonts w:hint="eastAsia" w:hAnsi="宋体"/>
              </w:rPr>
              <w:t>为S</w:t>
            </w:r>
            <w:r>
              <w:rPr>
                <w:rFonts w:hAnsi="宋体"/>
              </w:rPr>
              <w:t>S污染物。</w:t>
            </w:r>
            <w:r>
              <w:rPr>
                <w:rFonts w:hint="eastAsia" w:hAnsi="宋体"/>
              </w:rPr>
              <w:t>施工车辆冲洗水通过土壤渗透、蒸发。</w:t>
            </w:r>
          </w:p>
          <w:p>
            <w:pPr>
              <w:spacing w:line="360" w:lineRule="auto"/>
              <w:ind w:firstLine="480" w:firstLineChars="200"/>
              <w:rPr>
                <w:rFonts w:hAnsi="宋体"/>
              </w:rPr>
            </w:pPr>
            <w:r>
              <w:rPr>
                <w:rFonts w:hAnsi="宋体"/>
              </w:rPr>
              <w:t>（2）试压废水</w:t>
            </w:r>
          </w:p>
          <w:p>
            <w:pPr>
              <w:spacing w:line="360" w:lineRule="auto"/>
              <w:ind w:firstLine="480" w:firstLineChars="200"/>
              <w:rPr>
                <w:rFonts w:hAnsi="宋体"/>
              </w:rPr>
            </w:pPr>
            <w:r>
              <w:rPr>
                <w:rFonts w:hAnsi="宋体"/>
              </w:rPr>
              <w:t>水压试验的介质是清水，管道充满水后，用试压泵加压。强度试验压力为 1.5 倍工作压力（最低不小于 0.2MPa），试压时间保证5min 稳定不变。严密性试验压力为工作压力（最低不小于 0.2MPa），检查时间不小于1h；在规定时间内，压力降不大于严密性试验压力的5%，各管道不渗漏为合格。</w:t>
            </w:r>
          </w:p>
          <w:p>
            <w:pPr>
              <w:spacing w:line="360" w:lineRule="auto"/>
              <w:ind w:firstLine="480" w:firstLineChars="200"/>
              <w:rPr>
                <w:rFonts w:hAnsi="宋体"/>
              </w:rPr>
            </w:pPr>
            <w:r>
              <w:rPr>
                <w:rFonts w:hAnsi="宋体"/>
              </w:rPr>
              <w:t>试压用水为清水，不允许具有腐蚀性，不含无机或有机物，水的 pH 为 6～8，因此试压用水本身是清洁的。</w:t>
            </w:r>
          </w:p>
          <w:p>
            <w:pPr>
              <w:spacing w:line="360" w:lineRule="auto"/>
              <w:ind w:firstLine="480" w:firstLineChars="200"/>
              <w:rPr>
                <w:rFonts w:hAnsi="宋体"/>
              </w:rPr>
            </w:pPr>
            <w:r>
              <w:rPr>
                <w:rFonts w:hAnsi="宋体"/>
              </w:rPr>
              <w:t>管道试压过程中有废水产生，主要污染物为 SS，管道在安装过程中对管内污物进行了清扫，因此，管道试压废水中 SS 浓度较低，闭水试验废水经沉淀池沉淀后回用于洒水降尘。</w:t>
            </w:r>
          </w:p>
          <w:p>
            <w:pPr>
              <w:spacing w:line="360" w:lineRule="auto"/>
              <w:ind w:firstLine="482" w:firstLineChars="200"/>
              <w:rPr>
                <w:rFonts w:hAnsi="宋体"/>
                <w:b/>
              </w:rPr>
            </w:pPr>
            <w:r>
              <w:rPr>
                <w:rFonts w:hint="eastAsia" w:hAnsi="宋体"/>
                <w:b/>
              </w:rPr>
              <w:t>2</w:t>
            </w:r>
            <w:r>
              <w:rPr>
                <w:rFonts w:hAnsi="宋体"/>
                <w:b/>
              </w:rPr>
              <w:t>.3 噪声</w:t>
            </w:r>
          </w:p>
          <w:p>
            <w:pPr>
              <w:spacing w:line="360" w:lineRule="auto"/>
              <w:ind w:firstLine="480" w:firstLineChars="200"/>
              <w:rPr>
                <w:rFonts w:hAnsi="宋体"/>
              </w:rPr>
            </w:pPr>
            <w:r>
              <w:rPr>
                <w:rFonts w:hAnsi="宋体"/>
              </w:rPr>
              <w:t>施工期对声环境的影响主要是施工噪声，噪声主要来源于施工机械噪声以及运输</w:t>
            </w:r>
          </w:p>
          <w:p>
            <w:pPr>
              <w:spacing w:line="360" w:lineRule="auto"/>
              <w:rPr>
                <w:rFonts w:hAnsi="宋体"/>
              </w:rPr>
            </w:pPr>
            <w:r>
              <w:rPr>
                <w:rFonts w:hAnsi="宋体"/>
              </w:rPr>
              <w:t>车辆产生的噪声，主要特点为突发性和间歇性。机械产生的噪声与各施工阶段所使用</w:t>
            </w:r>
          </w:p>
          <w:p>
            <w:pPr>
              <w:spacing w:line="360" w:lineRule="auto"/>
              <w:rPr>
                <w:rFonts w:hAnsi="宋体"/>
              </w:rPr>
            </w:pPr>
            <w:r>
              <w:rPr>
                <w:rFonts w:hAnsi="宋体"/>
              </w:rPr>
              <w:t>的机械类型、数量有关，这些机械产生的噪声将对环境造成不利影响。各施工阶段使</w:t>
            </w:r>
          </w:p>
          <w:p>
            <w:pPr>
              <w:spacing w:line="360" w:lineRule="auto"/>
              <w:rPr>
                <w:rFonts w:hAnsi="宋体"/>
              </w:rPr>
            </w:pPr>
            <w:r>
              <w:rPr>
                <w:rFonts w:hAnsi="宋体"/>
              </w:rPr>
              <w:t>用不同的施工机械，其数量、地点常发生变化，作业时间也不定，从而导致噪声产生</w:t>
            </w:r>
          </w:p>
          <w:p>
            <w:pPr>
              <w:spacing w:line="360" w:lineRule="auto"/>
              <w:rPr>
                <w:rFonts w:hAnsi="宋体"/>
              </w:rPr>
            </w:pPr>
            <w:r>
              <w:rPr>
                <w:rFonts w:hAnsi="宋体"/>
              </w:rPr>
              <w:t>的随机性、无组织性，属不连续产生。运输车辆的噪声更具不规律性。</w:t>
            </w:r>
          </w:p>
          <w:p>
            <w:pPr>
              <w:spacing w:line="360" w:lineRule="auto"/>
              <w:ind w:firstLine="480" w:firstLineChars="200"/>
              <w:rPr>
                <w:rFonts w:hAnsi="宋体"/>
              </w:rPr>
            </w:pPr>
            <w:r>
              <w:rPr>
                <w:rFonts w:hAnsi="宋体"/>
              </w:rPr>
              <w:t>由于施工设备种类多，不同的设备产生的噪声不同。在多台机械设备同时作业时，</w:t>
            </w:r>
          </w:p>
          <w:p>
            <w:pPr>
              <w:spacing w:line="360" w:lineRule="auto"/>
              <w:rPr>
                <w:rFonts w:hAnsi="宋体"/>
              </w:rPr>
            </w:pPr>
            <w:r>
              <w:rPr>
                <w:rFonts w:hAnsi="宋体"/>
              </w:rPr>
              <w:t>产生的噪声还会叠加。在各类施工机械中，根据常用机械的实测资料，其污染源强见</w:t>
            </w:r>
          </w:p>
          <w:p>
            <w:pPr>
              <w:spacing w:line="360" w:lineRule="auto"/>
              <w:rPr>
                <w:rFonts w:hAnsi="宋体"/>
              </w:rPr>
            </w:pPr>
            <w:r>
              <w:rPr>
                <w:rFonts w:hAnsi="宋体"/>
              </w:rPr>
              <w:t>下表。</w:t>
            </w:r>
          </w:p>
          <w:p>
            <w:pPr>
              <w:spacing w:line="360" w:lineRule="auto"/>
              <w:jc w:val="center"/>
              <w:rPr>
                <w:b/>
                <w:bCs/>
                <w:sz w:val="21"/>
                <w:szCs w:val="21"/>
              </w:rPr>
            </w:pPr>
            <w:r>
              <w:rPr>
                <w:rFonts w:hint="eastAsia"/>
                <w:b/>
                <w:bCs/>
                <w:sz w:val="21"/>
                <w:szCs w:val="21"/>
              </w:rPr>
              <w:t>表 5-1</w:t>
            </w:r>
            <w:r>
              <w:rPr>
                <w:rFonts w:hint="eastAsia"/>
                <w:b/>
                <w:bCs/>
                <w:sz w:val="21"/>
                <w:szCs w:val="21"/>
              </w:rPr>
              <w:tab/>
            </w:r>
            <w:r>
              <w:rPr>
                <w:rFonts w:hint="eastAsia"/>
                <w:b/>
                <w:bCs/>
                <w:sz w:val="21"/>
                <w:szCs w:val="21"/>
              </w:rPr>
              <w:t>施工期主要设备噪声源强一览表</w:t>
            </w:r>
            <w:r>
              <w:rPr>
                <w:rFonts w:hint="eastAsia"/>
                <w:b/>
                <w:bCs/>
                <w:sz w:val="21"/>
                <w:szCs w:val="21"/>
              </w:rPr>
              <w:tab/>
            </w:r>
            <w:r>
              <w:rPr>
                <w:rFonts w:hint="eastAsia"/>
                <w:b/>
                <w:bCs/>
                <w:sz w:val="21"/>
                <w:szCs w:val="21"/>
              </w:rPr>
              <w:t>单位：dB（A）</w:t>
            </w:r>
          </w:p>
          <w:tbl>
            <w:tblPr>
              <w:tblStyle w:val="44"/>
              <w:tblW w:w="0" w:type="auto"/>
              <w:tblInd w:w="0" w:type="dxa"/>
              <w:tblLayout w:type="autofit"/>
              <w:tblCellMar>
                <w:top w:w="0" w:type="dxa"/>
                <w:left w:w="0" w:type="dxa"/>
                <w:bottom w:w="0" w:type="dxa"/>
                <w:right w:w="0" w:type="dxa"/>
              </w:tblCellMar>
            </w:tblPr>
            <w:tblGrid>
              <w:gridCol w:w="2592"/>
              <w:gridCol w:w="3737"/>
              <w:gridCol w:w="2530"/>
            </w:tblGrid>
            <w:tr>
              <w:tblPrEx>
                <w:tblCellMar>
                  <w:top w:w="0" w:type="dxa"/>
                  <w:left w:w="0" w:type="dxa"/>
                  <w:bottom w:w="0" w:type="dxa"/>
                  <w:right w:w="0" w:type="dxa"/>
                </w:tblCellMar>
              </w:tblPrEx>
              <w:trPr>
                <w:trHeight w:val="360" w:hRule="exact"/>
              </w:trPr>
              <w:tc>
                <w:tcPr>
                  <w:tcW w:w="2592" w:type="dxa"/>
                  <w:tcBorders>
                    <w:top w:val="single" w:color="000000" w:sz="8" w:space="0"/>
                    <w:left w:val="nil"/>
                    <w:bottom w:val="single" w:color="000000" w:sz="8" w:space="0"/>
                    <w:right w:val="single" w:color="000000" w:sz="8" w:space="0"/>
                  </w:tcBorders>
                </w:tcPr>
                <w:p>
                  <w:pPr>
                    <w:pStyle w:val="106"/>
                    <w:ind w:left="883"/>
                    <w:jc w:val="left"/>
                    <w:rPr>
                      <w:sz w:val="21"/>
                      <w:szCs w:val="21"/>
                    </w:rPr>
                  </w:pPr>
                  <w:r>
                    <w:rPr>
                      <w:sz w:val="21"/>
                      <w:szCs w:val="21"/>
                    </w:rPr>
                    <w:t>产生阶段</w:t>
                  </w:r>
                </w:p>
              </w:tc>
              <w:tc>
                <w:tcPr>
                  <w:tcW w:w="3737" w:type="dxa"/>
                  <w:tcBorders>
                    <w:top w:val="single" w:color="000000" w:sz="8" w:space="0"/>
                    <w:left w:val="single" w:color="000000" w:sz="8" w:space="0"/>
                    <w:bottom w:val="single" w:color="000000" w:sz="8" w:space="0"/>
                    <w:right w:val="single" w:color="000000" w:sz="8" w:space="0"/>
                  </w:tcBorders>
                </w:tcPr>
                <w:p>
                  <w:pPr>
                    <w:pStyle w:val="106"/>
                    <w:rPr>
                      <w:sz w:val="21"/>
                      <w:szCs w:val="21"/>
                    </w:rPr>
                  </w:pPr>
                  <w:r>
                    <w:rPr>
                      <w:sz w:val="21"/>
                      <w:szCs w:val="21"/>
                    </w:rPr>
                    <w:t>机械</w:t>
                  </w:r>
                </w:p>
              </w:tc>
              <w:tc>
                <w:tcPr>
                  <w:tcW w:w="2530" w:type="dxa"/>
                  <w:tcBorders>
                    <w:top w:val="single" w:color="000000" w:sz="8" w:space="0"/>
                    <w:left w:val="single" w:color="000000" w:sz="8" w:space="0"/>
                    <w:bottom w:val="single" w:color="000000" w:sz="8" w:space="0"/>
                    <w:right w:val="nil"/>
                  </w:tcBorders>
                </w:tcPr>
                <w:p>
                  <w:pPr>
                    <w:pStyle w:val="106"/>
                    <w:ind w:right="11"/>
                    <w:rPr>
                      <w:sz w:val="21"/>
                      <w:szCs w:val="21"/>
                    </w:rPr>
                  </w:pPr>
                  <w:r>
                    <w:rPr>
                      <w:sz w:val="21"/>
                      <w:szCs w:val="21"/>
                    </w:rPr>
                    <w:t>声源</w:t>
                  </w:r>
                </w:p>
              </w:tc>
            </w:tr>
            <w:tr>
              <w:tblPrEx>
                <w:tblCellMar>
                  <w:top w:w="0" w:type="dxa"/>
                  <w:left w:w="0" w:type="dxa"/>
                  <w:bottom w:w="0" w:type="dxa"/>
                  <w:right w:w="0" w:type="dxa"/>
                </w:tblCellMar>
              </w:tblPrEx>
              <w:trPr>
                <w:trHeight w:val="360" w:hRule="exact"/>
              </w:trPr>
              <w:tc>
                <w:tcPr>
                  <w:tcW w:w="2592" w:type="dxa"/>
                  <w:tcBorders>
                    <w:top w:val="single" w:color="000000" w:sz="8" w:space="0"/>
                    <w:left w:val="nil"/>
                    <w:bottom w:val="single" w:color="000000" w:sz="8" w:space="0"/>
                    <w:right w:val="single" w:color="000000" w:sz="8" w:space="0"/>
                  </w:tcBorders>
                </w:tcPr>
                <w:p>
                  <w:pPr>
                    <w:pStyle w:val="106"/>
                    <w:ind w:left="673"/>
                    <w:jc w:val="left"/>
                    <w:rPr>
                      <w:sz w:val="21"/>
                      <w:szCs w:val="21"/>
                    </w:rPr>
                  </w:pPr>
                  <w:r>
                    <w:rPr>
                      <w:sz w:val="21"/>
                      <w:szCs w:val="21"/>
                    </w:rPr>
                    <w:t>管道施工阶段</w:t>
                  </w:r>
                </w:p>
              </w:tc>
              <w:tc>
                <w:tcPr>
                  <w:tcW w:w="3737" w:type="dxa"/>
                  <w:tcBorders>
                    <w:top w:val="single" w:color="000000" w:sz="8" w:space="0"/>
                    <w:left w:val="single" w:color="000000" w:sz="8" w:space="0"/>
                    <w:bottom w:val="single" w:color="000000" w:sz="8" w:space="0"/>
                    <w:right w:val="single" w:color="000000" w:sz="8" w:space="0"/>
                  </w:tcBorders>
                </w:tcPr>
                <w:p>
                  <w:pPr>
                    <w:pStyle w:val="106"/>
                    <w:ind w:left="911"/>
                    <w:jc w:val="left"/>
                    <w:rPr>
                      <w:sz w:val="21"/>
                      <w:szCs w:val="21"/>
                    </w:rPr>
                  </w:pPr>
                  <w:r>
                    <w:rPr>
                      <w:sz w:val="21"/>
                      <w:szCs w:val="21"/>
                    </w:rPr>
                    <w:t>挖掘机、载重车辆等</w:t>
                  </w:r>
                </w:p>
              </w:tc>
              <w:tc>
                <w:tcPr>
                  <w:tcW w:w="2530" w:type="dxa"/>
                  <w:tcBorders>
                    <w:top w:val="single" w:color="000000" w:sz="8" w:space="0"/>
                    <w:left w:val="single" w:color="000000" w:sz="8" w:space="0"/>
                    <w:bottom w:val="single" w:color="000000" w:sz="8" w:space="0"/>
                    <w:right w:val="nil"/>
                  </w:tcBorders>
                </w:tcPr>
                <w:p>
                  <w:pPr>
                    <w:pStyle w:val="106"/>
                    <w:ind w:right="11"/>
                    <w:rPr>
                      <w:rFonts w:ascii="Times New Roman" w:hAnsi="Times New Roman" w:eastAsia="Times New Roman" w:cs="Times New Roman"/>
                      <w:sz w:val="21"/>
                      <w:szCs w:val="21"/>
                    </w:rPr>
                  </w:pPr>
                  <w:r>
                    <w:rPr>
                      <w:rFonts w:ascii="Times New Roman" w:hAnsi="Times New Roman" w:eastAsia="Times New Roman" w:cs="Times New Roman"/>
                      <w:sz w:val="21"/>
                      <w:szCs w:val="21"/>
                    </w:rPr>
                    <w:t>78</w:t>
                  </w:r>
                  <w:r>
                    <w:rPr>
                      <w:spacing w:val="-2"/>
                      <w:sz w:val="21"/>
                      <w:szCs w:val="21"/>
                    </w:rPr>
                    <w:t>～</w:t>
                  </w:r>
                  <w:r>
                    <w:rPr>
                      <w:rFonts w:ascii="Times New Roman" w:hAnsi="Times New Roman" w:eastAsia="Times New Roman" w:cs="Times New Roman"/>
                      <w:sz w:val="21"/>
                      <w:szCs w:val="21"/>
                    </w:rPr>
                    <w:t>90</w:t>
                  </w:r>
                </w:p>
              </w:tc>
            </w:tr>
            <w:tr>
              <w:tblPrEx>
                <w:tblCellMar>
                  <w:top w:w="0" w:type="dxa"/>
                  <w:left w:w="0" w:type="dxa"/>
                  <w:bottom w:w="0" w:type="dxa"/>
                  <w:right w:w="0" w:type="dxa"/>
                </w:tblCellMar>
              </w:tblPrEx>
              <w:trPr>
                <w:trHeight w:val="360" w:hRule="exact"/>
              </w:trPr>
              <w:tc>
                <w:tcPr>
                  <w:tcW w:w="2592" w:type="dxa"/>
                  <w:tcBorders>
                    <w:top w:val="single" w:color="000000" w:sz="8" w:space="0"/>
                    <w:left w:val="nil"/>
                    <w:bottom w:val="single" w:color="000000" w:sz="8" w:space="0"/>
                    <w:right w:val="single" w:color="000000" w:sz="8" w:space="0"/>
                  </w:tcBorders>
                </w:tcPr>
                <w:p>
                  <w:pPr>
                    <w:pStyle w:val="106"/>
                    <w:ind w:left="673"/>
                    <w:jc w:val="left"/>
                    <w:rPr>
                      <w:sz w:val="21"/>
                      <w:szCs w:val="21"/>
                    </w:rPr>
                  </w:pPr>
                  <w:r>
                    <w:rPr>
                      <w:sz w:val="21"/>
                      <w:szCs w:val="21"/>
                    </w:rPr>
                    <w:t>基础施工阶段</w:t>
                  </w:r>
                </w:p>
              </w:tc>
              <w:tc>
                <w:tcPr>
                  <w:tcW w:w="3737" w:type="dxa"/>
                  <w:tcBorders>
                    <w:top w:val="single" w:color="000000" w:sz="8" w:space="0"/>
                    <w:left w:val="single" w:color="000000" w:sz="8" w:space="0"/>
                    <w:bottom w:val="single" w:color="000000" w:sz="8" w:space="0"/>
                    <w:right w:val="single" w:color="000000" w:sz="8" w:space="0"/>
                  </w:tcBorders>
                </w:tcPr>
                <w:p>
                  <w:pPr>
                    <w:pStyle w:val="106"/>
                    <w:ind w:left="1017"/>
                    <w:jc w:val="left"/>
                    <w:rPr>
                      <w:sz w:val="21"/>
                      <w:szCs w:val="21"/>
                    </w:rPr>
                  </w:pPr>
                  <w:r>
                    <w:rPr>
                      <w:sz w:val="21"/>
                      <w:szCs w:val="21"/>
                    </w:rPr>
                    <w:t>钻机、载重汽车等</w:t>
                  </w:r>
                </w:p>
              </w:tc>
              <w:tc>
                <w:tcPr>
                  <w:tcW w:w="2530" w:type="dxa"/>
                  <w:tcBorders>
                    <w:top w:val="single" w:color="000000" w:sz="8" w:space="0"/>
                    <w:left w:val="single" w:color="000000" w:sz="8" w:space="0"/>
                    <w:bottom w:val="single" w:color="000000" w:sz="8" w:space="0"/>
                    <w:right w:val="nil"/>
                  </w:tcBorders>
                </w:tcPr>
                <w:p>
                  <w:pPr>
                    <w:pStyle w:val="106"/>
                    <w:ind w:right="10"/>
                    <w:rPr>
                      <w:rFonts w:ascii="Times New Roman" w:hAnsi="Times New Roman" w:eastAsia="Times New Roman" w:cs="Times New Roman"/>
                      <w:sz w:val="21"/>
                      <w:szCs w:val="21"/>
                    </w:rPr>
                  </w:pPr>
                  <w:r>
                    <w:rPr>
                      <w:rFonts w:ascii="Times New Roman" w:hAnsi="Times New Roman" w:eastAsia="Times New Roman" w:cs="Times New Roman"/>
                      <w:sz w:val="21"/>
                      <w:szCs w:val="21"/>
                    </w:rPr>
                    <w:t>75</w:t>
                  </w:r>
                  <w:r>
                    <w:rPr>
                      <w:spacing w:val="-2"/>
                      <w:sz w:val="21"/>
                      <w:szCs w:val="21"/>
                    </w:rPr>
                    <w:t>～</w:t>
                  </w:r>
                  <w:r>
                    <w:rPr>
                      <w:rFonts w:ascii="Times New Roman" w:hAnsi="Times New Roman" w:eastAsia="Times New Roman" w:cs="Times New Roman"/>
                      <w:sz w:val="21"/>
                      <w:szCs w:val="21"/>
                    </w:rPr>
                    <w:t>1</w:t>
                  </w:r>
                  <w:r>
                    <w:rPr>
                      <w:rFonts w:ascii="Times New Roman" w:hAnsi="Times New Roman" w:eastAsia="Times New Roman" w:cs="Times New Roman"/>
                      <w:spacing w:val="-1"/>
                      <w:sz w:val="21"/>
                      <w:szCs w:val="21"/>
                    </w:rPr>
                    <w:t>00</w:t>
                  </w:r>
                </w:p>
              </w:tc>
            </w:tr>
            <w:tr>
              <w:tblPrEx>
                <w:tblCellMar>
                  <w:top w:w="0" w:type="dxa"/>
                  <w:left w:w="0" w:type="dxa"/>
                  <w:bottom w:w="0" w:type="dxa"/>
                  <w:right w:w="0" w:type="dxa"/>
                </w:tblCellMar>
              </w:tblPrEx>
              <w:trPr>
                <w:trHeight w:val="360" w:hRule="exact"/>
              </w:trPr>
              <w:tc>
                <w:tcPr>
                  <w:tcW w:w="2592" w:type="dxa"/>
                  <w:tcBorders>
                    <w:top w:val="single" w:color="000000" w:sz="8" w:space="0"/>
                    <w:left w:val="nil"/>
                    <w:bottom w:val="single" w:color="000000" w:sz="8" w:space="0"/>
                    <w:right w:val="single" w:color="000000" w:sz="8" w:space="0"/>
                  </w:tcBorders>
                </w:tcPr>
                <w:p>
                  <w:pPr>
                    <w:pStyle w:val="106"/>
                    <w:ind w:left="673"/>
                    <w:jc w:val="left"/>
                    <w:rPr>
                      <w:sz w:val="21"/>
                      <w:szCs w:val="21"/>
                    </w:rPr>
                  </w:pPr>
                  <w:r>
                    <w:rPr>
                      <w:sz w:val="21"/>
                      <w:szCs w:val="21"/>
                    </w:rPr>
                    <w:t>结构施工阶段</w:t>
                  </w:r>
                </w:p>
              </w:tc>
              <w:tc>
                <w:tcPr>
                  <w:tcW w:w="3737" w:type="dxa"/>
                  <w:tcBorders>
                    <w:top w:val="single" w:color="000000" w:sz="8" w:space="0"/>
                    <w:left w:val="single" w:color="000000" w:sz="8" w:space="0"/>
                    <w:bottom w:val="single" w:color="000000" w:sz="8" w:space="0"/>
                    <w:right w:val="single" w:color="000000" w:sz="8" w:space="0"/>
                  </w:tcBorders>
                </w:tcPr>
                <w:p>
                  <w:pPr>
                    <w:pStyle w:val="106"/>
                    <w:ind w:right="1"/>
                    <w:rPr>
                      <w:sz w:val="21"/>
                      <w:szCs w:val="21"/>
                    </w:rPr>
                  </w:pPr>
                  <w:r>
                    <w:rPr>
                      <w:sz w:val="21"/>
                      <w:szCs w:val="21"/>
                    </w:rPr>
                    <w:t>柴油发电机</w:t>
                  </w:r>
                </w:p>
              </w:tc>
              <w:tc>
                <w:tcPr>
                  <w:tcW w:w="2530" w:type="dxa"/>
                  <w:tcBorders>
                    <w:top w:val="single" w:color="000000" w:sz="8" w:space="0"/>
                    <w:left w:val="single" w:color="000000" w:sz="8" w:space="0"/>
                    <w:bottom w:val="single" w:color="000000" w:sz="8" w:space="0"/>
                    <w:right w:val="nil"/>
                  </w:tcBorders>
                </w:tcPr>
                <w:p>
                  <w:pPr>
                    <w:pStyle w:val="106"/>
                    <w:ind w:right="10"/>
                    <w:rPr>
                      <w:rFonts w:ascii="Times New Roman" w:hAnsi="Times New Roman" w:eastAsia="Times New Roman" w:cs="Times New Roman"/>
                      <w:sz w:val="21"/>
                      <w:szCs w:val="21"/>
                    </w:rPr>
                  </w:pPr>
                  <w:r>
                    <w:rPr>
                      <w:rFonts w:ascii="Times New Roman" w:hAnsi="Times New Roman" w:eastAsia="Times New Roman" w:cs="Times New Roman"/>
                      <w:sz w:val="21"/>
                      <w:szCs w:val="21"/>
                    </w:rPr>
                    <w:t>75</w:t>
                  </w:r>
                  <w:r>
                    <w:rPr>
                      <w:spacing w:val="-2"/>
                      <w:sz w:val="21"/>
                      <w:szCs w:val="21"/>
                    </w:rPr>
                    <w:t>～</w:t>
                  </w:r>
                  <w:r>
                    <w:rPr>
                      <w:rFonts w:ascii="Times New Roman" w:hAnsi="Times New Roman" w:eastAsia="Times New Roman" w:cs="Times New Roman"/>
                      <w:sz w:val="21"/>
                      <w:szCs w:val="21"/>
                    </w:rPr>
                    <w:t>1</w:t>
                  </w:r>
                  <w:r>
                    <w:rPr>
                      <w:rFonts w:ascii="Times New Roman" w:hAnsi="Times New Roman" w:eastAsia="Times New Roman" w:cs="Times New Roman"/>
                      <w:spacing w:val="-1"/>
                      <w:sz w:val="21"/>
                      <w:szCs w:val="21"/>
                    </w:rPr>
                    <w:t>00</w:t>
                  </w:r>
                </w:p>
              </w:tc>
            </w:tr>
            <w:tr>
              <w:tblPrEx>
                <w:tblCellMar>
                  <w:top w:w="0" w:type="dxa"/>
                  <w:left w:w="0" w:type="dxa"/>
                  <w:bottom w:w="0" w:type="dxa"/>
                  <w:right w:w="0" w:type="dxa"/>
                </w:tblCellMar>
              </w:tblPrEx>
              <w:trPr>
                <w:trHeight w:val="360" w:hRule="exact"/>
              </w:trPr>
              <w:tc>
                <w:tcPr>
                  <w:tcW w:w="2592" w:type="dxa"/>
                  <w:tcBorders>
                    <w:top w:val="single" w:color="000000" w:sz="8" w:space="0"/>
                    <w:left w:val="nil"/>
                    <w:bottom w:val="single" w:color="000000" w:sz="8" w:space="0"/>
                    <w:right w:val="single" w:color="000000" w:sz="8" w:space="0"/>
                  </w:tcBorders>
                </w:tcPr>
                <w:p>
                  <w:pPr>
                    <w:pStyle w:val="106"/>
                    <w:ind w:left="673"/>
                    <w:jc w:val="left"/>
                    <w:rPr>
                      <w:sz w:val="21"/>
                      <w:szCs w:val="21"/>
                    </w:rPr>
                  </w:pPr>
                  <w:r>
                    <w:rPr>
                      <w:sz w:val="21"/>
                      <w:szCs w:val="21"/>
                    </w:rPr>
                    <w:t>设备安装阶段</w:t>
                  </w:r>
                </w:p>
              </w:tc>
              <w:tc>
                <w:tcPr>
                  <w:tcW w:w="3737" w:type="dxa"/>
                  <w:tcBorders>
                    <w:top w:val="single" w:color="000000" w:sz="8" w:space="0"/>
                    <w:left w:val="single" w:color="000000" w:sz="8" w:space="0"/>
                    <w:bottom w:val="single" w:color="000000" w:sz="8" w:space="0"/>
                    <w:right w:val="single" w:color="000000" w:sz="8" w:space="0"/>
                  </w:tcBorders>
                </w:tcPr>
                <w:p>
                  <w:pPr>
                    <w:pStyle w:val="106"/>
                    <w:ind w:left="1017"/>
                    <w:jc w:val="left"/>
                    <w:rPr>
                      <w:sz w:val="21"/>
                      <w:szCs w:val="21"/>
                    </w:rPr>
                  </w:pPr>
                  <w:r>
                    <w:rPr>
                      <w:sz w:val="21"/>
                      <w:szCs w:val="21"/>
                    </w:rPr>
                    <w:t>吊车、柴油发电机</w:t>
                  </w:r>
                </w:p>
              </w:tc>
              <w:tc>
                <w:tcPr>
                  <w:tcW w:w="2530" w:type="dxa"/>
                  <w:tcBorders>
                    <w:top w:val="single" w:color="000000" w:sz="8" w:space="0"/>
                    <w:left w:val="single" w:color="000000" w:sz="8" w:space="0"/>
                    <w:bottom w:val="single" w:color="000000" w:sz="8" w:space="0"/>
                    <w:right w:val="nil"/>
                  </w:tcBorders>
                </w:tcPr>
                <w:p>
                  <w:pPr>
                    <w:pStyle w:val="106"/>
                    <w:ind w:right="10"/>
                    <w:rPr>
                      <w:rFonts w:ascii="Times New Roman" w:hAnsi="Times New Roman" w:eastAsia="Times New Roman" w:cs="Times New Roman"/>
                      <w:sz w:val="21"/>
                      <w:szCs w:val="21"/>
                    </w:rPr>
                  </w:pPr>
                  <w:r>
                    <w:rPr>
                      <w:rFonts w:ascii="Times New Roman" w:hAnsi="Times New Roman" w:eastAsia="Times New Roman" w:cs="Times New Roman"/>
                      <w:sz w:val="21"/>
                      <w:szCs w:val="21"/>
                    </w:rPr>
                    <w:t>68</w:t>
                  </w:r>
                  <w:r>
                    <w:rPr>
                      <w:spacing w:val="-2"/>
                      <w:sz w:val="21"/>
                      <w:szCs w:val="21"/>
                    </w:rPr>
                    <w:t>～</w:t>
                  </w:r>
                  <w:r>
                    <w:rPr>
                      <w:rFonts w:ascii="Times New Roman" w:hAnsi="Times New Roman" w:eastAsia="Times New Roman" w:cs="Times New Roman"/>
                      <w:sz w:val="21"/>
                      <w:szCs w:val="21"/>
                    </w:rPr>
                    <w:t>1</w:t>
                  </w:r>
                  <w:r>
                    <w:rPr>
                      <w:rFonts w:ascii="Times New Roman" w:hAnsi="Times New Roman" w:eastAsia="Times New Roman" w:cs="Times New Roman"/>
                      <w:spacing w:val="-1"/>
                      <w:sz w:val="21"/>
                      <w:szCs w:val="21"/>
                    </w:rPr>
                    <w:t>00</w:t>
                  </w:r>
                </w:p>
              </w:tc>
            </w:tr>
            <w:tr>
              <w:tblPrEx>
                <w:tblCellMar>
                  <w:top w:w="0" w:type="dxa"/>
                  <w:left w:w="0" w:type="dxa"/>
                  <w:bottom w:w="0" w:type="dxa"/>
                  <w:right w:w="0" w:type="dxa"/>
                </w:tblCellMar>
              </w:tblPrEx>
              <w:trPr>
                <w:trHeight w:val="361" w:hRule="exact"/>
              </w:trPr>
              <w:tc>
                <w:tcPr>
                  <w:tcW w:w="2592" w:type="dxa"/>
                  <w:tcBorders>
                    <w:top w:val="single" w:color="000000" w:sz="8" w:space="0"/>
                    <w:left w:val="nil"/>
                    <w:bottom w:val="single" w:color="000000" w:sz="8" w:space="0"/>
                    <w:right w:val="single" w:color="000000" w:sz="8" w:space="0"/>
                  </w:tcBorders>
                </w:tcPr>
                <w:p>
                  <w:pPr>
                    <w:pStyle w:val="106"/>
                    <w:ind w:left="673"/>
                    <w:jc w:val="left"/>
                    <w:rPr>
                      <w:sz w:val="21"/>
                      <w:szCs w:val="21"/>
                    </w:rPr>
                  </w:pPr>
                  <w:r>
                    <w:rPr>
                      <w:sz w:val="21"/>
                      <w:szCs w:val="21"/>
                    </w:rPr>
                    <w:t>外墙修饰阶段</w:t>
                  </w:r>
                </w:p>
              </w:tc>
              <w:tc>
                <w:tcPr>
                  <w:tcW w:w="3737" w:type="dxa"/>
                  <w:tcBorders>
                    <w:top w:val="single" w:color="000000" w:sz="8" w:space="0"/>
                    <w:left w:val="single" w:color="000000" w:sz="8" w:space="0"/>
                    <w:bottom w:val="single" w:color="000000" w:sz="8" w:space="0"/>
                    <w:right w:val="single" w:color="000000" w:sz="8" w:space="0"/>
                  </w:tcBorders>
                </w:tcPr>
                <w:p>
                  <w:pPr>
                    <w:pStyle w:val="106"/>
                    <w:ind w:left="807"/>
                    <w:jc w:val="left"/>
                    <w:rPr>
                      <w:sz w:val="21"/>
                      <w:szCs w:val="21"/>
                      <w:lang w:eastAsia="zh-CN"/>
                    </w:rPr>
                  </w:pPr>
                  <w:r>
                    <w:rPr>
                      <w:sz w:val="21"/>
                      <w:szCs w:val="21"/>
                      <w:lang w:eastAsia="zh-CN"/>
                    </w:rPr>
                    <w:t>敲打声、电钻、切割机</w:t>
                  </w:r>
                </w:p>
              </w:tc>
              <w:tc>
                <w:tcPr>
                  <w:tcW w:w="2530" w:type="dxa"/>
                  <w:tcBorders>
                    <w:top w:val="single" w:color="000000" w:sz="8" w:space="0"/>
                    <w:left w:val="single" w:color="000000" w:sz="8" w:space="0"/>
                    <w:bottom w:val="single" w:color="000000" w:sz="8" w:space="0"/>
                    <w:right w:val="nil"/>
                  </w:tcBorders>
                </w:tcPr>
                <w:p>
                  <w:pPr>
                    <w:pStyle w:val="106"/>
                    <w:ind w:right="9"/>
                    <w:rPr>
                      <w:rFonts w:ascii="Times New Roman" w:hAnsi="Times New Roman" w:eastAsia="Times New Roman" w:cs="Times New Roman"/>
                      <w:sz w:val="21"/>
                      <w:szCs w:val="21"/>
                      <w:lang w:eastAsia="zh-CN"/>
                    </w:rPr>
                  </w:pPr>
                  <w:r>
                    <w:rPr>
                      <w:rFonts w:ascii="Times New Roman" w:hAnsi="Times New Roman" w:eastAsia="Times New Roman" w:cs="Times New Roman"/>
                      <w:sz w:val="21"/>
                      <w:szCs w:val="21"/>
                      <w:lang w:eastAsia="zh-CN"/>
                    </w:rPr>
                    <w:t>80</w:t>
                  </w:r>
                  <w:r>
                    <w:rPr>
                      <w:spacing w:val="-2"/>
                      <w:sz w:val="21"/>
                      <w:szCs w:val="21"/>
                      <w:lang w:eastAsia="zh-CN"/>
                    </w:rPr>
                    <w:t>～</w:t>
                  </w:r>
                  <w:r>
                    <w:rPr>
                      <w:rFonts w:ascii="Times New Roman" w:hAnsi="Times New Roman" w:eastAsia="Times New Roman" w:cs="Times New Roman"/>
                      <w:sz w:val="21"/>
                      <w:szCs w:val="21"/>
                      <w:lang w:eastAsia="zh-CN"/>
                    </w:rPr>
                    <w:t>90</w:t>
                  </w:r>
                </w:p>
              </w:tc>
            </w:tr>
          </w:tbl>
          <w:p>
            <w:pPr>
              <w:spacing w:line="360" w:lineRule="auto"/>
              <w:jc w:val="center"/>
              <w:rPr>
                <w:b/>
                <w:bCs/>
                <w:sz w:val="21"/>
                <w:szCs w:val="21"/>
              </w:rPr>
            </w:pPr>
            <w:r>
              <w:rPr>
                <w:rFonts w:hint="eastAsia"/>
                <w:b/>
                <w:bCs/>
                <w:sz w:val="21"/>
                <w:szCs w:val="21"/>
              </w:rPr>
              <w:t>表 5-2</w:t>
            </w:r>
            <w:r>
              <w:rPr>
                <w:rFonts w:hint="eastAsia"/>
                <w:b/>
                <w:bCs/>
                <w:sz w:val="21"/>
                <w:szCs w:val="21"/>
              </w:rPr>
              <w:tab/>
            </w:r>
            <w:r>
              <w:rPr>
                <w:rFonts w:hint="eastAsia"/>
                <w:b/>
                <w:bCs/>
                <w:sz w:val="21"/>
                <w:szCs w:val="21"/>
              </w:rPr>
              <w:t>运输车辆噪声源强一览表</w:t>
            </w:r>
            <w:r>
              <w:rPr>
                <w:rFonts w:hint="eastAsia"/>
                <w:b/>
                <w:bCs/>
                <w:sz w:val="21"/>
                <w:szCs w:val="21"/>
              </w:rPr>
              <w:tab/>
            </w:r>
            <w:r>
              <w:rPr>
                <w:rFonts w:hint="eastAsia"/>
                <w:b/>
                <w:bCs/>
                <w:sz w:val="21"/>
                <w:szCs w:val="21"/>
              </w:rPr>
              <w:t>单位：dB（A）</w:t>
            </w:r>
          </w:p>
          <w:tbl>
            <w:tblPr>
              <w:tblStyle w:val="4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28"/>
              <w:gridCol w:w="44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8" w:type="dxa"/>
                </w:tcPr>
                <w:p>
                  <w:pPr>
                    <w:spacing w:line="360" w:lineRule="auto"/>
                    <w:rPr>
                      <w:b/>
                      <w:bCs/>
                      <w:sz w:val="28"/>
                      <w:szCs w:val="28"/>
                    </w:rPr>
                  </w:pPr>
                  <w:r>
                    <w:rPr>
                      <w:rFonts w:ascii="宋体" w:hAnsi="宋体" w:cs="宋体"/>
                      <w:sz w:val="21"/>
                      <w:szCs w:val="21"/>
                    </w:rPr>
                    <w:t>车辆类型</w:t>
                  </w:r>
                </w:p>
              </w:tc>
              <w:tc>
                <w:tcPr>
                  <w:tcW w:w="4428" w:type="dxa"/>
                </w:tcPr>
                <w:p>
                  <w:pPr>
                    <w:spacing w:line="360" w:lineRule="auto"/>
                    <w:rPr>
                      <w:b/>
                      <w:bCs/>
                      <w:sz w:val="28"/>
                      <w:szCs w:val="28"/>
                    </w:rPr>
                  </w:pPr>
                  <w:r>
                    <w:rPr>
                      <w:rFonts w:ascii="宋体" w:hAnsi="宋体" w:cs="宋体"/>
                      <w:sz w:val="21"/>
                      <w:szCs w:val="21"/>
                    </w:rPr>
                    <w:t>噪声值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8" w:type="dxa"/>
                </w:tcPr>
                <w:p>
                  <w:pPr>
                    <w:spacing w:line="360" w:lineRule="auto"/>
                    <w:rPr>
                      <w:b/>
                      <w:bCs/>
                      <w:sz w:val="28"/>
                      <w:szCs w:val="28"/>
                    </w:rPr>
                  </w:pPr>
                  <w:r>
                    <w:rPr>
                      <w:rFonts w:ascii="宋体" w:hAnsi="宋体" w:cs="宋体"/>
                      <w:sz w:val="21"/>
                      <w:szCs w:val="21"/>
                    </w:rPr>
                    <w:t>混凝土罐车、载重车</w:t>
                  </w:r>
                </w:p>
              </w:tc>
              <w:tc>
                <w:tcPr>
                  <w:tcW w:w="4428" w:type="dxa"/>
                </w:tcPr>
                <w:p>
                  <w:pPr>
                    <w:spacing w:line="360" w:lineRule="auto"/>
                    <w:rPr>
                      <w:b/>
                      <w:bCs/>
                      <w:sz w:val="28"/>
                      <w:szCs w:val="28"/>
                    </w:rPr>
                  </w:pPr>
                  <w:r>
                    <w:rPr>
                      <w:rFonts w:eastAsia="Times New Roman"/>
                      <w:sz w:val="21"/>
                      <w:szCs w:val="21"/>
                    </w:rPr>
                    <w:t>80</w:t>
                  </w:r>
                  <w:r>
                    <w:rPr>
                      <w:rFonts w:ascii="宋体" w:hAnsi="宋体" w:cs="宋体"/>
                      <w:sz w:val="21"/>
                      <w:szCs w:val="21"/>
                    </w:rPr>
                    <w:t>～</w:t>
                  </w:r>
                  <w:r>
                    <w:rPr>
                      <w:rFonts w:eastAsia="Times New Roman"/>
                      <w:sz w:val="21"/>
                      <w:szCs w:val="21"/>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8" w:type="dxa"/>
                </w:tcPr>
                <w:p>
                  <w:pPr>
                    <w:spacing w:line="360" w:lineRule="auto"/>
                    <w:rPr>
                      <w:b/>
                      <w:bCs/>
                      <w:sz w:val="28"/>
                      <w:szCs w:val="28"/>
                    </w:rPr>
                  </w:pPr>
                  <w:r>
                    <w:rPr>
                      <w:rFonts w:ascii="宋体" w:hAnsi="宋体" w:cs="宋体"/>
                      <w:sz w:val="21"/>
                      <w:szCs w:val="21"/>
                    </w:rPr>
                    <w:t>轻型载卡车</w:t>
                  </w:r>
                </w:p>
              </w:tc>
              <w:tc>
                <w:tcPr>
                  <w:tcW w:w="4428" w:type="dxa"/>
                </w:tcPr>
                <w:p>
                  <w:pPr>
                    <w:spacing w:line="360" w:lineRule="auto"/>
                    <w:rPr>
                      <w:b/>
                      <w:bCs/>
                      <w:sz w:val="28"/>
                      <w:szCs w:val="28"/>
                    </w:rPr>
                  </w:pPr>
                  <w:r>
                    <w:rPr>
                      <w:sz w:val="21"/>
                    </w:rPr>
                    <w:t>75</w:t>
                  </w:r>
                </w:p>
              </w:tc>
            </w:tr>
          </w:tbl>
          <w:p>
            <w:pPr>
              <w:spacing w:line="360" w:lineRule="auto"/>
              <w:rPr>
                <w:rFonts w:hAnsi="宋体"/>
              </w:rPr>
            </w:pPr>
          </w:p>
          <w:p>
            <w:pPr>
              <w:spacing w:line="360" w:lineRule="auto"/>
              <w:ind w:firstLine="480" w:firstLineChars="200"/>
              <w:rPr>
                <w:rFonts w:hAnsi="宋体"/>
              </w:rPr>
            </w:pPr>
            <w:r>
              <w:rPr>
                <w:rFonts w:hint="eastAsia" w:hAnsi="宋体"/>
              </w:rPr>
              <w:t>防治措施：</w:t>
            </w:r>
          </w:p>
          <w:p>
            <w:pPr>
              <w:spacing w:line="360" w:lineRule="auto"/>
              <w:ind w:firstLine="480" w:firstLineChars="200"/>
              <w:rPr>
                <w:rFonts w:hAnsi="宋体"/>
              </w:rPr>
            </w:pPr>
            <w:r>
              <w:rPr>
                <w:rFonts w:hint="eastAsia" w:hAnsi="宋体"/>
              </w:rPr>
              <w:t>（1）尽量采用低噪声机械设备，项目施工所用的施工机械设备应事先对其进行常 规工作状态下的噪声测量，超过国家标准的机械设备禁止其入场施工，施工过程中应 经常对设备进行维修保养，避免由于机械性能差而产生严重噪声污染的情况发生。</w:t>
            </w:r>
          </w:p>
          <w:p>
            <w:pPr>
              <w:spacing w:line="360" w:lineRule="auto"/>
              <w:ind w:firstLine="480" w:firstLineChars="200"/>
              <w:rPr>
                <w:rFonts w:hAnsi="宋体"/>
              </w:rPr>
            </w:pPr>
            <w:r>
              <w:rPr>
                <w:rFonts w:hint="eastAsia" w:hAnsi="宋体"/>
              </w:rPr>
              <w:t>（2）工程施工前应公开张贴告示，告知工程名称、工程内容、投诉电话、施工作 业方式、施工时间、拟采取的降噪措施及声环境影响的大致程度和范围。</w:t>
            </w:r>
          </w:p>
          <w:p>
            <w:pPr>
              <w:spacing w:line="360" w:lineRule="auto"/>
              <w:ind w:firstLine="480" w:firstLineChars="200"/>
              <w:rPr>
                <w:rFonts w:hAnsi="宋体"/>
              </w:rPr>
            </w:pPr>
            <w:r>
              <w:rPr>
                <w:rFonts w:hint="eastAsia" w:hAnsi="宋体"/>
              </w:rPr>
              <w:t>（3）应合理安排施工物料的运输时间，在途径沿线的居民敏感点路段时，减速慢 行、禁止鸣笛。加强施工期施工人员的环保宣传教育，从根本上培养施工人员环保理 念，从而杜绝野蛮施工，粗放施工；</w:t>
            </w:r>
          </w:p>
          <w:p>
            <w:pPr>
              <w:spacing w:line="360" w:lineRule="auto"/>
              <w:ind w:firstLine="480" w:firstLineChars="200"/>
              <w:rPr>
                <w:rFonts w:hAnsi="宋体"/>
              </w:rPr>
            </w:pPr>
            <w:r>
              <w:rPr>
                <w:rFonts w:hint="eastAsia" w:hAnsi="宋体"/>
              </w:rPr>
              <w:t>（4）施工现场应打围施工，施工总平面布置时，尽可能将高噪声源安排在远离项 目周围较远的声环境敏感点处；</w:t>
            </w:r>
          </w:p>
          <w:p>
            <w:pPr>
              <w:spacing w:line="360" w:lineRule="auto"/>
              <w:ind w:firstLine="480" w:firstLineChars="200"/>
              <w:rPr>
                <w:rFonts w:hAnsi="宋体"/>
              </w:rPr>
            </w:pPr>
            <w:r>
              <w:rPr>
                <w:rFonts w:hint="eastAsia" w:hAnsi="宋体"/>
              </w:rPr>
              <w:t>（5）施工期间经敏感点处夜间 22 时至凌晨 6 时应禁止施工，如有特殊情况必须 施工，须征得有关部门同意，并告知周围居民；</w:t>
            </w:r>
          </w:p>
          <w:p>
            <w:pPr>
              <w:spacing w:line="360" w:lineRule="auto"/>
              <w:ind w:firstLine="480" w:firstLineChars="200"/>
              <w:rPr>
                <w:rFonts w:hAnsi="宋体"/>
              </w:rPr>
            </w:pPr>
            <w:r>
              <w:rPr>
                <w:rFonts w:hint="eastAsia" w:hAnsi="宋体"/>
              </w:rPr>
              <w:t>（6）加强对各路段的施工管理，合理制定施工计划，监理单位应做好施工期噪声 监理工作，对施工现场以及附近的居民集中点进行定期监测；</w:t>
            </w:r>
          </w:p>
          <w:p>
            <w:pPr>
              <w:spacing w:line="360" w:lineRule="auto"/>
              <w:ind w:firstLine="480" w:firstLineChars="200"/>
              <w:rPr>
                <w:rFonts w:hAnsi="宋体"/>
              </w:rPr>
            </w:pPr>
            <w:r>
              <w:rPr>
                <w:rFonts w:hint="eastAsia" w:hAnsi="宋体"/>
              </w:rPr>
              <w:t>（7）施工期应协调好施工车辆通行的时间，施工方与交管部门应加强沟通、协调 工作，避免交通堵塞，夜间运输要采取减速缓行、禁止鸣笛等措施；</w:t>
            </w:r>
          </w:p>
          <w:p>
            <w:pPr>
              <w:spacing w:line="360" w:lineRule="auto"/>
              <w:ind w:firstLine="480" w:firstLineChars="200"/>
              <w:rPr>
                <w:rFonts w:hAnsi="宋体"/>
              </w:rPr>
            </w:pPr>
            <w:r>
              <w:rPr>
                <w:rFonts w:hint="eastAsia" w:hAnsi="宋体"/>
              </w:rPr>
              <w:t>（8）临时施工场地和临时堆土场加强机械设备和运输车辆管理，临时施工场地应 设置简易声屏障打围作业。</w:t>
            </w:r>
          </w:p>
          <w:p>
            <w:pPr>
              <w:spacing w:line="360" w:lineRule="auto"/>
              <w:ind w:firstLine="480" w:firstLineChars="200"/>
              <w:rPr>
                <w:rFonts w:hAnsi="宋体"/>
              </w:rPr>
            </w:pPr>
            <w:r>
              <w:rPr>
                <w:rFonts w:hint="eastAsia" w:hAnsi="宋体"/>
              </w:rPr>
              <w:t>施工单位严格采取相关噪声防治措施，按照施工规范文明施工，加强管理，确保 施工期间场界噪声满足《建筑施工场界环境噪声排放标准》（GB12523-2011）中的相 关要求。</w:t>
            </w:r>
          </w:p>
          <w:p>
            <w:pPr>
              <w:spacing w:line="360" w:lineRule="auto"/>
              <w:ind w:firstLine="482" w:firstLineChars="200"/>
              <w:rPr>
                <w:rFonts w:hAnsi="宋体"/>
                <w:b/>
              </w:rPr>
            </w:pPr>
            <w:r>
              <w:rPr>
                <w:rFonts w:hint="eastAsia" w:hAnsi="宋体"/>
                <w:b/>
              </w:rPr>
              <w:t>2</w:t>
            </w:r>
            <w:r>
              <w:rPr>
                <w:rFonts w:hAnsi="宋体"/>
                <w:b/>
              </w:rPr>
              <w:t>.4</w:t>
            </w:r>
            <w:r>
              <w:rPr>
                <w:rFonts w:hint="eastAsia" w:hAnsi="宋体"/>
                <w:b/>
              </w:rPr>
              <w:t xml:space="preserve"> 固体废弃物 </w:t>
            </w:r>
          </w:p>
          <w:p>
            <w:pPr>
              <w:spacing w:line="360" w:lineRule="auto"/>
              <w:ind w:firstLine="480" w:firstLineChars="200"/>
              <w:rPr>
                <w:rFonts w:hAnsi="宋体"/>
              </w:rPr>
            </w:pPr>
            <w:r>
              <w:rPr>
                <w:rFonts w:hint="eastAsia" w:hAnsi="宋体"/>
              </w:rPr>
              <w:t>施工期间产生的废物包括施工现场的土石方、表土。</w:t>
            </w:r>
          </w:p>
          <w:p>
            <w:pPr>
              <w:spacing w:line="360" w:lineRule="auto"/>
              <w:ind w:firstLine="480" w:firstLineChars="200"/>
              <w:rPr>
                <w:rFonts w:hAnsi="宋体"/>
              </w:rPr>
            </w:pPr>
            <w:r>
              <w:rPr>
                <w:rFonts w:hint="eastAsia" w:hAnsi="宋体"/>
              </w:rPr>
              <w:t>（1）土石方</w:t>
            </w:r>
          </w:p>
          <w:p>
            <w:pPr>
              <w:spacing w:line="360" w:lineRule="auto"/>
              <w:ind w:firstLine="480" w:firstLineChars="200"/>
              <w:rPr>
                <w:rFonts w:hAnsi="宋体"/>
              </w:rPr>
            </w:pPr>
            <w:r>
              <w:rPr>
                <w:rFonts w:hint="eastAsia" w:hAnsi="宋体"/>
              </w:rPr>
              <w:t xml:space="preserve">本项目共挖方 </w:t>
            </w:r>
            <w:r>
              <w:rPr>
                <w:rFonts w:hAnsi="宋体"/>
              </w:rPr>
              <w:t>6</w:t>
            </w:r>
            <w:r>
              <w:rPr>
                <w:rFonts w:hint="eastAsia" w:hAnsi="宋体"/>
                <w:lang w:val="en-US" w:eastAsia="zh-CN"/>
              </w:rPr>
              <w:t>384</w:t>
            </w:r>
            <w:r>
              <w:rPr>
                <w:rFonts w:hint="eastAsia" w:hAnsi="宋体"/>
              </w:rPr>
              <w:t>m</w:t>
            </w:r>
            <w:r>
              <w:rPr>
                <w:rFonts w:hint="eastAsia" w:hAnsi="宋体"/>
                <w:vertAlign w:val="superscript"/>
              </w:rPr>
              <w:t>3</w:t>
            </w:r>
            <w:r>
              <w:rPr>
                <w:rFonts w:hint="eastAsia" w:hAnsi="宋体"/>
              </w:rPr>
              <w:t>，填方</w:t>
            </w:r>
            <w:r>
              <w:rPr>
                <w:rFonts w:hint="eastAsia" w:hAnsi="宋体"/>
                <w:lang w:val="en-US" w:eastAsia="zh-CN"/>
              </w:rPr>
              <w:t>6384</w:t>
            </w:r>
            <w:r>
              <w:rPr>
                <w:rFonts w:hint="eastAsia" w:hAnsi="宋体"/>
              </w:rPr>
              <w:t xml:space="preserve"> m</w:t>
            </w:r>
            <w:r>
              <w:rPr>
                <w:rFonts w:hint="eastAsia" w:hAnsi="宋体"/>
                <w:vertAlign w:val="superscript"/>
              </w:rPr>
              <w:t>3</w:t>
            </w:r>
            <w:r>
              <w:rPr>
                <w:rFonts w:hint="eastAsia" w:hAnsi="宋体"/>
              </w:rPr>
              <w:t>，全部回填。</w:t>
            </w:r>
          </w:p>
          <w:p>
            <w:pPr>
              <w:spacing w:line="360" w:lineRule="auto"/>
              <w:ind w:firstLine="480" w:firstLineChars="200"/>
              <w:rPr>
                <w:rFonts w:hAnsi="宋体"/>
              </w:rPr>
            </w:pPr>
            <w:r>
              <w:rPr>
                <w:rFonts w:hint="eastAsia" w:hAnsi="宋体"/>
              </w:rPr>
              <w:t>（2）表土</w:t>
            </w:r>
          </w:p>
          <w:p>
            <w:pPr>
              <w:spacing w:line="360" w:lineRule="auto"/>
              <w:ind w:firstLine="480" w:firstLineChars="200"/>
              <w:rPr>
                <w:rFonts w:hAnsi="宋体"/>
              </w:rPr>
            </w:pPr>
            <w:r>
              <w:rPr>
                <w:rFonts w:hint="eastAsia" w:hAnsi="宋体"/>
              </w:rPr>
              <w:t>根据本项目设计资料，经现场勘查永久占地为农业用地，表土层厚度 0.4-0.5m，</w:t>
            </w:r>
          </w:p>
          <w:p>
            <w:pPr>
              <w:spacing w:line="360" w:lineRule="auto"/>
              <w:rPr>
                <w:rFonts w:hint="eastAsia" w:hAnsi="宋体"/>
              </w:rPr>
            </w:pPr>
            <w:r>
              <w:rPr>
                <w:rFonts w:hint="eastAsia" w:hAnsi="宋体"/>
              </w:rPr>
              <w:t xml:space="preserve">表土约 </w:t>
            </w:r>
            <w:r>
              <w:rPr>
                <w:rFonts w:hAnsi="宋体"/>
              </w:rPr>
              <w:t>2080</w:t>
            </w:r>
            <w:r>
              <w:rPr>
                <w:rFonts w:hint="eastAsia" w:hAnsi="宋体"/>
              </w:rPr>
              <w:t>m</w:t>
            </w:r>
            <w:r>
              <w:rPr>
                <w:rFonts w:hint="eastAsia" w:hAnsi="宋体"/>
                <w:vertAlign w:val="superscript"/>
              </w:rPr>
              <w:t>3</w:t>
            </w:r>
            <w:r>
              <w:rPr>
                <w:rFonts w:hint="eastAsia" w:hAnsi="宋体"/>
              </w:rPr>
              <w:t>（自然方），施工前将表土收集集中堆放于项目北侧，用于后期绿化用土。同时要求及时对表土进行覆盖。</w:t>
            </w:r>
          </w:p>
          <w:p>
            <w:pPr>
              <w:spacing w:line="360" w:lineRule="auto"/>
              <w:ind w:firstLine="480" w:firstLineChars="200"/>
              <w:rPr>
                <w:rFonts w:hint="eastAsia" w:ascii="Times New Roman" w:hAnsi="宋体" w:cs="Times New Roman"/>
                <w:highlight w:val="none"/>
                <w:lang w:eastAsia="zh-CN"/>
              </w:rPr>
            </w:pPr>
            <w:r>
              <w:rPr>
                <w:rFonts w:hint="eastAsia" w:ascii="Times New Roman" w:hAnsi="宋体" w:cs="Times New Roman"/>
                <w:highlight w:val="none"/>
                <w:lang w:eastAsia="zh-CN"/>
              </w:rPr>
              <w:t>（</w:t>
            </w:r>
            <w:r>
              <w:rPr>
                <w:rFonts w:hint="eastAsia" w:ascii="Times New Roman" w:hAnsi="宋体" w:cs="Times New Roman"/>
                <w:highlight w:val="none"/>
                <w:lang w:val="en-US" w:eastAsia="zh-CN"/>
              </w:rPr>
              <w:t>3</w:t>
            </w:r>
            <w:r>
              <w:rPr>
                <w:rFonts w:hint="eastAsia" w:ascii="Times New Roman" w:hAnsi="宋体" w:cs="Times New Roman"/>
                <w:highlight w:val="none"/>
                <w:lang w:eastAsia="zh-CN"/>
              </w:rPr>
              <w:t>）废泥浆</w:t>
            </w:r>
          </w:p>
          <w:p>
            <w:pPr>
              <w:spacing w:line="360" w:lineRule="auto"/>
              <w:ind w:firstLine="480" w:firstLineChars="200"/>
              <w:rPr>
                <w:rFonts w:hint="eastAsia" w:ascii="Times New Roman" w:hAnsi="宋体" w:eastAsia="宋体" w:cs="Times New Roman"/>
                <w:highlight w:val="none"/>
                <w:lang w:eastAsia="zh-CN"/>
              </w:rPr>
            </w:pPr>
            <w:r>
              <w:rPr>
                <w:rFonts w:hint="eastAsia" w:ascii="Times New Roman" w:hAnsi="宋体" w:cs="Times New Roman"/>
                <w:highlight w:val="none"/>
              </w:rPr>
              <w:t>泥水平衡顶管施工的主要环境问题是施工需配制泥浆，其主要成分为膨润土，含有少量NaCO</w:t>
            </w:r>
            <w:r>
              <w:rPr>
                <w:rFonts w:hint="eastAsia" w:ascii="Times New Roman" w:hAnsi="宋体" w:cs="Times New Roman"/>
                <w:highlight w:val="none"/>
                <w:vertAlign w:val="subscript"/>
              </w:rPr>
              <w:t>3</w:t>
            </w:r>
            <w:r>
              <w:rPr>
                <w:rFonts w:hint="eastAsia" w:ascii="Times New Roman" w:hAnsi="宋体" w:cs="Times New Roman"/>
                <w:highlight w:val="none"/>
              </w:rPr>
              <w:t>，施工过程中泥浆可重复利用，顶管机头掘进过程中，切削下来的弃土经搅拌装置搅拌后形成泥水，泥水输送到地面泥水分离系统，将渣土、水分离后重新送回泥水仓进行循环利用。施工结束后剩余泥浆</w:t>
            </w:r>
            <w:r>
              <w:rPr>
                <w:rFonts w:hint="eastAsia" w:ascii="Times New Roman" w:hAnsi="宋体" w:cs="Times New Roman"/>
                <w:highlight w:val="none"/>
                <w:lang w:eastAsia="zh-CN"/>
              </w:rPr>
              <w:t>用汽车运送至一般固废处置场。</w:t>
            </w:r>
          </w:p>
          <w:p>
            <w:pPr>
              <w:spacing w:line="360" w:lineRule="auto"/>
              <w:ind w:firstLine="482" w:firstLineChars="200"/>
              <w:rPr>
                <w:rFonts w:hAnsi="宋体"/>
                <w:b/>
              </w:rPr>
            </w:pPr>
            <w:r>
              <w:rPr>
                <w:rFonts w:hint="eastAsia" w:hAnsi="宋体"/>
                <w:b/>
              </w:rPr>
              <w:t>二、营运期</w:t>
            </w:r>
          </w:p>
          <w:p>
            <w:pPr>
              <w:spacing w:line="360" w:lineRule="auto"/>
              <w:ind w:firstLine="482" w:firstLineChars="200"/>
              <w:rPr>
                <w:rFonts w:hAnsi="宋体"/>
                <w:b/>
              </w:rPr>
            </w:pPr>
            <w:r>
              <w:rPr>
                <w:rFonts w:hint="eastAsia" w:hAnsi="宋体"/>
                <w:b/>
              </w:rPr>
              <w:t>2.1 项目生产工艺流程</w:t>
            </w:r>
          </w:p>
          <w:p>
            <w:pPr>
              <w:spacing w:line="360" w:lineRule="auto"/>
              <w:ind w:firstLine="480" w:firstLineChars="200"/>
              <w:rPr>
                <w:rFonts w:hAnsi="宋体"/>
              </w:rPr>
            </w:pPr>
            <w:r>
              <w:rPr>
                <w:rFonts w:hint="eastAsia" w:hAnsi="宋体"/>
              </w:rPr>
              <w:t xml:space="preserve">项目运营期工艺为原水从洪水港取水泵站，新设的两根 </w:t>
            </w:r>
            <w:r>
              <w:rPr>
                <w:rFonts w:hAnsi="宋体"/>
              </w:rPr>
              <w:t>2.2 km</w:t>
            </w:r>
            <w:r>
              <w:rPr>
                <w:rFonts w:hint="eastAsia" w:hAnsi="宋体"/>
              </w:rPr>
              <w:t>，2</w:t>
            </w:r>
            <w:r>
              <w:rPr>
                <w:rFonts w:hAnsi="宋体"/>
              </w:rPr>
              <w:t>.6km</w:t>
            </w:r>
            <w:r>
              <w:rPr>
                <w:rFonts w:hint="eastAsia" w:hAnsi="宋体"/>
              </w:rPr>
              <w:t xml:space="preserve"> DN</w:t>
            </w:r>
            <w:r>
              <w:rPr>
                <w:rFonts w:hAnsi="宋体"/>
              </w:rPr>
              <w:t>5</w:t>
            </w:r>
            <w:r>
              <w:rPr>
                <w:rFonts w:hint="eastAsia" w:hAnsi="宋体"/>
              </w:rPr>
              <w:t>00 球墨铸铁管（许市镇水厂2</w:t>
            </w:r>
            <w:r>
              <w:rPr>
                <w:rFonts w:hAnsi="宋体"/>
              </w:rPr>
              <w:t>.2km</w:t>
            </w:r>
            <w:r>
              <w:rPr>
                <w:rFonts w:hint="eastAsia" w:hAnsi="宋体"/>
              </w:rPr>
              <w:t>，广兴洲镇水厂2</w:t>
            </w:r>
            <w:r>
              <w:rPr>
                <w:rFonts w:hAnsi="宋体"/>
              </w:rPr>
              <w:t>.6km</w:t>
            </w:r>
            <w:r>
              <w:rPr>
                <w:rFonts w:hint="eastAsia" w:hAnsi="宋体"/>
              </w:rPr>
              <w:t>），许市镇水厂新铺设水管沿建设垸西干渠长号居民点农灌渠交汇处接原取水输送管道，广兴洲镇水管新铺设水管沿西干渠到二支渠交汇处接原取水输送管道，经自来水厂对原水处理后输送至各用水户。运营期生产工艺流程如下：</w:t>
            </w:r>
          </w:p>
          <w:p>
            <w:pPr>
              <w:pStyle w:val="6"/>
              <w:spacing w:line="360" w:lineRule="auto"/>
              <w:rPr>
                <w:rFonts w:hAnsi="宋体"/>
                <w:b w:val="0"/>
                <w:bCs w:val="0"/>
                <w:sz w:val="24"/>
                <w:szCs w:val="24"/>
              </w:rPr>
            </w:pPr>
            <w:r>
              <w:pict>
                <v:shape id="_x0000_i1025" o:spt="75" type="#_x0000_t75" style="height:128.1pt;width:452.55pt;" filled="f" o:preferrelative="t" stroked="f" coordsize="21600,21600">
                  <v:path/>
                  <v:fill on="f" focussize="0,0"/>
                  <v:stroke on="f" joinstyle="miter"/>
                  <v:imagedata r:id="rId34" o:title=""/>
                  <o:lock v:ext="edit" aspectratio="t"/>
                  <w10:wrap type="none"/>
                  <w10:anchorlock/>
                </v:shape>
              </w:pict>
            </w:r>
          </w:p>
          <w:p>
            <w:pPr>
              <w:pStyle w:val="6"/>
              <w:spacing w:line="360" w:lineRule="auto"/>
              <w:ind w:firstLine="1920" w:firstLineChars="800"/>
              <w:rPr>
                <w:rFonts w:hAnsi="宋体"/>
                <w:b w:val="0"/>
                <w:bCs w:val="0"/>
                <w:sz w:val="24"/>
                <w:szCs w:val="24"/>
              </w:rPr>
            </w:pPr>
            <w:r>
              <w:rPr>
                <w:rFonts w:hint="eastAsia" w:hAnsi="宋体"/>
                <w:b w:val="0"/>
                <w:bCs w:val="0"/>
                <w:sz w:val="24"/>
                <w:szCs w:val="24"/>
              </w:rPr>
              <w:t>图 5-5</w:t>
            </w:r>
            <w:r>
              <w:rPr>
                <w:rFonts w:hint="eastAsia" w:hAnsi="宋体"/>
                <w:b w:val="0"/>
                <w:bCs w:val="0"/>
                <w:sz w:val="24"/>
                <w:szCs w:val="24"/>
              </w:rPr>
              <w:tab/>
            </w:r>
            <w:r>
              <w:rPr>
                <w:rFonts w:hint="eastAsia" w:hAnsi="宋体"/>
                <w:b w:val="0"/>
                <w:bCs w:val="0"/>
                <w:sz w:val="24"/>
                <w:szCs w:val="24"/>
              </w:rPr>
              <w:t>运营期生产工艺流程及产污环节图</w:t>
            </w:r>
          </w:p>
          <w:p>
            <w:pPr>
              <w:spacing w:line="360" w:lineRule="auto"/>
              <w:ind w:firstLine="482" w:firstLineChars="200"/>
              <w:rPr>
                <w:rFonts w:hAnsi="宋体"/>
                <w:b/>
              </w:rPr>
            </w:pPr>
            <w:r>
              <w:rPr>
                <w:rFonts w:hint="eastAsia" w:hAnsi="宋体"/>
                <w:b/>
              </w:rPr>
              <w:t>2.2 产污分析</w:t>
            </w:r>
          </w:p>
          <w:p>
            <w:pPr>
              <w:spacing w:line="360" w:lineRule="auto"/>
              <w:ind w:firstLine="480" w:firstLineChars="200"/>
              <w:rPr>
                <w:rFonts w:hAnsi="宋体"/>
                <w:bCs/>
                <w:highlight w:val="none"/>
              </w:rPr>
            </w:pPr>
            <w:r>
              <w:rPr>
                <w:rFonts w:hint="eastAsia" w:hAnsi="宋体"/>
                <w:bCs/>
                <w:highlight w:val="none"/>
              </w:rPr>
              <w:t>本项目运营期主要为原水输送，无废水、废气产生。依托工程取水泵站，营运期主要为噪声。</w:t>
            </w:r>
          </w:p>
          <w:p>
            <w:pPr>
              <w:spacing w:line="360" w:lineRule="auto"/>
              <w:ind w:firstLine="482" w:firstLineChars="200"/>
              <w:rPr>
                <w:rFonts w:hAnsi="宋体"/>
                <w:b/>
                <w:bCs/>
              </w:rPr>
            </w:pPr>
            <w:r>
              <w:rPr>
                <w:rFonts w:hint="eastAsia" w:hAnsi="宋体"/>
                <w:b/>
                <w:bCs/>
              </w:rPr>
              <w:t>2.</w:t>
            </w:r>
            <w:r>
              <w:rPr>
                <w:rFonts w:hAnsi="宋体"/>
                <w:b/>
                <w:bCs/>
              </w:rPr>
              <w:t>3</w:t>
            </w:r>
            <w:r>
              <w:rPr>
                <w:rFonts w:hint="eastAsia" w:hAnsi="宋体"/>
                <w:b/>
                <w:bCs/>
              </w:rPr>
              <w:t xml:space="preserve"> 营运期污染物排放及治理措施</w:t>
            </w:r>
          </w:p>
          <w:p>
            <w:pPr>
              <w:spacing w:line="360" w:lineRule="auto"/>
              <w:ind w:firstLine="480" w:firstLineChars="200"/>
              <w:rPr>
                <w:rFonts w:hAnsi="宋体"/>
                <w:bCs/>
              </w:rPr>
            </w:pPr>
            <w:r>
              <w:rPr>
                <w:rFonts w:hint="eastAsia" w:hAnsi="宋体"/>
                <w:bCs/>
              </w:rPr>
              <w:t xml:space="preserve">2.3.1 废水 </w:t>
            </w:r>
          </w:p>
          <w:p>
            <w:pPr>
              <w:spacing w:line="360" w:lineRule="auto"/>
              <w:ind w:firstLine="480" w:firstLineChars="200"/>
              <w:rPr>
                <w:rFonts w:hAnsi="宋体"/>
                <w:bCs/>
              </w:rPr>
            </w:pPr>
            <w:r>
              <w:rPr>
                <w:rFonts w:hint="eastAsia" w:hAnsi="宋体"/>
                <w:bCs/>
              </w:rPr>
              <w:t>工程运营期均无生产废水和生活污水产生，对环境基本无影响。</w:t>
            </w:r>
          </w:p>
          <w:p>
            <w:pPr>
              <w:spacing w:line="360" w:lineRule="auto"/>
              <w:ind w:firstLine="480" w:firstLineChars="200"/>
              <w:rPr>
                <w:rFonts w:hAnsi="宋体"/>
                <w:bCs/>
              </w:rPr>
            </w:pPr>
            <w:r>
              <w:rPr>
                <w:rFonts w:hint="eastAsia" w:hAnsi="宋体"/>
                <w:bCs/>
              </w:rPr>
              <w:t>2.3.</w:t>
            </w:r>
            <w:r>
              <w:rPr>
                <w:rFonts w:hAnsi="宋体"/>
                <w:bCs/>
              </w:rPr>
              <w:t>2</w:t>
            </w:r>
            <w:r>
              <w:rPr>
                <w:rFonts w:hint="eastAsia" w:hAnsi="宋体"/>
                <w:bCs/>
              </w:rPr>
              <w:t xml:space="preserve"> 废气 </w:t>
            </w:r>
          </w:p>
          <w:p>
            <w:pPr>
              <w:spacing w:line="360" w:lineRule="auto"/>
              <w:ind w:firstLine="480" w:firstLineChars="200"/>
              <w:rPr>
                <w:rFonts w:hint="eastAsia" w:hAnsi="宋体"/>
                <w:bCs/>
              </w:rPr>
            </w:pPr>
            <w:r>
              <w:rPr>
                <w:rFonts w:hint="eastAsia" w:hAnsi="宋体"/>
                <w:bCs/>
              </w:rPr>
              <w:t>营运期主要为为原水输送，无废气产生</w:t>
            </w:r>
            <w:r>
              <w:rPr>
                <w:rFonts w:hint="eastAsia" w:hAnsi="宋体"/>
                <w:bCs/>
                <w:lang w:eastAsia="zh-CN"/>
              </w:rPr>
              <w:t>，对环境基本无影响</w:t>
            </w:r>
            <w:r>
              <w:rPr>
                <w:rFonts w:hint="eastAsia" w:hAnsi="宋体"/>
                <w:bCs/>
              </w:rPr>
              <w:t>。</w:t>
            </w:r>
          </w:p>
          <w:p>
            <w:pPr>
              <w:spacing w:line="360" w:lineRule="auto"/>
              <w:ind w:firstLine="480" w:firstLineChars="200"/>
              <w:rPr>
                <w:rFonts w:hAnsi="宋体"/>
                <w:bCs/>
              </w:rPr>
            </w:pPr>
            <w:r>
              <w:rPr>
                <w:rFonts w:hint="eastAsia" w:hAnsi="宋体"/>
                <w:bCs/>
              </w:rPr>
              <w:t>2.3.3 噪声</w:t>
            </w:r>
          </w:p>
          <w:p>
            <w:pPr>
              <w:spacing w:line="360" w:lineRule="auto"/>
              <w:ind w:firstLine="480" w:firstLineChars="200"/>
              <w:rPr>
                <w:rFonts w:hAnsi="宋体"/>
                <w:bCs/>
              </w:rPr>
            </w:pPr>
            <w:r>
              <w:rPr>
                <w:rFonts w:hint="eastAsia" w:hAnsi="宋体"/>
                <w:bCs/>
              </w:rPr>
              <w:t>根据《环境工程手册-环境噪声控制卷》，一般泵的噪声级在 90dB 左右。工程各泵站的水泵设备类型及产生的总声压级详见表 5-3。</w:t>
            </w:r>
          </w:p>
          <w:p>
            <w:pPr>
              <w:tabs>
                <w:tab w:val="left" w:pos="3808"/>
                <w:tab w:val="left" w:pos="5705"/>
              </w:tabs>
              <w:spacing w:before="29"/>
              <w:ind w:left="2842"/>
              <w:rPr>
                <w:rFonts w:ascii="宋体" w:hAnsi="宋体" w:cs="宋体"/>
                <w:b/>
                <w:bCs/>
                <w:sz w:val="21"/>
                <w:szCs w:val="21"/>
              </w:rPr>
            </w:pPr>
          </w:p>
          <w:p>
            <w:pPr>
              <w:tabs>
                <w:tab w:val="left" w:pos="3808"/>
                <w:tab w:val="left" w:pos="5705"/>
              </w:tabs>
              <w:spacing w:before="29"/>
              <w:ind w:left="2842"/>
              <w:rPr>
                <w:rFonts w:eastAsia="Times New Roman"/>
                <w:sz w:val="21"/>
                <w:szCs w:val="21"/>
              </w:rPr>
            </w:pPr>
            <w:r>
              <w:rPr>
                <w:rFonts w:ascii="宋体" w:hAnsi="宋体" w:cs="宋体"/>
                <w:b/>
                <w:bCs/>
                <w:sz w:val="21"/>
                <w:szCs w:val="21"/>
              </w:rPr>
              <w:t>表</w:t>
            </w:r>
            <w:r>
              <w:rPr>
                <w:rFonts w:ascii="宋体" w:hAnsi="宋体" w:cs="宋体"/>
                <w:b/>
                <w:bCs/>
                <w:spacing w:val="-53"/>
                <w:sz w:val="21"/>
                <w:szCs w:val="21"/>
              </w:rPr>
              <w:t xml:space="preserve"> </w:t>
            </w:r>
            <w:r>
              <w:rPr>
                <w:rFonts w:eastAsia="Times New Roman"/>
                <w:b/>
                <w:bCs/>
                <w:sz w:val="21"/>
                <w:szCs w:val="21"/>
              </w:rPr>
              <w:t>5-3</w:t>
            </w:r>
            <w:r>
              <w:rPr>
                <w:rFonts w:eastAsia="Times New Roman"/>
                <w:b/>
                <w:bCs/>
                <w:sz w:val="21"/>
                <w:szCs w:val="21"/>
              </w:rPr>
              <w:tab/>
            </w:r>
            <w:r>
              <w:rPr>
                <w:rFonts w:ascii="宋体" w:hAnsi="宋体" w:cs="宋体"/>
                <w:b/>
                <w:bCs/>
                <w:w w:val="95"/>
                <w:sz w:val="21"/>
                <w:szCs w:val="21"/>
              </w:rPr>
              <w:t>设备源强一览表</w:t>
            </w:r>
            <w:r>
              <w:rPr>
                <w:rFonts w:ascii="宋体" w:hAnsi="宋体" w:cs="宋体"/>
                <w:b/>
                <w:bCs/>
                <w:w w:val="95"/>
                <w:sz w:val="21"/>
                <w:szCs w:val="21"/>
              </w:rPr>
              <w:tab/>
            </w:r>
            <w:r>
              <w:rPr>
                <w:rFonts w:ascii="宋体" w:hAnsi="宋体" w:cs="宋体"/>
                <w:b/>
                <w:bCs/>
                <w:sz w:val="21"/>
                <w:szCs w:val="21"/>
              </w:rPr>
              <w:t>单位：</w:t>
            </w:r>
            <w:r>
              <w:rPr>
                <w:rFonts w:eastAsia="Times New Roman"/>
                <w:b/>
                <w:bCs/>
                <w:sz w:val="21"/>
                <w:szCs w:val="21"/>
              </w:rPr>
              <w:t>dB(A)</w:t>
            </w:r>
          </w:p>
          <w:p>
            <w:pPr>
              <w:spacing w:before="3"/>
              <w:rPr>
                <w:rFonts w:eastAsia="Times New Roman"/>
                <w:b/>
                <w:bCs/>
                <w:sz w:val="13"/>
                <w:szCs w:val="13"/>
              </w:rPr>
            </w:pPr>
          </w:p>
          <w:tbl>
            <w:tblPr>
              <w:tblStyle w:val="256"/>
              <w:tblW w:w="4997" w:type="pct"/>
              <w:tblInd w:w="0" w:type="dxa"/>
              <w:tblLayout w:type="autofit"/>
              <w:tblCellMar>
                <w:top w:w="0" w:type="dxa"/>
                <w:left w:w="0" w:type="dxa"/>
                <w:bottom w:w="0" w:type="dxa"/>
                <w:right w:w="0" w:type="dxa"/>
              </w:tblCellMar>
            </w:tblPr>
            <w:tblGrid>
              <w:gridCol w:w="658"/>
              <w:gridCol w:w="2100"/>
              <w:gridCol w:w="2281"/>
              <w:gridCol w:w="760"/>
              <w:gridCol w:w="1299"/>
              <w:gridCol w:w="1859"/>
            </w:tblGrid>
            <w:tr>
              <w:tblPrEx>
                <w:tblCellMar>
                  <w:top w:w="0" w:type="dxa"/>
                  <w:left w:w="0" w:type="dxa"/>
                  <w:bottom w:w="0" w:type="dxa"/>
                  <w:right w:w="0" w:type="dxa"/>
                </w:tblCellMar>
              </w:tblPrEx>
              <w:trPr>
                <w:trHeight w:val="360" w:hRule="exact"/>
              </w:trPr>
              <w:tc>
                <w:tcPr>
                  <w:tcW w:w="367" w:type="pct"/>
                  <w:tcBorders>
                    <w:top w:val="single" w:color="000000" w:sz="8" w:space="0"/>
                    <w:left w:val="nil"/>
                    <w:bottom w:val="single" w:color="000000" w:sz="8" w:space="0"/>
                    <w:right w:val="single" w:color="000000" w:sz="8" w:space="0"/>
                  </w:tcBorders>
                </w:tcPr>
                <w:p>
                  <w:pPr>
                    <w:pStyle w:val="106"/>
                    <w:spacing w:line="274" w:lineRule="exact"/>
                    <w:ind w:left="153"/>
                    <w:rPr>
                      <w:sz w:val="21"/>
                      <w:szCs w:val="21"/>
                      <w:lang w:eastAsia="zh-CN"/>
                    </w:rPr>
                  </w:pPr>
                  <w:r>
                    <w:rPr>
                      <w:sz w:val="21"/>
                      <w:szCs w:val="21"/>
                      <w:lang w:eastAsia="zh-CN"/>
                    </w:rPr>
                    <w:t>序号</w:t>
                  </w:r>
                </w:p>
              </w:tc>
              <w:tc>
                <w:tcPr>
                  <w:tcW w:w="1172" w:type="pct"/>
                  <w:tcBorders>
                    <w:top w:val="single" w:color="000000" w:sz="8" w:space="0"/>
                    <w:left w:val="single" w:color="000000" w:sz="8" w:space="0"/>
                    <w:bottom w:val="single" w:color="000000" w:sz="8" w:space="0"/>
                    <w:right w:val="single" w:color="000000" w:sz="8" w:space="0"/>
                  </w:tcBorders>
                </w:tcPr>
                <w:p>
                  <w:pPr>
                    <w:pStyle w:val="106"/>
                    <w:spacing w:line="274" w:lineRule="exact"/>
                    <w:rPr>
                      <w:sz w:val="21"/>
                      <w:szCs w:val="21"/>
                      <w:lang w:eastAsia="zh-CN"/>
                    </w:rPr>
                  </w:pPr>
                  <w:r>
                    <w:rPr>
                      <w:sz w:val="21"/>
                      <w:szCs w:val="21"/>
                      <w:lang w:eastAsia="zh-CN"/>
                    </w:rPr>
                    <w:t>名称</w:t>
                  </w:r>
                </w:p>
              </w:tc>
              <w:tc>
                <w:tcPr>
                  <w:tcW w:w="1273" w:type="pct"/>
                  <w:tcBorders>
                    <w:top w:val="single" w:color="000000" w:sz="8" w:space="0"/>
                    <w:left w:val="single" w:color="000000" w:sz="8" w:space="0"/>
                    <w:bottom w:val="single" w:color="000000" w:sz="8" w:space="0"/>
                    <w:right w:val="single" w:color="000000" w:sz="8" w:space="0"/>
                  </w:tcBorders>
                </w:tcPr>
                <w:p>
                  <w:pPr>
                    <w:pStyle w:val="106"/>
                    <w:spacing w:line="290" w:lineRule="exact"/>
                    <w:ind w:left="194"/>
                    <w:rPr>
                      <w:sz w:val="21"/>
                      <w:szCs w:val="21"/>
                      <w:lang w:eastAsia="zh-CN"/>
                    </w:rPr>
                  </w:pPr>
                  <w:r>
                    <w:rPr>
                      <w:sz w:val="21"/>
                      <w:szCs w:val="21"/>
                      <w:lang w:eastAsia="zh-CN"/>
                    </w:rPr>
                    <w:t>单机噪声值（</w:t>
                  </w:r>
                  <w:r>
                    <w:rPr>
                      <w:rFonts w:ascii="Times New Roman" w:hAnsi="Times New Roman" w:eastAsia="Times New Roman" w:cs="Times New Roman"/>
                      <w:sz w:val="21"/>
                      <w:szCs w:val="21"/>
                      <w:lang w:eastAsia="zh-CN"/>
                    </w:rPr>
                    <w:t>1m</w:t>
                  </w:r>
                  <w:r>
                    <w:rPr>
                      <w:rFonts w:ascii="Times New Roman" w:hAnsi="Times New Roman" w:eastAsia="Times New Roman" w:cs="Times New Roman"/>
                      <w:spacing w:val="-4"/>
                      <w:sz w:val="21"/>
                      <w:szCs w:val="21"/>
                      <w:lang w:eastAsia="zh-CN"/>
                    </w:rPr>
                    <w:t xml:space="preserve"> </w:t>
                  </w:r>
                  <w:r>
                    <w:rPr>
                      <w:sz w:val="21"/>
                      <w:szCs w:val="21"/>
                      <w:lang w:eastAsia="zh-CN"/>
                    </w:rPr>
                    <w:t>处）</w:t>
                  </w:r>
                </w:p>
              </w:tc>
              <w:tc>
                <w:tcPr>
                  <w:tcW w:w="424" w:type="pct"/>
                  <w:tcBorders>
                    <w:top w:val="single" w:color="000000" w:sz="8" w:space="0"/>
                    <w:left w:val="single" w:color="000000" w:sz="8" w:space="0"/>
                    <w:bottom w:val="single" w:color="000000" w:sz="8" w:space="0"/>
                    <w:right w:val="single" w:color="000000" w:sz="8" w:space="0"/>
                  </w:tcBorders>
                </w:tcPr>
                <w:p>
                  <w:pPr>
                    <w:pStyle w:val="106"/>
                    <w:spacing w:line="274" w:lineRule="exact"/>
                    <w:ind w:left="217"/>
                    <w:rPr>
                      <w:sz w:val="21"/>
                      <w:szCs w:val="21"/>
                      <w:lang w:eastAsia="zh-CN"/>
                    </w:rPr>
                  </w:pPr>
                  <w:r>
                    <w:rPr>
                      <w:sz w:val="21"/>
                      <w:szCs w:val="21"/>
                      <w:lang w:eastAsia="zh-CN"/>
                    </w:rPr>
                    <w:t>单位</w:t>
                  </w:r>
                </w:p>
              </w:tc>
              <w:tc>
                <w:tcPr>
                  <w:tcW w:w="725" w:type="pct"/>
                  <w:tcBorders>
                    <w:top w:val="single" w:color="000000" w:sz="8" w:space="0"/>
                    <w:left w:val="single" w:color="000000" w:sz="8" w:space="0"/>
                    <w:bottom w:val="single" w:color="000000" w:sz="8" w:space="0"/>
                    <w:right w:val="single" w:color="000000" w:sz="8" w:space="0"/>
                  </w:tcBorders>
                </w:tcPr>
                <w:p>
                  <w:pPr>
                    <w:pStyle w:val="106"/>
                    <w:spacing w:line="274" w:lineRule="exact"/>
                    <w:rPr>
                      <w:sz w:val="21"/>
                      <w:szCs w:val="21"/>
                      <w:lang w:eastAsia="zh-CN"/>
                    </w:rPr>
                  </w:pPr>
                  <w:r>
                    <w:rPr>
                      <w:sz w:val="21"/>
                      <w:szCs w:val="21"/>
                      <w:lang w:eastAsia="zh-CN"/>
                    </w:rPr>
                    <w:t>数量</w:t>
                  </w:r>
                </w:p>
              </w:tc>
              <w:tc>
                <w:tcPr>
                  <w:tcW w:w="1037" w:type="pct"/>
                  <w:tcBorders>
                    <w:top w:val="single" w:color="000000" w:sz="8" w:space="0"/>
                    <w:left w:val="single" w:color="000000" w:sz="8" w:space="0"/>
                    <w:bottom w:val="single" w:color="000000" w:sz="8" w:space="0"/>
                    <w:right w:val="nil"/>
                  </w:tcBorders>
                </w:tcPr>
                <w:p>
                  <w:pPr>
                    <w:pStyle w:val="106"/>
                    <w:spacing w:line="274" w:lineRule="exact"/>
                    <w:ind w:left="279"/>
                    <w:rPr>
                      <w:sz w:val="21"/>
                      <w:szCs w:val="21"/>
                      <w:lang w:eastAsia="zh-CN"/>
                    </w:rPr>
                  </w:pPr>
                  <w:r>
                    <w:rPr>
                      <w:sz w:val="21"/>
                      <w:szCs w:val="21"/>
                      <w:lang w:eastAsia="zh-CN"/>
                    </w:rPr>
                    <w:t>治理后噪声值</w:t>
                  </w:r>
                </w:p>
              </w:tc>
            </w:tr>
            <w:tr>
              <w:tblPrEx>
                <w:tblCellMar>
                  <w:top w:w="0" w:type="dxa"/>
                  <w:left w:w="0" w:type="dxa"/>
                  <w:bottom w:w="0" w:type="dxa"/>
                  <w:right w:w="0" w:type="dxa"/>
                </w:tblCellMar>
              </w:tblPrEx>
              <w:trPr>
                <w:trHeight w:val="360" w:hRule="exact"/>
              </w:trPr>
              <w:tc>
                <w:tcPr>
                  <w:tcW w:w="367" w:type="pct"/>
                  <w:tcBorders>
                    <w:top w:val="single" w:color="000000" w:sz="8" w:space="0"/>
                    <w:left w:val="nil"/>
                    <w:bottom w:val="single" w:color="000000" w:sz="8" w:space="0"/>
                    <w:right w:val="single" w:color="000000" w:sz="8" w:space="0"/>
                  </w:tcBorders>
                </w:tcPr>
                <w:p>
                  <w:pPr>
                    <w:pStyle w:val="106"/>
                    <w:spacing w:before="48"/>
                    <w:ind w:left="24"/>
                    <w:rPr>
                      <w:rFonts w:ascii="Times New Roman" w:hAnsi="Times New Roman" w:eastAsia="Times New Roman" w:cs="Times New Roman"/>
                      <w:sz w:val="21"/>
                      <w:szCs w:val="21"/>
                      <w:lang w:eastAsia="zh-CN"/>
                    </w:rPr>
                  </w:pPr>
                  <w:r>
                    <w:rPr>
                      <w:rFonts w:ascii="Times New Roman"/>
                      <w:sz w:val="21"/>
                      <w:lang w:eastAsia="zh-CN"/>
                    </w:rPr>
                    <w:t>1</w:t>
                  </w:r>
                </w:p>
              </w:tc>
              <w:tc>
                <w:tcPr>
                  <w:tcW w:w="1172" w:type="pct"/>
                  <w:tcBorders>
                    <w:top w:val="single" w:color="000000" w:sz="8" w:space="0"/>
                    <w:left w:val="single" w:color="000000" w:sz="8" w:space="0"/>
                    <w:bottom w:val="single" w:color="000000" w:sz="8" w:space="0"/>
                    <w:right w:val="single" w:color="000000" w:sz="8" w:space="0"/>
                  </w:tcBorders>
                </w:tcPr>
                <w:p>
                  <w:pPr>
                    <w:pStyle w:val="106"/>
                    <w:spacing w:line="274" w:lineRule="exact"/>
                    <w:jc w:val="both"/>
                    <w:rPr>
                      <w:rFonts w:hint="default"/>
                      <w:sz w:val="21"/>
                      <w:szCs w:val="21"/>
                      <w:lang w:val="en-US" w:eastAsia="zh-CN"/>
                    </w:rPr>
                  </w:pPr>
                  <w:r>
                    <w:rPr>
                      <w:rFonts w:hint="eastAsia"/>
                      <w:sz w:val="21"/>
                      <w:szCs w:val="21"/>
                      <w:lang w:eastAsia="zh-CN"/>
                    </w:rPr>
                    <w:t>立式潜水泵</w:t>
                  </w:r>
                  <w:r>
                    <w:rPr>
                      <w:rFonts w:hint="eastAsia"/>
                      <w:sz w:val="21"/>
                      <w:szCs w:val="21"/>
                      <w:lang w:val="en-US" w:eastAsia="zh-CN"/>
                    </w:rPr>
                    <w:t>(</w:t>
                  </w:r>
                  <w:r>
                    <w:rPr>
                      <w:rFonts w:hint="eastAsia" w:ascii="Times New Roman"/>
                      <w:sz w:val="21"/>
                      <w:lang w:val="en-US" w:eastAsia="zh-CN"/>
                    </w:rPr>
                    <w:t>630kw)</w:t>
                  </w:r>
                </w:p>
              </w:tc>
              <w:tc>
                <w:tcPr>
                  <w:tcW w:w="1273" w:type="pct"/>
                  <w:tcBorders>
                    <w:top w:val="single" w:color="000000" w:sz="8" w:space="0"/>
                    <w:left w:val="single" w:color="000000" w:sz="8" w:space="0"/>
                    <w:bottom w:val="single" w:color="000000" w:sz="8" w:space="0"/>
                    <w:right w:val="single" w:color="000000" w:sz="8" w:space="0"/>
                  </w:tcBorders>
                </w:tcPr>
                <w:p>
                  <w:pPr>
                    <w:pStyle w:val="106"/>
                    <w:spacing w:before="48"/>
                    <w:ind w:right="1"/>
                    <w:rPr>
                      <w:rFonts w:ascii="Times New Roman" w:hAnsi="Times New Roman" w:eastAsia="Times New Roman" w:cs="Times New Roman"/>
                      <w:sz w:val="21"/>
                      <w:szCs w:val="21"/>
                      <w:lang w:eastAsia="zh-CN"/>
                    </w:rPr>
                  </w:pPr>
                  <w:r>
                    <w:rPr>
                      <w:rFonts w:ascii="Times New Roman"/>
                      <w:sz w:val="21"/>
                      <w:lang w:eastAsia="zh-CN"/>
                    </w:rPr>
                    <w:t>90</w:t>
                  </w:r>
                </w:p>
              </w:tc>
              <w:tc>
                <w:tcPr>
                  <w:tcW w:w="424" w:type="pct"/>
                  <w:tcBorders>
                    <w:top w:val="single" w:color="000000" w:sz="8" w:space="0"/>
                    <w:left w:val="single" w:color="000000" w:sz="8" w:space="0"/>
                    <w:bottom w:val="single" w:color="000000" w:sz="8" w:space="0"/>
                    <w:right w:val="single" w:color="000000" w:sz="8" w:space="0"/>
                  </w:tcBorders>
                </w:tcPr>
                <w:p>
                  <w:pPr>
                    <w:pStyle w:val="106"/>
                    <w:spacing w:line="274" w:lineRule="exact"/>
                    <w:ind w:right="1"/>
                    <w:rPr>
                      <w:sz w:val="21"/>
                      <w:szCs w:val="21"/>
                      <w:lang w:eastAsia="zh-CN"/>
                    </w:rPr>
                  </w:pPr>
                  <w:r>
                    <w:rPr>
                      <w:sz w:val="21"/>
                      <w:szCs w:val="21"/>
                      <w:lang w:eastAsia="zh-CN"/>
                    </w:rPr>
                    <w:t>台</w:t>
                  </w:r>
                </w:p>
              </w:tc>
              <w:tc>
                <w:tcPr>
                  <w:tcW w:w="725" w:type="pct"/>
                  <w:tcBorders>
                    <w:top w:val="single" w:color="000000" w:sz="8" w:space="0"/>
                    <w:left w:val="single" w:color="000000" w:sz="8" w:space="0"/>
                    <w:bottom w:val="single" w:color="000000" w:sz="8" w:space="0"/>
                    <w:right w:val="single" w:color="000000" w:sz="8" w:space="0"/>
                  </w:tcBorders>
                </w:tcPr>
                <w:p>
                  <w:pPr>
                    <w:pStyle w:val="106"/>
                    <w:spacing w:before="48"/>
                    <w:rPr>
                      <w:rFonts w:ascii="Times New Roman" w:hAnsi="Times New Roman" w:eastAsia="Times New Roman" w:cs="Times New Roman"/>
                      <w:sz w:val="21"/>
                      <w:szCs w:val="21"/>
                      <w:lang w:eastAsia="zh-CN"/>
                    </w:rPr>
                  </w:pPr>
                  <w:r>
                    <w:rPr>
                      <w:rFonts w:hint="eastAsia" w:ascii="Times New Roman"/>
                      <w:sz w:val="21"/>
                      <w:lang w:val="en-US" w:eastAsia="zh-CN"/>
                    </w:rPr>
                    <w:t>6</w:t>
                  </w:r>
                </w:p>
              </w:tc>
              <w:tc>
                <w:tcPr>
                  <w:tcW w:w="1037" w:type="pct"/>
                  <w:tcBorders>
                    <w:top w:val="single" w:color="000000" w:sz="8" w:space="0"/>
                    <w:left w:val="single" w:color="000000" w:sz="8" w:space="0"/>
                    <w:bottom w:val="single" w:color="000000" w:sz="8" w:space="0"/>
                    <w:right w:val="nil"/>
                  </w:tcBorders>
                </w:tcPr>
                <w:p>
                  <w:pPr>
                    <w:pStyle w:val="106"/>
                    <w:spacing w:line="290" w:lineRule="exact"/>
                    <w:ind w:right="6"/>
                    <w:rPr>
                      <w:rFonts w:ascii="Times New Roman" w:hAnsi="Times New Roman" w:eastAsia="Times New Roman" w:cs="Times New Roman"/>
                      <w:sz w:val="21"/>
                      <w:szCs w:val="21"/>
                      <w:lang w:eastAsia="zh-CN"/>
                    </w:rPr>
                  </w:pPr>
                  <w:r>
                    <w:rPr>
                      <w:sz w:val="21"/>
                      <w:szCs w:val="21"/>
                      <w:lang w:eastAsia="zh-CN"/>
                    </w:rPr>
                    <w:t>＜</w:t>
                  </w:r>
                  <w:r>
                    <w:rPr>
                      <w:rFonts w:ascii="Times New Roman" w:hAnsi="Times New Roman" w:eastAsia="Times New Roman" w:cs="Times New Roman"/>
                      <w:sz w:val="21"/>
                      <w:szCs w:val="21"/>
                      <w:lang w:eastAsia="zh-CN"/>
                    </w:rPr>
                    <w:t>70</w:t>
                  </w:r>
                </w:p>
              </w:tc>
            </w:tr>
            <w:tr>
              <w:tblPrEx>
                <w:tblCellMar>
                  <w:top w:w="0" w:type="dxa"/>
                  <w:left w:w="0" w:type="dxa"/>
                  <w:bottom w:w="0" w:type="dxa"/>
                  <w:right w:w="0" w:type="dxa"/>
                </w:tblCellMar>
              </w:tblPrEx>
              <w:trPr>
                <w:trHeight w:val="360" w:hRule="exact"/>
              </w:trPr>
              <w:tc>
                <w:tcPr>
                  <w:tcW w:w="367" w:type="pct"/>
                  <w:tcBorders>
                    <w:top w:val="single" w:color="000000" w:sz="8" w:space="0"/>
                    <w:left w:val="nil"/>
                    <w:bottom w:val="single" w:color="000000" w:sz="8" w:space="0"/>
                    <w:right w:val="single" w:color="000000" w:sz="8" w:space="0"/>
                  </w:tcBorders>
                </w:tcPr>
                <w:p>
                  <w:pPr>
                    <w:pStyle w:val="106"/>
                    <w:spacing w:before="48"/>
                    <w:ind w:left="24"/>
                    <w:rPr>
                      <w:rFonts w:hint="default" w:ascii="Times New Roman"/>
                      <w:sz w:val="21"/>
                      <w:lang w:val="en-US" w:eastAsia="zh-CN"/>
                    </w:rPr>
                  </w:pPr>
                  <w:r>
                    <w:rPr>
                      <w:rFonts w:hint="eastAsia" w:ascii="Times New Roman"/>
                      <w:sz w:val="21"/>
                      <w:lang w:val="en-US" w:eastAsia="zh-CN"/>
                    </w:rPr>
                    <w:t>2</w:t>
                  </w:r>
                </w:p>
              </w:tc>
              <w:tc>
                <w:tcPr>
                  <w:tcW w:w="1172" w:type="pct"/>
                  <w:tcBorders>
                    <w:top w:val="single" w:color="000000" w:sz="8" w:space="0"/>
                    <w:left w:val="single" w:color="000000" w:sz="8" w:space="0"/>
                    <w:bottom w:val="single" w:color="000000" w:sz="8" w:space="0"/>
                    <w:right w:val="single" w:color="000000" w:sz="8" w:space="0"/>
                  </w:tcBorders>
                </w:tcPr>
                <w:p>
                  <w:pPr>
                    <w:pStyle w:val="106"/>
                    <w:spacing w:line="274" w:lineRule="exact"/>
                    <w:jc w:val="both"/>
                    <w:rPr>
                      <w:rFonts w:hint="eastAsia"/>
                      <w:sz w:val="21"/>
                      <w:szCs w:val="21"/>
                      <w:lang w:eastAsia="zh-CN"/>
                    </w:rPr>
                  </w:pPr>
                  <w:r>
                    <w:rPr>
                      <w:rFonts w:hint="eastAsia"/>
                      <w:sz w:val="21"/>
                      <w:szCs w:val="21"/>
                      <w:lang w:eastAsia="zh-CN"/>
                    </w:rPr>
                    <w:t>立式潜水泵</w:t>
                  </w:r>
                  <w:r>
                    <w:rPr>
                      <w:rFonts w:hint="default" w:ascii="Times New Roman" w:hAnsi="Times New Roman" w:cs="Times New Roman"/>
                      <w:sz w:val="21"/>
                      <w:szCs w:val="21"/>
                      <w:lang w:eastAsia="zh-CN"/>
                    </w:rPr>
                    <w:t>（</w:t>
                  </w:r>
                  <w:r>
                    <w:rPr>
                      <w:rFonts w:hint="default" w:ascii="Times New Roman" w:hAnsi="Times New Roman" w:cs="Times New Roman"/>
                      <w:sz w:val="21"/>
                      <w:szCs w:val="21"/>
                      <w:lang w:val="en-US" w:eastAsia="zh-CN"/>
                    </w:rPr>
                    <w:t>90KW</w:t>
                  </w:r>
                  <w:r>
                    <w:rPr>
                      <w:rFonts w:hint="default" w:ascii="Times New Roman" w:hAnsi="Times New Roman" w:cs="Times New Roman"/>
                      <w:sz w:val="21"/>
                      <w:szCs w:val="21"/>
                      <w:lang w:eastAsia="zh-CN"/>
                    </w:rPr>
                    <w:t>）</w:t>
                  </w:r>
                </w:p>
              </w:tc>
              <w:tc>
                <w:tcPr>
                  <w:tcW w:w="1273" w:type="pct"/>
                  <w:tcBorders>
                    <w:top w:val="single" w:color="000000" w:sz="8" w:space="0"/>
                    <w:left w:val="single" w:color="000000" w:sz="8" w:space="0"/>
                    <w:bottom w:val="single" w:color="000000" w:sz="8" w:space="0"/>
                    <w:right w:val="single" w:color="000000" w:sz="8" w:space="0"/>
                  </w:tcBorders>
                </w:tcPr>
                <w:p>
                  <w:pPr>
                    <w:pStyle w:val="106"/>
                    <w:spacing w:before="48"/>
                    <w:ind w:right="1"/>
                    <w:rPr>
                      <w:rFonts w:hint="default" w:ascii="Times New Roman"/>
                      <w:sz w:val="21"/>
                      <w:lang w:val="en-US" w:eastAsia="zh-CN"/>
                    </w:rPr>
                  </w:pPr>
                  <w:r>
                    <w:rPr>
                      <w:rFonts w:hint="eastAsia" w:ascii="Times New Roman"/>
                      <w:sz w:val="21"/>
                      <w:lang w:val="en-US" w:eastAsia="zh-CN"/>
                    </w:rPr>
                    <w:t>85</w:t>
                  </w:r>
                </w:p>
              </w:tc>
              <w:tc>
                <w:tcPr>
                  <w:tcW w:w="424" w:type="pct"/>
                  <w:tcBorders>
                    <w:top w:val="single" w:color="000000" w:sz="8" w:space="0"/>
                    <w:left w:val="single" w:color="000000" w:sz="8" w:space="0"/>
                    <w:bottom w:val="single" w:color="000000" w:sz="8" w:space="0"/>
                    <w:right w:val="single" w:color="000000" w:sz="8" w:space="0"/>
                  </w:tcBorders>
                </w:tcPr>
                <w:p>
                  <w:pPr>
                    <w:pStyle w:val="106"/>
                    <w:spacing w:line="274" w:lineRule="exact"/>
                    <w:ind w:right="1"/>
                    <w:rPr>
                      <w:rFonts w:hint="default"/>
                      <w:sz w:val="21"/>
                      <w:szCs w:val="21"/>
                      <w:lang w:val="en-US" w:eastAsia="zh-CN"/>
                    </w:rPr>
                  </w:pPr>
                  <w:r>
                    <w:rPr>
                      <w:rFonts w:hint="eastAsia"/>
                      <w:sz w:val="21"/>
                      <w:szCs w:val="21"/>
                      <w:lang w:val="en-US" w:eastAsia="zh-CN"/>
                    </w:rPr>
                    <w:t>台</w:t>
                  </w:r>
                </w:p>
              </w:tc>
              <w:tc>
                <w:tcPr>
                  <w:tcW w:w="725" w:type="pct"/>
                  <w:tcBorders>
                    <w:top w:val="single" w:color="000000" w:sz="8" w:space="0"/>
                    <w:left w:val="single" w:color="000000" w:sz="8" w:space="0"/>
                    <w:bottom w:val="single" w:color="000000" w:sz="8" w:space="0"/>
                    <w:right w:val="single" w:color="000000" w:sz="8" w:space="0"/>
                  </w:tcBorders>
                </w:tcPr>
                <w:p>
                  <w:pPr>
                    <w:pStyle w:val="106"/>
                    <w:spacing w:before="48"/>
                    <w:rPr>
                      <w:rFonts w:hint="default" w:ascii="Times New Roman"/>
                      <w:sz w:val="21"/>
                      <w:lang w:val="en-US" w:eastAsia="zh-CN"/>
                    </w:rPr>
                  </w:pPr>
                  <w:r>
                    <w:rPr>
                      <w:rFonts w:hint="eastAsia" w:ascii="Times New Roman"/>
                      <w:sz w:val="21"/>
                      <w:lang w:val="en-US" w:eastAsia="zh-CN"/>
                    </w:rPr>
                    <w:t>2</w:t>
                  </w:r>
                </w:p>
              </w:tc>
              <w:tc>
                <w:tcPr>
                  <w:tcW w:w="1037" w:type="pct"/>
                  <w:tcBorders>
                    <w:top w:val="single" w:color="000000" w:sz="8" w:space="0"/>
                    <w:left w:val="single" w:color="000000" w:sz="8" w:space="0"/>
                    <w:bottom w:val="single" w:color="000000" w:sz="8" w:space="0"/>
                    <w:right w:val="nil"/>
                  </w:tcBorders>
                </w:tcPr>
                <w:p>
                  <w:pPr>
                    <w:pStyle w:val="106"/>
                    <w:spacing w:line="290" w:lineRule="exact"/>
                    <w:ind w:right="6"/>
                    <w:rPr>
                      <w:sz w:val="21"/>
                      <w:szCs w:val="21"/>
                      <w:lang w:eastAsia="zh-CN"/>
                    </w:rPr>
                  </w:pPr>
                  <w:r>
                    <w:rPr>
                      <w:sz w:val="21"/>
                      <w:szCs w:val="21"/>
                      <w:lang w:eastAsia="zh-CN"/>
                    </w:rPr>
                    <w:t>＜</w:t>
                  </w:r>
                  <w:r>
                    <w:rPr>
                      <w:rFonts w:ascii="Times New Roman" w:hAnsi="Times New Roman" w:eastAsia="Times New Roman" w:cs="Times New Roman"/>
                      <w:sz w:val="21"/>
                      <w:szCs w:val="21"/>
                      <w:lang w:eastAsia="zh-CN"/>
                    </w:rPr>
                    <w:t>70</w:t>
                  </w:r>
                </w:p>
              </w:tc>
            </w:tr>
          </w:tbl>
          <w:p>
            <w:pPr>
              <w:spacing w:line="360" w:lineRule="auto"/>
              <w:ind w:firstLine="480" w:firstLineChars="200"/>
              <w:rPr>
                <w:rFonts w:hAnsi="宋体"/>
              </w:rPr>
            </w:pPr>
            <w:r>
              <w:rPr>
                <w:rFonts w:hint="eastAsia" w:hAnsi="宋体"/>
              </w:rPr>
              <w:t>治理措施：</w:t>
            </w:r>
          </w:p>
          <w:p>
            <w:pPr>
              <w:spacing w:line="360" w:lineRule="auto"/>
              <w:ind w:firstLine="480" w:firstLineChars="200"/>
              <w:rPr>
                <w:rFonts w:hAnsi="宋体"/>
              </w:rPr>
            </w:pPr>
            <w:r>
              <w:rPr>
                <w:rFonts w:hint="eastAsia" w:hAnsi="宋体"/>
              </w:rPr>
              <w:t>（1）设备选型上应选用先进的、噪音低、振动小的生产设备；</w:t>
            </w:r>
          </w:p>
          <w:p>
            <w:pPr>
              <w:spacing w:line="360" w:lineRule="auto"/>
              <w:ind w:firstLine="480" w:firstLineChars="200"/>
              <w:rPr>
                <w:rFonts w:hAnsi="宋体"/>
              </w:rPr>
            </w:pPr>
            <w:r>
              <w:rPr>
                <w:rFonts w:hint="eastAsia" w:hAnsi="宋体"/>
              </w:rPr>
              <w:t>（2）设备（水泵）安装时设备必须安装牢固。基座设置橡胶或弹簧减振垫；</w:t>
            </w:r>
          </w:p>
          <w:p>
            <w:pPr>
              <w:spacing w:line="360" w:lineRule="auto"/>
              <w:ind w:firstLine="480" w:firstLineChars="200"/>
              <w:rPr>
                <w:rFonts w:hAnsi="宋体"/>
              </w:rPr>
            </w:pPr>
            <w:r>
              <w:rPr>
                <w:rFonts w:hint="eastAsia" w:hAnsi="宋体"/>
              </w:rPr>
              <w:t>（</w:t>
            </w:r>
            <w:r>
              <w:rPr>
                <w:rFonts w:hint="eastAsia" w:hAnsi="宋体"/>
                <w:lang w:val="en-US" w:eastAsia="zh-CN"/>
              </w:rPr>
              <w:t>3</w:t>
            </w:r>
            <w:r>
              <w:rPr>
                <w:rFonts w:hint="eastAsia" w:hAnsi="宋体"/>
              </w:rPr>
              <w:t>）定期对设备进行维护和保养，保证水泵高效、稳定运行。</w:t>
            </w:r>
          </w:p>
          <w:p>
            <w:pPr>
              <w:spacing w:line="360" w:lineRule="auto"/>
              <w:ind w:firstLine="480" w:firstLineChars="200"/>
              <w:rPr>
                <w:rFonts w:hAnsi="宋体"/>
                <w:highlight w:val="none"/>
              </w:rPr>
            </w:pPr>
            <w:r>
              <w:rPr>
                <w:rFonts w:hint="eastAsia" w:hAnsi="宋体"/>
                <w:highlight w:val="none"/>
              </w:rPr>
              <w:t>2.3.4固废</w:t>
            </w:r>
          </w:p>
          <w:p>
            <w:pPr>
              <w:spacing w:line="360" w:lineRule="auto"/>
              <w:ind w:firstLine="480" w:firstLineChars="200"/>
              <w:rPr>
                <w:highlight w:val="none"/>
              </w:rPr>
            </w:pPr>
            <w:r>
              <w:rPr>
                <w:rFonts w:hint="eastAsia" w:hAnsi="宋体"/>
                <w:bCs/>
                <w:highlight w:val="none"/>
              </w:rPr>
              <w:t>工程运营期无固体废物产生。依托工程泵站维修产生废机油约2kg/a，由维修人员带走。</w:t>
            </w:r>
          </w:p>
          <w:p>
            <w:pPr>
              <w:spacing w:line="360" w:lineRule="auto"/>
              <w:ind w:firstLine="480" w:firstLineChars="200"/>
            </w:pPr>
          </w:p>
          <w:p/>
          <w:p>
            <w:pPr>
              <w:pStyle w:val="6"/>
            </w:pPr>
          </w:p>
        </w:tc>
      </w:tr>
    </w:tbl>
    <w:p>
      <w:pPr>
        <w:pStyle w:val="3"/>
        <w:sectPr>
          <w:pgSz w:w="11906" w:h="16838"/>
          <w:pgMar w:top="1304" w:right="1418" w:bottom="1304" w:left="1418" w:header="851" w:footer="992" w:gutter="0"/>
          <w:cols w:space="425" w:num="1"/>
          <w:docGrid w:type="lines" w:linePitch="326" w:charSpace="0"/>
        </w:sectPr>
      </w:pPr>
    </w:p>
    <w:p>
      <w:pPr>
        <w:snapToGrid w:val="0"/>
        <w:spacing w:line="276" w:lineRule="auto"/>
        <w:outlineLvl w:val="0"/>
        <w:rPr>
          <w:b/>
          <w:color w:val="000000" w:themeColor="text1"/>
          <w:sz w:val="28"/>
          <w14:textFill>
            <w14:solidFill>
              <w14:schemeClr w14:val="tx1"/>
            </w14:solidFill>
          </w14:textFill>
        </w:rPr>
      </w:pPr>
      <w:bookmarkStart w:id="21" w:name="_Toc523322729"/>
    </w:p>
    <w:p>
      <w:pPr>
        <w:snapToGrid w:val="0"/>
        <w:spacing w:line="276" w:lineRule="auto"/>
        <w:outlineLvl w:val="0"/>
        <w:rPr>
          <w:b/>
          <w:color w:val="000000" w:themeColor="text1"/>
          <w:sz w:val="30"/>
          <w14:textFill>
            <w14:solidFill>
              <w14:schemeClr w14:val="tx1"/>
            </w14:solidFill>
          </w14:textFill>
        </w:rPr>
      </w:pPr>
      <w:r>
        <w:rPr>
          <w:b/>
          <w:color w:val="000000" w:themeColor="text1"/>
          <w:sz w:val="28"/>
          <w14:textFill>
            <w14:solidFill>
              <w14:schemeClr w14:val="tx1"/>
            </w14:solidFill>
          </w14:textFill>
        </w:rPr>
        <w:t>六、</w:t>
      </w:r>
      <w:r>
        <w:rPr>
          <w:b/>
          <w:color w:val="000000" w:themeColor="text1"/>
          <w:sz w:val="30"/>
          <w14:textFill>
            <w14:solidFill>
              <w14:schemeClr w14:val="tx1"/>
            </w14:solidFill>
          </w14:textFill>
        </w:rPr>
        <w:t>项目主要污染物产生及预计排放情况</w:t>
      </w:r>
      <w:bookmarkEnd w:id="21"/>
    </w:p>
    <w:tbl>
      <w:tblPr>
        <w:tblStyle w:val="44"/>
        <w:tblW w:w="9811"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95"/>
        <w:gridCol w:w="136"/>
        <w:gridCol w:w="862"/>
        <w:gridCol w:w="1075"/>
        <w:gridCol w:w="1850"/>
        <w:gridCol w:w="2288"/>
        <w:gridCol w:w="280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31" w:type="dxa"/>
            <w:gridSpan w:val="2"/>
            <w:tcBorders>
              <w:tl2br w:val="single" w:color="auto" w:sz="6" w:space="0"/>
            </w:tcBorders>
            <w:vAlign w:val="center"/>
          </w:tcPr>
          <w:p>
            <w:pPr>
              <w:pStyle w:val="60"/>
              <w:jc w:val="right"/>
              <w:rPr>
                <w:b/>
                <w:color w:val="000000" w:themeColor="text1"/>
                <w:szCs w:val="21"/>
                <w14:textFill>
                  <w14:solidFill>
                    <w14:schemeClr w14:val="tx1"/>
                  </w14:solidFill>
                </w14:textFill>
              </w:rPr>
            </w:pPr>
            <w:r>
              <w:rPr>
                <w:b/>
                <w:color w:val="000000" w:themeColor="text1"/>
                <w:szCs w:val="21"/>
                <w14:textFill>
                  <w14:solidFill>
                    <w14:schemeClr w14:val="tx1"/>
                  </w14:solidFill>
                </w14:textFill>
              </w:rPr>
              <w:t>内容</w:t>
            </w:r>
          </w:p>
          <w:p>
            <w:pPr>
              <w:pStyle w:val="60"/>
              <w:jc w:val="left"/>
              <w:rPr>
                <w:b/>
                <w:color w:val="000000" w:themeColor="text1"/>
                <w:szCs w:val="21"/>
                <w14:textFill>
                  <w14:solidFill>
                    <w14:schemeClr w14:val="tx1"/>
                  </w14:solidFill>
                </w14:textFill>
              </w:rPr>
            </w:pPr>
            <w:r>
              <w:rPr>
                <w:b/>
                <w:color w:val="000000" w:themeColor="text1"/>
                <w:szCs w:val="21"/>
                <w14:textFill>
                  <w14:solidFill>
                    <w14:schemeClr w14:val="tx1"/>
                  </w14:solidFill>
                </w14:textFill>
              </w:rPr>
              <w:t>类型</w:t>
            </w:r>
          </w:p>
        </w:tc>
        <w:tc>
          <w:tcPr>
            <w:tcW w:w="1937" w:type="dxa"/>
            <w:gridSpan w:val="2"/>
            <w:vAlign w:val="center"/>
          </w:tcPr>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排放源</w:t>
            </w:r>
          </w:p>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(编号)</w:t>
            </w:r>
          </w:p>
        </w:tc>
        <w:tc>
          <w:tcPr>
            <w:tcW w:w="1850" w:type="dxa"/>
            <w:vAlign w:val="center"/>
          </w:tcPr>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污染物名称</w:t>
            </w:r>
          </w:p>
        </w:tc>
        <w:tc>
          <w:tcPr>
            <w:tcW w:w="2288" w:type="dxa"/>
            <w:tcBorders>
              <w:right w:val="single" w:color="auto" w:sz="4" w:space="0"/>
            </w:tcBorders>
            <w:vAlign w:val="center"/>
          </w:tcPr>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处理前产生浓度及产生量（单位）</w:t>
            </w:r>
          </w:p>
        </w:tc>
        <w:tc>
          <w:tcPr>
            <w:tcW w:w="2805" w:type="dxa"/>
            <w:tcBorders>
              <w:left w:val="single" w:color="auto" w:sz="4" w:space="0"/>
            </w:tcBorders>
            <w:vAlign w:val="center"/>
          </w:tcPr>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排放浓度及排放量</w:t>
            </w:r>
          </w:p>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（单位）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4" w:hRule="atLeast"/>
        </w:trPr>
        <w:tc>
          <w:tcPr>
            <w:tcW w:w="931" w:type="dxa"/>
            <w:gridSpan w:val="2"/>
            <w:vMerge w:val="restart"/>
            <w:vAlign w:val="center"/>
          </w:tcPr>
          <w:p>
            <w:pPr>
              <w:pStyle w:val="60"/>
              <w:rPr>
                <w:b/>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水</w:t>
            </w:r>
          </w:p>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污</w:t>
            </w:r>
          </w:p>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染</w:t>
            </w:r>
          </w:p>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物</w:t>
            </w:r>
          </w:p>
        </w:tc>
        <w:tc>
          <w:tcPr>
            <w:tcW w:w="862" w:type="dxa"/>
            <w:vMerge w:val="restart"/>
            <w:vAlign w:val="center"/>
          </w:tcPr>
          <w:p>
            <w:pPr>
              <w:pStyle w:val="60"/>
              <w:jc w:val="both"/>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施工期</w:t>
            </w:r>
          </w:p>
        </w:tc>
        <w:tc>
          <w:tcPr>
            <w:tcW w:w="1075" w:type="dxa"/>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施工废水</w:t>
            </w:r>
          </w:p>
        </w:tc>
        <w:tc>
          <w:tcPr>
            <w:tcW w:w="1850" w:type="dxa"/>
            <w:tcBorders>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S</w:t>
            </w:r>
            <w:r>
              <w:rPr>
                <w:color w:val="000000" w:themeColor="text1"/>
                <w:sz w:val="21"/>
                <w:szCs w:val="21"/>
                <w14:textFill>
                  <w14:solidFill>
                    <w14:schemeClr w14:val="tx1"/>
                  </w14:solidFill>
                </w14:textFill>
              </w:rPr>
              <w:t>S</w:t>
            </w:r>
          </w:p>
        </w:tc>
        <w:tc>
          <w:tcPr>
            <w:tcW w:w="2288" w:type="dxa"/>
            <w:tcBorders>
              <w:left w:val="single" w:color="auto" w:sz="4" w:space="0"/>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少量</w:t>
            </w:r>
          </w:p>
        </w:tc>
        <w:tc>
          <w:tcPr>
            <w:tcW w:w="2805" w:type="dxa"/>
            <w:tcBorders>
              <w:lef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降尘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2" w:hRule="atLeast"/>
        </w:trPr>
        <w:tc>
          <w:tcPr>
            <w:tcW w:w="931" w:type="dxa"/>
            <w:gridSpan w:val="2"/>
            <w:vMerge w:val="continue"/>
            <w:vAlign w:val="center"/>
          </w:tcPr>
          <w:p>
            <w:pPr>
              <w:pStyle w:val="60"/>
              <w:rPr>
                <w:b/>
                <w:color w:val="000000" w:themeColor="text1"/>
                <w:szCs w:val="21"/>
                <w14:textFill>
                  <w14:solidFill>
                    <w14:schemeClr w14:val="tx1"/>
                  </w14:solidFill>
                </w14:textFill>
              </w:rPr>
            </w:pPr>
          </w:p>
        </w:tc>
        <w:tc>
          <w:tcPr>
            <w:tcW w:w="862" w:type="dxa"/>
            <w:vMerge w:val="continue"/>
            <w:vAlign w:val="center"/>
          </w:tcPr>
          <w:p>
            <w:pPr>
              <w:pStyle w:val="60"/>
              <w:jc w:val="both"/>
              <w:rPr>
                <w:color w:val="000000" w:themeColor="text1"/>
                <w:szCs w:val="21"/>
                <w14:textFill>
                  <w14:solidFill>
                    <w14:schemeClr w14:val="tx1"/>
                  </w14:solidFill>
                </w14:textFill>
              </w:rPr>
            </w:pPr>
          </w:p>
        </w:tc>
        <w:tc>
          <w:tcPr>
            <w:tcW w:w="1075" w:type="dxa"/>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试压废水</w:t>
            </w:r>
          </w:p>
        </w:tc>
        <w:tc>
          <w:tcPr>
            <w:tcW w:w="1850" w:type="dxa"/>
            <w:tcBorders>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S</w:t>
            </w:r>
            <w:r>
              <w:rPr>
                <w:color w:val="000000" w:themeColor="text1"/>
                <w:sz w:val="21"/>
                <w:szCs w:val="21"/>
                <w14:textFill>
                  <w14:solidFill>
                    <w14:schemeClr w14:val="tx1"/>
                  </w14:solidFill>
                </w14:textFill>
              </w:rPr>
              <w:t>S</w:t>
            </w:r>
          </w:p>
        </w:tc>
        <w:tc>
          <w:tcPr>
            <w:tcW w:w="2288" w:type="dxa"/>
            <w:tcBorders>
              <w:left w:val="single" w:color="auto" w:sz="4" w:space="0"/>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少量</w:t>
            </w:r>
          </w:p>
        </w:tc>
        <w:tc>
          <w:tcPr>
            <w:tcW w:w="2805" w:type="dxa"/>
            <w:tcBorders>
              <w:lef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2" w:hRule="atLeast"/>
        </w:trPr>
        <w:tc>
          <w:tcPr>
            <w:tcW w:w="931" w:type="dxa"/>
            <w:gridSpan w:val="2"/>
            <w:vMerge w:val="continue"/>
            <w:vAlign w:val="center"/>
          </w:tcPr>
          <w:p>
            <w:pPr>
              <w:pStyle w:val="60"/>
              <w:rPr>
                <w:b/>
                <w:color w:val="000000" w:themeColor="text1"/>
                <w:szCs w:val="21"/>
                <w14:textFill>
                  <w14:solidFill>
                    <w14:schemeClr w14:val="tx1"/>
                  </w14:solidFill>
                </w14:textFill>
              </w:rPr>
            </w:pPr>
          </w:p>
        </w:tc>
        <w:tc>
          <w:tcPr>
            <w:tcW w:w="862" w:type="dxa"/>
            <w:vMerge w:val="continue"/>
            <w:vAlign w:val="center"/>
          </w:tcPr>
          <w:p>
            <w:pPr>
              <w:pStyle w:val="60"/>
              <w:jc w:val="both"/>
              <w:rPr>
                <w:color w:val="000000" w:themeColor="text1"/>
                <w:szCs w:val="21"/>
                <w14:textFill>
                  <w14:solidFill>
                    <w14:schemeClr w14:val="tx1"/>
                  </w14:solidFill>
                </w14:textFill>
              </w:rPr>
            </w:pPr>
          </w:p>
        </w:tc>
        <w:tc>
          <w:tcPr>
            <w:tcW w:w="1075" w:type="dxa"/>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生活污水</w:t>
            </w:r>
          </w:p>
        </w:tc>
        <w:tc>
          <w:tcPr>
            <w:tcW w:w="1850" w:type="dxa"/>
            <w:tcBorders>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C</w:t>
            </w:r>
            <w:r>
              <w:rPr>
                <w:color w:val="000000" w:themeColor="text1"/>
                <w:sz w:val="21"/>
                <w:szCs w:val="21"/>
                <w14:textFill>
                  <w14:solidFill>
                    <w14:schemeClr w14:val="tx1"/>
                  </w14:solidFill>
                </w14:textFill>
              </w:rPr>
              <w:t>OD</w:t>
            </w:r>
            <w:r>
              <w:rPr>
                <w:rFonts w:hint="eastAsia"/>
                <w:color w:val="000000" w:themeColor="text1"/>
                <w:sz w:val="21"/>
                <w:szCs w:val="21"/>
                <w14:textFill>
                  <w14:solidFill>
                    <w14:schemeClr w14:val="tx1"/>
                  </w14:solidFill>
                </w14:textFill>
              </w:rPr>
              <w:t>、氨氮、T</w:t>
            </w:r>
            <w:r>
              <w:rPr>
                <w:color w:val="000000" w:themeColor="text1"/>
                <w:sz w:val="21"/>
                <w:szCs w:val="21"/>
                <w14:textFill>
                  <w14:solidFill>
                    <w14:schemeClr w14:val="tx1"/>
                  </w14:solidFill>
                </w14:textFill>
              </w:rPr>
              <w:t>P</w:t>
            </w:r>
          </w:p>
        </w:tc>
        <w:tc>
          <w:tcPr>
            <w:tcW w:w="2288" w:type="dxa"/>
            <w:tcBorders>
              <w:left w:val="single" w:color="auto" w:sz="4" w:space="0"/>
              <w:right w:val="single" w:color="auto" w:sz="4" w:space="0"/>
            </w:tcBorders>
            <w:vAlign w:val="center"/>
          </w:tcPr>
          <w:p>
            <w:pPr>
              <w:jc w:val="center"/>
              <w:rPr>
                <w:color w:val="000000" w:themeColor="text1"/>
                <w:sz w:val="21"/>
                <w:szCs w:val="21"/>
                <w14:textFill>
                  <w14:solidFill>
                    <w14:schemeClr w14:val="tx1"/>
                  </w14:solidFill>
                </w14:textFill>
              </w:rPr>
            </w:pPr>
          </w:p>
        </w:tc>
        <w:tc>
          <w:tcPr>
            <w:tcW w:w="2805" w:type="dxa"/>
            <w:tcBorders>
              <w:lef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附近居民旱厕，用作农肥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2" w:hRule="atLeast"/>
        </w:trPr>
        <w:tc>
          <w:tcPr>
            <w:tcW w:w="931" w:type="dxa"/>
            <w:gridSpan w:val="2"/>
            <w:vMerge w:val="continue"/>
            <w:vAlign w:val="center"/>
          </w:tcPr>
          <w:p>
            <w:pPr>
              <w:pStyle w:val="60"/>
              <w:rPr>
                <w:b/>
                <w:color w:val="000000" w:themeColor="text1"/>
                <w:szCs w:val="21"/>
                <w14:textFill>
                  <w14:solidFill>
                    <w14:schemeClr w14:val="tx1"/>
                  </w14:solidFill>
                </w14:textFill>
              </w:rPr>
            </w:pPr>
          </w:p>
        </w:tc>
        <w:tc>
          <w:tcPr>
            <w:tcW w:w="862" w:type="dxa"/>
            <w:vAlign w:val="center"/>
          </w:tcPr>
          <w:p>
            <w:pPr>
              <w:pStyle w:val="60"/>
              <w:jc w:val="both"/>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营运期</w:t>
            </w:r>
          </w:p>
        </w:tc>
        <w:tc>
          <w:tcPr>
            <w:tcW w:w="1075" w:type="dxa"/>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无</w:t>
            </w:r>
          </w:p>
        </w:tc>
        <w:tc>
          <w:tcPr>
            <w:tcW w:w="1850" w:type="dxa"/>
            <w:tcBorders>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w:t>
            </w:r>
          </w:p>
        </w:tc>
        <w:tc>
          <w:tcPr>
            <w:tcW w:w="2288" w:type="dxa"/>
            <w:tcBorders>
              <w:left w:val="single" w:color="auto" w:sz="4" w:space="0"/>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w:t>
            </w:r>
          </w:p>
        </w:tc>
        <w:tc>
          <w:tcPr>
            <w:tcW w:w="2805" w:type="dxa"/>
            <w:tcBorders>
              <w:lef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9" w:hRule="atLeast"/>
        </w:trPr>
        <w:tc>
          <w:tcPr>
            <w:tcW w:w="931" w:type="dxa"/>
            <w:gridSpan w:val="2"/>
            <w:vMerge w:val="restart"/>
            <w:vAlign w:val="center"/>
          </w:tcPr>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大</w:t>
            </w:r>
          </w:p>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气</w:t>
            </w:r>
          </w:p>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污</w:t>
            </w:r>
          </w:p>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染</w:t>
            </w:r>
          </w:p>
          <w:p>
            <w:pPr>
              <w:pStyle w:val="60"/>
              <w:rPr>
                <w:color w:val="000000" w:themeColor="text1"/>
                <w:szCs w:val="21"/>
                <w14:textFill>
                  <w14:solidFill>
                    <w14:schemeClr w14:val="tx1"/>
                  </w14:solidFill>
                </w14:textFill>
              </w:rPr>
            </w:pPr>
            <w:r>
              <w:rPr>
                <w:b/>
                <w:color w:val="000000" w:themeColor="text1"/>
                <w:szCs w:val="21"/>
                <w14:textFill>
                  <w14:solidFill>
                    <w14:schemeClr w14:val="tx1"/>
                  </w14:solidFill>
                </w14:textFill>
              </w:rPr>
              <w:t>物</w:t>
            </w:r>
          </w:p>
        </w:tc>
        <w:tc>
          <w:tcPr>
            <w:tcW w:w="862" w:type="dxa"/>
            <w:vMerge w:val="restart"/>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施工期</w:t>
            </w:r>
          </w:p>
        </w:tc>
        <w:tc>
          <w:tcPr>
            <w:tcW w:w="1075" w:type="dxa"/>
            <w:vMerge w:val="restart"/>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施工</w:t>
            </w:r>
          </w:p>
        </w:tc>
        <w:tc>
          <w:tcPr>
            <w:tcW w:w="1850" w:type="dxa"/>
            <w:tcBorders>
              <w:top w:val="single" w:color="auto" w:sz="4" w:space="0"/>
              <w:bottom w:val="single" w:color="auto" w:sz="4" w:space="0"/>
            </w:tcBorders>
            <w:vAlign w:val="center"/>
          </w:tcPr>
          <w:p>
            <w:pPr>
              <w:pStyle w:val="60"/>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扬尘</w:t>
            </w:r>
          </w:p>
        </w:tc>
        <w:tc>
          <w:tcPr>
            <w:tcW w:w="2288" w:type="dxa"/>
            <w:tcBorders>
              <w:top w:val="single" w:color="auto" w:sz="4" w:space="0"/>
              <w:bottom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少量</w:t>
            </w:r>
          </w:p>
        </w:tc>
        <w:tc>
          <w:tcPr>
            <w:tcW w:w="2805" w:type="dxa"/>
            <w:tcBorders>
              <w:top w:val="single" w:color="auto" w:sz="4" w:space="0"/>
              <w:bottom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少量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4" w:hRule="atLeast"/>
        </w:trPr>
        <w:tc>
          <w:tcPr>
            <w:tcW w:w="931" w:type="dxa"/>
            <w:gridSpan w:val="2"/>
            <w:vMerge w:val="continue"/>
            <w:vAlign w:val="center"/>
          </w:tcPr>
          <w:p>
            <w:pPr>
              <w:rPr>
                <w:color w:val="000000" w:themeColor="text1"/>
                <w:sz w:val="21"/>
                <w:szCs w:val="21"/>
                <w14:textFill>
                  <w14:solidFill>
                    <w14:schemeClr w14:val="tx1"/>
                  </w14:solidFill>
                </w14:textFill>
              </w:rPr>
            </w:pPr>
          </w:p>
        </w:tc>
        <w:tc>
          <w:tcPr>
            <w:tcW w:w="862" w:type="dxa"/>
            <w:vMerge w:val="continue"/>
            <w:vAlign w:val="center"/>
          </w:tcPr>
          <w:p>
            <w:pPr>
              <w:pStyle w:val="60"/>
              <w:rPr>
                <w:color w:val="000000" w:themeColor="text1"/>
                <w:szCs w:val="21"/>
                <w14:textFill>
                  <w14:solidFill>
                    <w14:schemeClr w14:val="tx1"/>
                  </w14:solidFill>
                </w14:textFill>
              </w:rPr>
            </w:pPr>
          </w:p>
        </w:tc>
        <w:tc>
          <w:tcPr>
            <w:tcW w:w="1075" w:type="dxa"/>
            <w:vMerge w:val="continue"/>
            <w:vAlign w:val="center"/>
          </w:tcPr>
          <w:p>
            <w:pPr>
              <w:pStyle w:val="60"/>
              <w:rPr>
                <w:color w:val="000000" w:themeColor="text1"/>
                <w:szCs w:val="21"/>
                <w14:textFill>
                  <w14:solidFill>
                    <w14:schemeClr w14:val="tx1"/>
                  </w14:solidFill>
                </w14:textFill>
              </w:rPr>
            </w:pPr>
          </w:p>
        </w:tc>
        <w:tc>
          <w:tcPr>
            <w:tcW w:w="1850" w:type="dxa"/>
            <w:tcBorders>
              <w:top w:val="single" w:color="auto" w:sz="4" w:space="0"/>
              <w:bottom w:val="single" w:color="auto" w:sz="4" w:space="0"/>
            </w:tcBorders>
            <w:vAlign w:val="center"/>
          </w:tcPr>
          <w:p>
            <w:pPr>
              <w:pStyle w:val="60"/>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机械燃油废气</w:t>
            </w:r>
          </w:p>
        </w:tc>
        <w:tc>
          <w:tcPr>
            <w:tcW w:w="2288" w:type="dxa"/>
            <w:tcBorders>
              <w:top w:val="single" w:color="auto" w:sz="4" w:space="0"/>
              <w:bottom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少量</w:t>
            </w:r>
          </w:p>
        </w:tc>
        <w:tc>
          <w:tcPr>
            <w:tcW w:w="2805" w:type="dxa"/>
            <w:tcBorders>
              <w:top w:val="single" w:color="auto" w:sz="4" w:space="0"/>
              <w:bottom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少量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40" w:hRule="atLeast"/>
        </w:trPr>
        <w:tc>
          <w:tcPr>
            <w:tcW w:w="931" w:type="dxa"/>
            <w:gridSpan w:val="2"/>
            <w:vMerge w:val="continue"/>
            <w:vAlign w:val="center"/>
          </w:tcPr>
          <w:p>
            <w:pPr>
              <w:rPr>
                <w:color w:val="000000" w:themeColor="text1"/>
                <w:sz w:val="21"/>
                <w:szCs w:val="21"/>
                <w14:textFill>
                  <w14:solidFill>
                    <w14:schemeClr w14:val="tx1"/>
                  </w14:solidFill>
                </w14:textFill>
              </w:rPr>
            </w:pPr>
          </w:p>
        </w:tc>
        <w:tc>
          <w:tcPr>
            <w:tcW w:w="862" w:type="dxa"/>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营运期</w:t>
            </w:r>
          </w:p>
        </w:tc>
        <w:tc>
          <w:tcPr>
            <w:tcW w:w="1075" w:type="dxa"/>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备用发电机废气</w:t>
            </w:r>
          </w:p>
        </w:tc>
        <w:tc>
          <w:tcPr>
            <w:tcW w:w="1850" w:type="dxa"/>
            <w:tcBorders>
              <w:top w:val="single" w:color="auto" w:sz="4" w:space="0"/>
            </w:tcBorders>
            <w:vAlign w:val="center"/>
          </w:tcPr>
          <w:p>
            <w:pPr>
              <w:pStyle w:val="60"/>
              <w:rPr>
                <w:color w:val="000000" w:themeColor="text1"/>
                <w:kern w:val="0"/>
                <w:szCs w:val="21"/>
                <w14:textFill>
                  <w14:solidFill>
                    <w14:schemeClr w14:val="tx1"/>
                  </w14:solidFill>
                </w14:textFill>
              </w:rPr>
            </w:pPr>
            <w:r>
              <w:rPr>
                <w:bCs/>
                <w:kern w:val="2"/>
                <w:szCs w:val="21"/>
              </w:rPr>
              <w:t>CO</w:t>
            </w:r>
            <w:r>
              <w:rPr>
                <w:rFonts w:hint="eastAsia"/>
                <w:bCs/>
                <w:kern w:val="2"/>
                <w:szCs w:val="21"/>
              </w:rPr>
              <w:t>、T</w:t>
            </w:r>
            <w:r>
              <w:rPr>
                <w:bCs/>
                <w:kern w:val="2"/>
                <w:szCs w:val="21"/>
              </w:rPr>
              <w:t>HC</w:t>
            </w:r>
            <w:r>
              <w:rPr>
                <w:rFonts w:hint="eastAsia"/>
                <w:bCs/>
                <w:kern w:val="2"/>
                <w:szCs w:val="21"/>
              </w:rPr>
              <w:t>、N</w:t>
            </w:r>
            <w:r>
              <w:rPr>
                <w:bCs/>
                <w:kern w:val="2"/>
                <w:szCs w:val="21"/>
              </w:rPr>
              <w:t>OX</w:t>
            </w:r>
          </w:p>
        </w:tc>
        <w:tc>
          <w:tcPr>
            <w:tcW w:w="2288" w:type="dxa"/>
            <w:tcBorders>
              <w:top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少量</w:t>
            </w:r>
          </w:p>
        </w:tc>
        <w:tc>
          <w:tcPr>
            <w:tcW w:w="2805" w:type="dxa"/>
            <w:tcBorders>
              <w:top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少量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59" w:hRule="atLeast"/>
        </w:trPr>
        <w:tc>
          <w:tcPr>
            <w:tcW w:w="931" w:type="dxa"/>
            <w:gridSpan w:val="2"/>
            <w:vMerge w:val="restart"/>
            <w:vAlign w:val="center"/>
          </w:tcPr>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固</w:t>
            </w:r>
          </w:p>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体</w:t>
            </w:r>
          </w:p>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废</w:t>
            </w:r>
          </w:p>
          <w:p>
            <w:pPr>
              <w:ind w:firstLine="211" w:firstLineChars="100"/>
              <w:rPr>
                <w:color w:val="000000" w:themeColor="text1"/>
                <w:sz w:val="21"/>
                <w:szCs w:val="21"/>
                <w14:textFill>
                  <w14:solidFill>
                    <w14:schemeClr w14:val="tx1"/>
                  </w14:solidFill>
                </w14:textFill>
              </w:rPr>
            </w:pPr>
            <w:r>
              <w:rPr>
                <w:b/>
                <w:color w:val="000000" w:themeColor="text1"/>
                <w:sz w:val="21"/>
                <w:szCs w:val="21"/>
                <w14:textFill>
                  <w14:solidFill>
                    <w14:schemeClr w14:val="tx1"/>
                  </w14:solidFill>
                </w14:textFill>
              </w:rPr>
              <w:t>物</w:t>
            </w:r>
          </w:p>
        </w:tc>
        <w:tc>
          <w:tcPr>
            <w:tcW w:w="1937" w:type="dxa"/>
            <w:gridSpan w:val="2"/>
            <w:vMerge w:val="restart"/>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施工期</w:t>
            </w:r>
          </w:p>
        </w:tc>
        <w:tc>
          <w:tcPr>
            <w:tcW w:w="1850" w:type="dxa"/>
            <w:tcBorders>
              <w:top w:val="single" w:color="auto" w:sz="4" w:space="0"/>
              <w:bottom w:val="single" w:color="auto" w:sz="4" w:space="0"/>
            </w:tcBorders>
            <w:vAlign w:val="center"/>
          </w:tcPr>
          <w:p>
            <w:pPr>
              <w:pStyle w:val="60"/>
              <w:rPr>
                <w:kern w:val="2"/>
                <w:szCs w:val="21"/>
              </w:rPr>
            </w:pPr>
            <w:r>
              <w:rPr>
                <w:rFonts w:hint="eastAsia"/>
                <w:kern w:val="2"/>
                <w:szCs w:val="21"/>
              </w:rPr>
              <w:t>土石方</w:t>
            </w:r>
          </w:p>
        </w:tc>
        <w:tc>
          <w:tcPr>
            <w:tcW w:w="2288" w:type="dxa"/>
            <w:tcBorders>
              <w:top w:val="single" w:color="auto" w:sz="4" w:space="0"/>
              <w:bottom w:val="single" w:color="auto" w:sz="4" w:space="0"/>
            </w:tcBorders>
            <w:vAlign w:val="center"/>
          </w:tcPr>
          <w:p>
            <w:pPr>
              <w:jc w:val="center"/>
              <w:rPr>
                <w:sz w:val="21"/>
                <w:szCs w:val="21"/>
              </w:rPr>
            </w:pPr>
            <w:r>
              <w:rPr>
                <w:rFonts w:hint="eastAsia"/>
                <w:sz w:val="21"/>
                <w:szCs w:val="21"/>
              </w:rPr>
              <w:t xml:space="preserve">挖方 </w:t>
            </w:r>
            <w:r>
              <w:rPr>
                <w:rFonts w:hint="eastAsia"/>
                <w:sz w:val="21"/>
                <w:szCs w:val="21"/>
                <w:lang w:eastAsia="zh-CN"/>
              </w:rPr>
              <w:t>6384</w:t>
            </w:r>
            <w:r>
              <w:rPr>
                <w:rFonts w:hint="eastAsia"/>
                <w:sz w:val="21"/>
                <w:szCs w:val="21"/>
              </w:rPr>
              <w:t xml:space="preserve"> m</w:t>
            </w:r>
            <w:r>
              <w:rPr>
                <w:rFonts w:hint="eastAsia"/>
                <w:sz w:val="21"/>
                <w:szCs w:val="21"/>
                <w:vertAlign w:val="superscript"/>
              </w:rPr>
              <w:t>3</w:t>
            </w:r>
            <w:r>
              <w:rPr>
                <w:rFonts w:hint="eastAsia"/>
                <w:sz w:val="21"/>
                <w:szCs w:val="21"/>
              </w:rPr>
              <w:t>，填方</w:t>
            </w:r>
          </w:p>
          <w:p>
            <w:pPr>
              <w:jc w:val="center"/>
              <w:rPr>
                <w:sz w:val="21"/>
                <w:szCs w:val="21"/>
              </w:rPr>
            </w:pPr>
            <w:r>
              <w:rPr>
                <w:rFonts w:hint="eastAsia"/>
                <w:sz w:val="21"/>
                <w:szCs w:val="21"/>
                <w:lang w:eastAsia="zh-CN"/>
              </w:rPr>
              <w:t>6384</w:t>
            </w:r>
            <w:r>
              <w:rPr>
                <w:rFonts w:hint="eastAsia"/>
                <w:sz w:val="21"/>
                <w:szCs w:val="21"/>
              </w:rPr>
              <w:t xml:space="preserve"> m</w:t>
            </w:r>
            <w:r>
              <w:rPr>
                <w:rFonts w:hint="eastAsia"/>
                <w:sz w:val="21"/>
                <w:szCs w:val="21"/>
                <w:vertAlign w:val="superscript"/>
              </w:rPr>
              <w:t>3</w:t>
            </w:r>
            <w:r>
              <w:rPr>
                <w:rFonts w:hint="eastAsia"/>
                <w:sz w:val="21"/>
                <w:szCs w:val="21"/>
              </w:rPr>
              <w:t>。</w:t>
            </w:r>
          </w:p>
        </w:tc>
        <w:tc>
          <w:tcPr>
            <w:tcW w:w="2805" w:type="dxa"/>
            <w:tcBorders>
              <w:top w:val="single" w:color="auto" w:sz="4" w:space="0"/>
              <w:bottom w:val="single" w:color="auto" w:sz="4" w:space="0"/>
            </w:tcBorders>
            <w:vAlign w:val="center"/>
          </w:tcPr>
          <w:p>
            <w:pPr>
              <w:pStyle w:val="60"/>
              <w:rPr>
                <w:kern w:val="2"/>
                <w:szCs w:val="21"/>
              </w:rPr>
            </w:pPr>
            <w:r>
              <w:rPr>
                <w:rFonts w:hint="eastAsia"/>
                <w:color w:val="000000" w:themeColor="text1"/>
                <w:szCs w:val="21"/>
                <w14:textFill>
                  <w14:solidFill>
                    <w14:schemeClr w14:val="tx1"/>
                  </w14:solidFill>
                </w14:textFill>
              </w:rPr>
              <w:t>全部回填</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6" w:hRule="atLeast"/>
        </w:trPr>
        <w:tc>
          <w:tcPr>
            <w:tcW w:w="931" w:type="dxa"/>
            <w:gridSpan w:val="2"/>
            <w:vMerge w:val="continue"/>
            <w:vAlign w:val="center"/>
          </w:tcPr>
          <w:p>
            <w:pPr>
              <w:rPr>
                <w:color w:val="000000" w:themeColor="text1"/>
                <w:sz w:val="21"/>
                <w:szCs w:val="21"/>
                <w14:textFill>
                  <w14:solidFill>
                    <w14:schemeClr w14:val="tx1"/>
                  </w14:solidFill>
                </w14:textFill>
              </w:rPr>
            </w:pPr>
          </w:p>
        </w:tc>
        <w:tc>
          <w:tcPr>
            <w:tcW w:w="1937" w:type="dxa"/>
            <w:gridSpan w:val="2"/>
            <w:vMerge w:val="continue"/>
            <w:vAlign w:val="center"/>
          </w:tcPr>
          <w:p>
            <w:pPr>
              <w:pStyle w:val="60"/>
              <w:rPr>
                <w:color w:val="000000" w:themeColor="text1"/>
                <w:szCs w:val="21"/>
                <w14:textFill>
                  <w14:solidFill>
                    <w14:schemeClr w14:val="tx1"/>
                  </w14:solidFill>
                </w14:textFill>
              </w:rPr>
            </w:pPr>
          </w:p>
        </w:tc>
        <w:tc>
          <w:tcPr>
            <w:tcW w:w="1850" w:type="dxa"/>
            <w:tcBorders>
              <w:top w:val="single" w:color="auto" w:sz="4" w:space="0"/>
              <w:bottom w:val="single" w:color="auto" w:sz="4" w:space="0"/>
            </w:tcBorders>
            <w:vAlign w:val="center"/>
          </w:tcPr>
          <w:p>
            <w:pPr>
              <w:pStyle w:val="60"/>
              <w:rPr>
                <w:kern w:val="2"/>
                <w:szCs w:val="21"/>
              </w:rPr>
            </w:pPr>
            <w:r>
              <w:rPr>
                <w:rFonts w:hint="eastAsia"/>
                <w:kern w:val="2"/>
                <w:szCs w:val="21"/>
              </w:rPr>
              <w:t>表土</w:t>
            </w:r>
          </w:p>
        </w:tc>
        <w:tc>
          <w:tcPr>
            <w:tcW w:w="2288" w:type="dxa"/>
            <w:tcBorders>
              <w:top w:val="single" w:color="auto" w:sz="4" w:space="0"/>
              <w:bottom w:val="single" w:color="auto" w:sz="4" w:space="0"/>
            </w:tcBorders>
            <w:vAlign w:val="center"/>
          </w:tcPr>
          <w:p>
            <w:pPr>
              <w:jc w:val="center"/>
              <w:rPr>
                <w:sz w:val="21"/>
                <w:szCs w:val="21"/>
              </w:rPr>
            </w:pPr>
            <w:r>
              <w:t>2080</w:t>
            </w:r>
            <w:r>
              <w:rPr>
                <w:rFonts w:hint="eastAsia"/>
              </w:rPr>
              <w:t>m</w:t>
            </w:r>
            <w:r>
              <w:rPr>
                <w:rFonts w:hint="eastAsia"/>
                <w:vertAlign w:val="superscript"/>
              </w:rPr>
              <w:t>3</w:t>
            </w:r>
            <w:r>
              <w:rPr>
                <w:rFonts w:hint="eastAsia"/>
              </w:rPr>
              <w:t>（自然方）</w:t>
            </w:r>
          </w:p>
        </w:tc>
        <w:tc>
          <w:tcPr>
            <w:tcW w:w="2805" w:type="dxa"/>
            <w:tcBorders>
              <w:top w:val="single" w:color="auto" w:sz="4" w:space="0"/>
              <w:bottom w:val="single" w:color="auto" w:sz="4" w:space="0"/>
            </w:tcBorders>
            <w:vAlign w:val="center"/>
          </w:tcPr>
          <w:p>
            <w:pPr>
              <w:pStyle w:val="60"/>
              <w:rPr>
                <w:kern w:val="2"/>
                <w:szCs w:val="21"/>
              </w:rPr>
            </w:pPr>
            <w:r>
              <w:rPr>
                <w:rFonts w:hint="eastAsia"/>
                <w:color w:val="000000" w:themeColor="text1"/>
                <w:szCs w:val="21"/>
                <w14:textFill>
                  <w14:solidFill>
                    <w14:schemeClr w14:val="tx1"/>
                  </w14:solidFill>
                </w14:textFill>
              </w:rPr>
              <w:t>临时堆存，用于后期绿化，不外排。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6" w:hRule="atLeast"/>
        </w:trPr>
        <w:tc>
          <w:tcPr>
            <w:tcW w:w="931" w:type="dxa"/>
            <w:gridSpan w:val="2"/>
            <w:vMerge w:val="continue"/>
            <w:vAlign w:val="center"/>
          </w:tcPr>
          <w:p>
            <w:pPr>
              <w:rPr>
                <w:color w:val="000000" w:themeColor="text1"/>
                <w:sz w:val="21"/>
                <w:szCs w:val="21"/>
                <w14:textFill>
                  <w14:solidFill>
                    <w14:schemeClr w14:val="tx1"/>
                  </w14:solidFill>
                </w14:textFill>
              </w:rPr>
            </w:pPr>
          </w:p>
        </w:tc>
        <w:tc>
          <w:tcPr>
            <w:tcW w:w="1937" w:type="dxa"/>
            <w:gridSpan w:val="2"/>
            <w:vMerge w:val="continue"/>
            <w:vAlign w:val="center"/>
          </w:tcPr>
          <w:p>
            <w:pPr>
              <w:pStyle w:val="60"/>
              <w:rPr>
                <w:color w:val="000000" w:themeColor="text1"/>
                <w:szCs w:val="21"/>
                <w14:textFill>
                  <w14:solidFill>
                    <w14:schemeClr w14:val="tx1"/>
                  </w14:solidFill>
                </w14:textFill>
              </w:rPr>
            </w:pPr>
          </w:p>
        </w:tc>
        <w:tc>
          <w:tcPr>
            <w:tcW w:w="1850" w:type="dxa"/>
            <w:tcBorders>
              <w:top w:val="single" w:color="auto" w:sz="4" w:space="0"/>
              <w:bottom w:val="single" w:color="auto" w:sz="4" w:space="0"/>
            </w:tcBorders>
            <w:vAlign w:val="center"/>
          </w:tcPr>
          <w:p>
            <w:pPr>
              <w:pStyle w:val="60"/>
              <w:rPr>
                <w:rFonts w:hint="eastAsia" w:eastAsia="宋体"/>
                <w:kern w:val="2"/>
                <w:szCs w:val="21"/>
                <w:lang w:eastAsia="zh-CN"/>
              </w:rPr>
            </w:pPr>
            <w:r>
              <w:rPr>
                <w:rFonts w:hint="eastAsia"/>
                <w:kern w:val="2"/>
                <w:szCs w:val="21"/>
                <w:lang w:eastAsia="zh-CN"/>
              </w:rPr>
              <w:t>废泥浆</w:t>
            </w:r>
          </w:p>
        </w:tc>
        <w:tc>
          <w:tcPr>
            <w:tcW w:w="2288" w:type="dxa"/>
            <w:tcBorders>
              <w:top w:val="single" w:color="auto" w:sz="4" w:space="0"/>
              <w:bottom w:val="single" w:color="auto" w:sz="4" w:space="0"/>
            </w:tcBorders>
            <w:vAlign w:val="center"/>
          </w:tcPr>
          <w:p>
            <w:pPr>
              <w:jc w:val="center"/>
              <w:rPr>
                <w:rFonts w:hint="eastAsia" w:eastAsia="宋体"/>
                <w:lang w:eastAsia="zh-CN"/>
              </w:rPr>
            </w:pPr>
            <w:r>
              <w:rPr>
                <w:rFonts w:hint="eastAsia"/>
                <w:lang w:eastAsia="zh-CN"/>
              </w:rPr>
              <w:t>少量</w:t>
            </w:r>
          </w:p>
        </w:tc>
        <w:tc>
          <w:tcPr>
            <w:tcW w:w="2805" w:type="dxa"/>
            <w:tcBorders>
              <w:top w:val="single" w:color="auto" w:sz="4" w:space="0"/>
              <w:bottom w:val="single" w:color="auto" w:sz="4" w:space="0"/>
            </w:tcBorders>
            <w:vAlign w:val="center"/>
          </w:tcPr>
          <w:p>
            <w:pPr>
              <w:pStyle w:val="60"/>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eastAsia="zh-CN"/>
                <w14:textFill>
                  <w14:solidFill>
                    <w14:schemeClr w14:val="tx1"/>
                  </w14:solidFill>
                </w14:textFill>
              </w:rPr>
              <w:t>运送至一般固废处置场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81" w:hRule="atLeast"/>
        </w:trPr>
        <w:tc>
          <w:tcPr>
            <w:tcW w:w="931" w:type="dxa"/>
            <w:gridSpan w:val="2"/>
            <w:vMerge w:val="continue"/>
            <w:vAlign w:val="center"/>
          </w:tcPr>
          <w:p>
            <w:pPr>
              <w:rPr>
                <w:color w:val="000000" w:themeColor="text1"/>
                <w:sz w:val="21"/>
                <w:szCs w:val="21"/>
                <w14:textFill>
                  <w14:solidFill>
                    <w14:schemeClr w14:val="tx1"/>
                  </w14:solidFill>
                </w14:textFill>
              </w:rPr>
            </w:pPr>
          </w:p>
        </w:tc>
        <w:tc>
          <w:tcPr>
            <w:tcW w:w="1937" w:type="dxa"/>
            <w:gridSpan w:val="2"/>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营运期</w:t>
            </w:r>
          </w:p>
        </w:tc>
        <w:tc>
          <w:tcPr>
            <w:tcW w:w="1850" w:type="dxa"/>
            <w:tcBorders>
              <w:top w:val="single" w:color="auto" w:sz="4" w:space="0"/>
            </w:tcBorders>
            <w:vAlign w:val="center"/>
          </w:tcPr>
          <w:p>
            <w:pPr>
              <w:pStyle w:val="60"/>
              <w:rPr>
                <w:kern w:val="2"/>
                <w:szCs w:val="21"/>
              </w:rPr>
            </w:pPr>
            <w:r>
              <w:rPr>
                <w:rFonts w:hint="eastAsia"/>
                <w:kern w:val="2"/>
                <w:szCs w:val="21"/>
              </w:rPr>
              <w:t>废机油</w:t>
            </w:r>
          </w:p>
        </w:tc>
        <w:tc>
          <w:tcPr>
            <w:tcW w:w="2288" w:type="dxa"/>
            <w:tcBorders>
              <w:top w:val="single" w:color="auto" w:sz="4" w:space="0"/>
            </w:tcBorders>
            <w:vAlign w:val="center"/>
          </w:tcPr>
          <w:p>
            <w:pPr>
              <w:pStyle w:val="60"/>
              <w:rPr>
                <w:color w:val="000000" w:themeColor="text1"/>
                <w:szCs w:val="21"/>
                <w14:textFill>
                  <w14:solidFill>
                    <w14:schemeClr w14:val="tx1"/>
                  </w14:solidFill>
                </w14:textFill>
              </w:rPr>
            </w:pPr>
            <w:r>
              <w:rPr>
                <w:rFonts w:hint="eastAsia" w:hAnsi="宋体"/>
                <w:bCs/>
              </w:rPr>
              <w:t>2kg/a</w:t>
            </w:r>
          </w:p>
        </w:tc>
        <w:tc>
          <w:tcPr>
            <w:tcW w:w="2805" w:type="dxa"/>
            <w:tcBorders>
              <w:top w:val="single" w:color="auto" w:sz="4" w:space="0"/>
            </w:tcBorders>
            <w:vAlign w:val="center"/>
          </w:tcPr>
          <w:p>
            <w:pPr>
              <w:spacing w:line="360" w:lineRule="auto"/>
              <w:ind w:firstLine="420" w:firstLineChars="200"/>
              <w:rPr>
                <w:color w:val="000000" w:themeColor="text1"/>
                <w:kern w:val="11"/>
                <w:sz w:val="21"/>
                <w:szCs w:val="21"/>
                <w14:textFill>
                  <w14:solidFill>
                    <w14:schemeClr w14:val="tx1"/>
                  </w14:solidFill>
                </w14:textFill>
              </w:rPr>
            </w:pPr>
            <w:r>
              <w:rPr>
                <w:rFonts w:hint="eastAsia"/>
                <w:color w:val="000000" w:themeColor="text1"/>
                <w:kern w:val="11"/>
                <w:sz w:val="21"/>
                <w:szCs w:val="21"/>
                <w14:textFill>
                  <w14:solidFill>
                    <w14:schemeClr w14:val="tx1"/>
                  </w14:solidFill>
                </w14:textFill>
              </w:rPr>
              <w:t>由维修人员带走。</w:t>
            </w:r>
          </w:p>
          <w:p>
            <w:pPr>
              <w:pStyle w:val="60"/>
              <w:rPr>
                <w:color w:val="000000" w:themeColor="text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9" w:hRule="atLeast"/>
        </w:trPr>
        <w:tc>
          <w:tcPr>
            <w:tcW w:w="931" w:type="dxa"/>
            <w:gridSpan w:val="2"/>
            <w:vMerge w:val="restart"/>
            <w:vAlign w:val="center"/>
          </w:tcPr>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噪</w:t>
            </w:r>
          </w:p>
          <w:p>
            <w:pPr>
              <w:pStyle w:val="6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声</w:t>
            </w:r>
          </w:p>
        </w:tc>
        <w:tc>
          <w:tcPr>
            <w:tcW w:w="862" w:type="dxa"/>
            <w:tcBorders>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施工期</w:t>
            </w:r>
          </w:p>
        </w:tc>
        <w:tc>
          <w:tcPr>
            <w:tcW w:w="1075" w:type="dxa"/>
            <w:tcBorders>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施工</w:t>
            </w:r>
          </w:p>
        </w:tc>
        <w:tc>
          <w:tcPr>
            <w:tcW w:w="1850" w:type="dxa"/>
            <w:tcBorders>
              <w:left w:val="single" w:color="auto" w:sz="4" w:space="0"/>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机械设备</w:t>
            </w:r>
          </w:p>
        </w:tc>
        <w:tc>
          <w:tcPr>
            <w:tcW w:w="2288" w:type="dxa"/>
            <w:tcBorders>
              <w:left w:val="single" w:color="auto" w:sz="4" w:space="0"/>
              <w:right w:val="single" w:color="auto" w:sz="4" w:space="0"/>
            </w:tcBorders>
            <w:vAlign w:val="center"/>
          </w:tcPr>
          <w:p>
            <w:pPr>
              <w:pStyle w:val="60"/>
              <w:rPr>
                <w:color w:val="000000" w:themeColor="text1"/>
                <w:szCs w:val="21"/>
                <w14:textFill>
                  <w14:solidFill>
                    <w14:schemeClr w14:val="tx1"/>
                  </w14:solidFill>
                </w14:textFill>
              </w:rPr>
            </w:pPr>
            <w:r>
              <w:rPr>
                <w:color w:val="000000" w:themeColor="text1"/>
                <w:szCs w:val="21"/>
                <w14:textFill>
                  <w14:solidFill>
                    <w14:schemeClr w14:val="tx1"/>
                  </w14:solidFill>
                </w14:textFill>
              </w:rPr>
              <w:t>75~100dB(A)</w:t>
            </w:r>
          </w:p>
        </w:tc>
        <w:tc>
          <w:tcPr>
            <w:tcW w:w="2805" w:type="dxa"/>
            <w:tcBorders>
              <w:left w:val="single" w:color="auto" w:sz="4" w:space="0"/>
            </w:tcBorders>
            <w:vAlign w:val="center"/>
          </w:tcPr>
          <w:p>
            <w:pPr>
              <w:pStyle w:val="60"/>
              <w:rPr>
                <w:color w:val="000000" w:themeColor="text1"/>
                <w:szCs w:val="21"/>
                <w14:textFill>
                  <w14:solidFill>
                    <w14:schemeClr w14:val="tx1"/>
                  </w14:solidFill>
                </w14:textFill>
              </w:rPr>
            </w:pPr>
            <w:r>
              <w:rPr>
                <w:rFonts w:hint="eastAsia" w:ascii="Arial" w:hAnsi="Arial" w:cs="Arial"/>
                <w:color w:val="000000" w:themeColor="text1"/>
                <w:szCs w:val="21"/>
                <w14:textFill>
                  <w14:solidFill>
                    <w14:schemeClr w14:val="tx1"/>
                  </w14:solidFill>
                </w14:textFill>
              </w:rPr>
              <w:t>昼间</w:t>
            </w:r>
            <w:r>
              <w:rPr>
                <w:rFonts w:ascii="Arial" w:hAnsi="Arial" w:cs="Arial"/>
                <w:color w:val="000000" w:themeColor="text1"/>
                <w:szCs w:val="21"/>
                <w14:textFill>
                  <w14:solidFill>
                    <w14:schemeClr w14:val="tx1"/>
                  </w14:solidFill>
                </w14:textFill>
              </w:rPr>
              <w:t>≤</w:t>
            </w:r>
            <w:r>
              <w:rPr>
                <w:color w:val="000000" w:themeColor="text1"/>
                <w:szCs w:val="21"/>
                <w14:textFill>
                  <w14:solidFill>
                    <w14:schemeClr w14:val="tx1"/>
                  </w14:solidFill>
                </w14:textFill>
              </w:rPr>
              <w:t>7</w:t>
            </w:r>
            <w:r>
              <w:rPr>
                <w:rFonts w:hint="eastAsia"/>
                <w:color w:val="000000" w:themeColor="text1"/>
                <w:szCs w:val="21"/>
                <w14:textFill>
                  <w14:solidFill>
                    <w14:schemeClr w14:val="tx1"/>
                  </w14:solidFill>
                </w14:textFill>
              </w:rPr>
              <w:t>0</w:t>
            </w:r>
            <w:r>
              <w:rPr>
                <w:color w:val="000000" w:themeColor="text1"/>
                <w:szCs w:val="21"/>
                <w14:textFill>
                  <w14:solidFill>
                    <w14:schemeClr w14:val="tx1"/>
                  </w14:solidFill>
                </w14:textFill>
              </w:rPr>
              <w:t>dB(A)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31" w:type="dxa"/>
            <w:gridSpan w:val="2"/>
            <w:vMerge w:val="continue"/>
            <w:vAlign w:val="center"/>
          </w:tcPr>
          <w:p>
            <w:pPr>
              <w:pStyle w:val="60"/>
              <w:rPr>
                <w:b/>
                <w:color w:val="000000" w:themeColor="text1"/>
                <w:szCs w:val="21"/>
                <w14:textFill>
                  <w14:solidFill>
                    <w14:schemeClr w14:val="tx1"/>
                  </w14:solidFill>
                </w14:textFill>
              </w:rPr>
            </w:pPr>
          </w:p>
        </w:tc>
        <w:tc>
          <w:tcPr>
            <w:tcW w:w="862" w:type="dxa"/>
            <w:tcBorders>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营运期</w:t>
            </w:r>
          </w:p>
        </w:tc>
        <w:tc>
          <w:tcPr>
            <w:tcW w:w="1075" w:type="dxa"/>
            <w:tcBorders>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设备运行</w:t>
            </w:r>
          </w:p>
        </w:tc>
        <w:tc>
          <w:tcPr>
            <w:tcW w:w="1850" w:type="dxa"/>
            <w:tcBorders>
              <w:left w:val="single" w:color="auto" w:sz="4" w:space="0"/>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水泵</w:t>
            </w:r>
          </w:p>
        </w:tc>
        <w:tc>
          <w:tcPr>
            <w:tcW w:w="2288" w:type="dxa"/>
            <w:tcBorders>
              <w:left w:val="single" w:color="auto" w:sz="4" w:space="0"/>
              <w:right w:val="single" w:color="auto" w:sz="4" w:space="0"/>
            </w:tcBorders>
            <w:vAlign w:val="center"/>
          </w:tcPr>
          <w:p>
            <w:pPr>
              <w:pStyle w:val="60"/>
              <w:rPr>
                <w:color w:val="000000" w:themeColor="text1"/>
                <w:szCs w:val="21"/>
                <w14:textFill>
                  <w14:solidFill>
                    <w14:schemeClr w14:val="tx1"/>
                  </w14:solidFill>
                </w14:textFill>
              </w:rPr>
            </w:pPr>
            <w:r>
              <w:rPr>
                <w:color w:val="000000" w:themeColor="text1"/>
                <w:szCs w:val="21"/>
                <w14:textFill>
                  <w14:solidFill>
                    <w14:schemeClr w14:val="tx1"/>
                  </w14:solidFill>
                </w14:textFill>
              </w:rPr>
              <w:t>75~100dB(A)</w:t>
            </w:r>
          </w:p>
        </w:tc>
        <w:tc>
          <w:tcPr>
            <w:tcW w:w="2805" w:type="dxa"/>
            <w:tcBorders>
              <w:left w:val="single" w:color="auto" w:sz="4" w:space="0"/>
            </w:tcBorders>
            <w:vAlign w:val="center"/>
          </w:tcPr>
          <w:p>
            <w:pPr>
              <w:pStyle w:val="60"/>
              <w:rPr>
                <w:color w:val="000000" w:themeColor="text1"/>
                <w:szCs w:val="21"/>
                <w14:textFill>
                  <w14:solidFill>
                    <w14:schemeClr w14:val="tx1"/>
                  </w14:solidFill>
                </w14:textFill>
              </w:rPr>
            </w:pPr>
            <w:r>
              <w:rPr>
                <w:rFonts w:hint="eastAsia" w:ascii="Arial" w:hAnsi="Arial" w:cs="Arial"/>
                <w:color w:val="000000" w:themeColor="text1"/>
                <w:szCs w:val="21"/>
                <w14:textFill>
                  <w14:solidFill>
                    <w14:schemeClr w14:val="tx1"/>
                  </w14:solidFill>
                </w14:textFill>
              </w:rPr>
              <w:t>昼间</w:t>
            </w:r>
            <w:r>
              <w:rPr>
                <w:rFonts w:ascii="Arial" w:hAnsi="Arial" w:cs="Arial"/>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60</w:t>
            </w:r>
            <w:r>
              <w:rPr>
                <w:color w:val="000000" w:themeColor="text1"/>
                <w:szCs w:val="21"/>
                <w14:textFill>
                  <w14:solidFill>
                    <w14:schemeClr w14:val="tx1"/>
                  </w14:solidFill>
                </w14:textFill>
              </w:rPr>
              <w:t>dB(A)</w:t>
            </w:r>
          </w:p>
          <w:p>
            <w:pPr>
              <w:pStyle w:val="60"/>
              <w:rPr>
                <w:color w:val="000000" w:themeColor="text1"/>
                <w:szCs w:val="21"/>
                <w14:textFill>
                  <w14:solidFill>
                    <w14:schemeClr w14:val="tx1"/>
                  </w14:solidFill>
                </w14:textFill>
              </w:rPr>
            </w:pPr>
            <w:r>
              <w:rPr>
                <w:rFonts w:hint="eastAsia" w:ascii="Arial" w:hAnsi="Arial" w:cs="Arial"/>
                <w:color w:val="000000" w:themeColor="text1"/>
                <w:szCs w:val="21"/>
                <w14:textFill>
                  <w14:solidFill>
                    <w14:schemeClr w14:val="tx1"/>
                  </w14:solidFill>
                </w14:textFill>
              </w:rPr>
              <w:t>夜间</w:t>
            </w:r>
            <w:r>
              <w:rPr>
                <w:rFonts w:ascii="Arial" w:hAnsi="Arial" w:cs="Arial"/>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60</w:t>
            </w:r>
            <w:r>
              <w:rPr>
                <w:color w:val="000000" w:themeColor="text1"/>
                <w:szCs w:val="21"/>
                <w14:textFill>
                  <w14:solidFill>
                    <w14:schemeClr w14:val="tx1"/>
                  </w14:solidFill>
                </w14:textFill>
              </w:rPr>
              <w:t>dB(A)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31" w:type="dxa"/>
            <w:gridSpan w:val="2"/>
            <w:vAlign w:val="center"/>
          </w:tcPr>
          <w:p>
            <w:pPr>
              <w:pStyle w:val="60"/>
              <w:jc w:val="both"/>
              <w:rPr>
                <w:b/>
                <w:color w:val="000000" w:themeColor="text1"/>
                <w:szCs w:val="21"/>
                <w14:textFill>
                  <w14:solidFill>
                    <w14:schemeClr w14:val="tx1"/>
                  </w14:solidFill>
                </w14:textFill>
              </w:rPr>
            </w:pPr>
            <w:r>
              <w:rPr>
                <w:b/>
                <w:color w:val="000000" w:themeColor="text1"/>
                <w:szCs w:val="21"/>
                <w14:textFill>
                  <w14:solidFill>
                    <w14:schemeClr w14:val="tx1"/>
                  </w14:solidFill>
                </w14:textFill>
              </w:rPr>
              <w:t>其他</w:t>
            </w:r>
          </w:p>
        </w:tc>
        <w:tc>
          <w:tcPr>
            <w:tcW w:w="862" w:type="dxa"/>
            <w:vAlign w:val="center"/>
          </w:tcPr>
          <w:p>
            <w:pPr>
              <w:pStyle w:val="60"/>
              <w:rPr>
                <w:color w:val="000000" w:themeColor="text1"/>
                <w:szCs w:val="21"/>
                <w14:textFill>
                  <w14:solidFill>
                    <w14:schemeClr w14:val="tx1"/>
                  </w14:solidFill>
                </w14:textFill>
              </w:rPr>
            </w:pPr>
          </w:p>
        </w:tc>
        <w:tc>
          <w:tcPr>
            <w:tcW w:w="8018" w:type="dxa"/>
            <w:gridSpan w:val="4"/>
            <w:vAlign w:val="center"/>
          </w:tcPr>
          <w:p>
            <w:pPr>
              <w:pStyle w:val="60"/>
              <w:rPr>
                <w:color w:val="000000" w:themeColor="text1"/>
                <w:szCs w:val="21"/>
                <w14:textFill>
                  <w14:solidFill>
                    <w14:schemeClr w14:val="tx1"/>
                  </w14:solidFill>
                </w14:textFill>
              </w:rPr>
            </w:pPr>
            <w:r>
              <w:rPr>
                <w:color w:val="000000" w:themeColor="text1"/>
                <w:szCs w:val="21"/>
                <w14:textFill>
                  <w14:solidFill>
                    <w14:schemeClr w14:val="tx1"/>
                  </w14:solidFill>
                </w14:textFill>
              </w:rPr>
              <w:t>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380" w:hRule="atLeast"/>
        </w:trPr>
        <w:tc>
          <w:tcPr>
            <w:tcW w:w="795" w:type="dxa"/>
          </w:tcPr>
          <w:p>
            <w:pPr>
              <w:rPr>
                <w:sz w:val="21"/>
                <w:szCs w:val="21"/>
              </w:rPr>
            </w:pPr>
          </w:p>
        </w:tc>
        <w:tc>
          <w:tcPr>
            <w:tcW w:w="9016" w:type="dxa"/>
            <w:gridSpan w:val="6"/>
          </w:tcPr>
          <w:p>
            <w:pPr>
              <w:pStyle w:val="31"/>
              <w:ind w:firstLine="0" w:firstLineChars="0"/>
              <w:outlineLvl w:val="9"/>
              <w:rPr>
                <w:szCs w:val="24"/>
              </w:rPr>
            </w:pPr>
            <w:r>
              <w:rPr>
                <w:szCs w:val="24"/>
              </w:rPr>
              <w:t>主要生态影响：</w:t>
            </w:r>
          </w:p>
          <w:p>
            <w:pPr>
              <w:spacing w:line="360" w:lineRule="auto"/>
              <w:ind w:firstLine="480" w:firstLineChars="200"/>
            </w:pPr>
            <w:r>
              <w:rPr>
                <w:rFonts w:hint="eastAsia"/>
              </w:rPr>
              <w:t>拟建工程产生的生态影响主要体现在施工期。工程沟槽土石方开挖，会造成沿线土地裸露，加深土壤侵蚀和水土流失，通过采取相应的生态保护措施和恢复措施，尤其是通过施工管理和强化施工期的保护和恢复，项目建设对生态环境的影响在可接受程度。</w:t>
            </w:r>
          </w:p>
          <w:p>
            <w:pPr>
              <w:rPr>
                <w:sz w:val="21"/>
                <w:szCs w:val="21"/>
              </w:rPr>
            </w:pPr>
          </w:p>
          <w:p>
            <w:pPr>
              <w:pStyle w:val="3"/>
              <w:rPr>
                <w:sz w:val="21"/>
                <w:szCs w:val="21"/>
              </w:rPr>
            </w:pPr>
          </w:p>
          <w:p>
            <w:pPr>
              <w:rPr>
                <w:sz w:val="21"/>
                <w:szCs w:val="21"/>
              </w:rPr>
            </w:pPr>
          </w:p>
          <w:p>
            <w:pPr>
              <w:pStyle w:val="3"/>
              <w:rPr>
                <w:sz w:val="21"/>
                <w:szCs w:val="21"/>
              </w:rPr>
            </w:pPr>
          </w:p>
          <w:p>
            <w:pPr>
              <w:rPr>
                <w:sz w:val="21"/>
                <w:szCs w:val="21"/>
              </w:rPr>
            </w:pPr>
          </w:p>
          <w:p>
            <w:pPr>
              <w:pStyle w:val="3"/>
              <w:rPr>
                <w:sz w:val="21"/>
                <w:szCs w:val="21"/>
              </w:rPr>
            </w:pPr>
          </w:p>
          <w:p>
            <w:pPr>
              <w:rPr>
                <w:sz w:val="21"/>
                <w:szCs w:val="21"/>
              </w:rPr>
            </w:pPr>
          </w:p>
          <w:p>
            <w:pPr>
              <w:pStyle w:val="3"/>
              <w:rPr>
                <w:sz w:val="21"/>
                <w:szCs w:val="21"/>
              </w:rPr>
            </w:pPr>
          </w:p>
          <w:p/>
          <w:p>
            <w:pPr>
              <w:rPr>
                <w:sz w:val="21"/>
                <w:szCs w:val="21"/>
              </w:rPr>
            </w:pPr>
          </w:p>
        </w:tc>
      </w:tr>
    </w:tbl>
    <w:p>
      <w:pPr>
        <w:spacing w:line="360" w:lineRule="auto"/>
        <w:outlineLvl w:val="0"/>
        <w:rPr>
          <w:b/>
          <w:color w:val="000000" w:themeColor="text1"/>
          <w:sz w:val="30"/>
          <w14:textFill>
            <w14:solidFill>
              <w14:schemeClr w14:val="tx1"/>
            </w14:solidFill>
          </w14:textFill>
        </w:rPr>
      </w:pPr>
      <w:r>
        <w:rPr>
          <w:color w:val="000000" w:themeColor="text1"/>
          <w:sz w:val="28"/>
          <w14:textFill>
            <w14:solidFill>
              <w14:schemeClr w14:val="tx1"/>
            </w14:solidFill>
          </w14:textFill>
        </w:rPr>
        <w:br w:type="page"/>
      </w:r>
      <w:bookmarkStart w:id="22" w:name="_Toc523322730"/>
      <w:r>
        <w:rPr>
          <w:b/>
          <w:color w:val="000000" w:themeColor="text1"/>
          <w:sz w:val="28"/>
          <w14:textFill>
            <w14:solidFill>
              <w14:schemeClr w14:val="tx1"/>
            </w14:solidFill>
          </w14:textFill>
        </w:rPr>
        <w:t>七、</w:t>
      </w:r>
      <w:r>
        <w:rPr>
          <w:b/>
          <w:color w:val="000000" w:themeColor="text1"/>
          <w:sz w:val="30"/>
          <w14:textFill>
            <w14:solidFill>
              <w14:schemeClr w14:val="tx1"/>
            </w14:solidFill>
          </w14:textFill>
        </w:rPr>
        <w:t>环境影响分析</w:t>
      </w:r>
      <w:bookmarkEnd w:id="22"/>
    </w:p>
    <w:tbl>
      <w:tblPr>
        <w:tblStyle w:val="44"/>
        <w:tblW w:w="9306" w:type="dxa"/>
        <w:tblInd w:w="108"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306"/>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3213" w:hRule="atLeast"/>
        </w:trPr>
        <w:tc>
          <w:tcPr>
            <w:tcW w:w="9306" w:type="dxa"/>
          </w:tcPr>
          <w:p>
            <w:pPr>
              <w:spacing w:line="360" w:lineRule="auto"/>
              <w:ind w:firstLine="482" w:firstLineChars="200"/>
              <w:rPr>
                <w:rFonts w:hAnsi="宋体"/>
                <w:b/>
              </w:rPr>
            </w:pPr>
            <w:r>
              <w:rPr>
                <w:rFonts w:hint="eastAsia" w:hAnsi="宋体"/>
                <w:b/>
              </w:rPr>
              <w:t>一、施工期环境影响分析：</w:t>
            </w:r>
          </w:p>
          <w:p>
            <w:pPr>
              <w:spacing w:line="360" w:lineRule="auto"/>
              <w:ind w:firstLine="480" w:firstLineChars="200"/>
              <w:rPr>
                <w:rFonts w:hAnsi="宋体"/>
              </w:rPr>
            </w:pPr>
            <w:r>
              <w:rPr>
                <w:rFonts w:hint="eastAsia" w:hAnsi="宋体"/>
              </w:rPr>
              <w:t>项目施工期所产生的环境影响主要有以下几个方面：</w:t>
            </w:r>
          </w:p>
          <w:p>
            <w:pPr>
              <w:spacing w:line="360" w:lineRule="auto"/>
              <w:ind w:firstLine="482" w:firstLineChars="200"/>
              <w:rPr>
                <w:rFonts w:hAnsi="宋体"/>
                <w:b/>
              </w:rPr>
            </w:pPr>
            <w:r>
              <w:rPr>
                <w:rFonts w:hint="eastAsia" w:hAnsi="宋体"/>
                <w:b/>
              </w:rPr>
              <w:t>1.大气环境影响分析</w:t>
            </w:r>
          </w:p>
          <w:p>
            <w:pPr>
              <w:spacing w:line="360" w:lineRule="auto"/>
              <w:ind w:firstLine="482" w:firstLineChars="200"/>
              <w:rPr>
                <w:rFonts w:hAnsi="宋体"/>
                <w:b/>
              </w:rPr>
            </w:pPr>
            <w:r>
              <w:rPr>
                <w:rFonts w:hint="eastAsia" w:hAnsi="宋体"/>
                <w:b/>
              </w:rPr>
              <w:t>1</w:t>
            </w:r>
            <w:r>
              <w:rPr>
                <w:rFonts w:hAnsi="宋体"/>
                <w:b/>
              </w:rPr>
              <w:t>.1</w:t>
            </w:r>
            <w:r>
              <w:rPr>
                <w:rFonts w:hint="eastAsia" w:hAnsi="宋体"/>
                <w:b/>
              </w:rPr>
              <w:t xml:space="preserve">施工扬尘 </w:t>
            </w:r>
          </w:p>
          <w:p>
            <w:pPr>
              <w:spacing w:line="360" w:lineRule="auto"/>
              <w:ind w:firstLine="480" w:firstLineChars="200"/>
              <w:rPr>
                <w:rFonts w:hAnsi="宋体"/>
              </w:rPr>
            </w:pPr>
            <w:r>
              <w:rPr>
                <w:rFonts w:hint="eastAsia" w:hAnsi="宋体"/>
              </w:rPr>
              <w:t>本项目施工期扬尘污染主要来自施工道路扬尘、施工作业扬尘等，主要污染因子为 TSP。 为使施工过程中产生的扬尘和废气对周围环境空气的影响降低到最小程度，加强建设工程施工现场管理，采取扬尘污染防治措施。</w:t>
            </w:r>
          </w:p>
          <w:p>
            <w:pPr>
              <w:spacing w:line="360" w:lineRule="auto"/>
              <w:ind w:firstLine="480" w:firstLineChars="200"/>
              <w:rPr>
                <w:rFonts w:hAnsi="宋体"/>
              </w:rPr>
            </w:pPr>
            <w:r>
              <w:rPr>
                <w:rFonts w:hint="eastAsia" w:hAnsi="宋体"/>
              </w:rPr>
              <w:t>1）洒水降尘 施工在土方开挖、钻孔过程中，应洒水使作业面保持一定的湿度；</w:t>
            </w:r>
            <w:r>
              <w:rPr>
                <w:rFonts w:hAnsi="宋体"/>
              </w:rPr>
              <w:t xml:space="preserve"> </w:t>
            </w:r>
          </w:p>
          <w:p>
            <w:pPr>
              <w:spacing w:line="360" w:lineRule="auto"/>
              <w:rPr>
                <w:rFonts w:hAnsi="宋体"/>
              </w:rPr>
            </w:pPr>
            <w:r>
              <w:rPr>
                <w:rFonts w:hint="eastAsia" w:hAnsi="宋体"/>
              </w:rPr>
              <w:t>开挖出来的泥土，不宜堆积时间过长和堆积过高，因为临时堆积，易被刮扬起尘土。必要时进行洒水，使其保持一定的湿度。</w:t>
            </w:r>
          </w:p>
          <w:p>
            <w:pPr>
              <w:spacing w:line="360" w:lineRule="auto"/>
              <w:ind w:firstLine="480" w:firstLineChars="200"/>
              <w:rPr>
                <w:rFonts w:hAnsi="宋体"/>
              </w:rPr>
            </w:pPr>
            <w:r>
              <w:rPr>
                <w:rFonts w:hint="eastAsia" w:hAnsi="宋体"/>
              </w:rPr>
              <w:t>2）复绿工程 充分利用施工场地，尽量少占地，施工结束后应立即恢复原貌和进行绿化。对暂时不能施工的场地应保护好原有的植被或进行简易绿化或采取防尘措施。</w:t>
            </w:r>
          </w:p>
          <w:p>
            <w:pPr>
              <w:spacing w:line="360" w:lineRule="auto"/>
              <w:ind w:firstLine="482" w:firstLineChars="200"/>
              <w:rPr>
                <w:rFonts w:hAnsi="宋体"/>
                <w:b/>
              </w:rPr>
            </w:pPr>
            <w:r>
              <w:rPr>
                <w:rFonts w:hint="eastAsia" w:hAnsi="宋体"/>
                <w:b/>
              </w:rPr>
              <w:t>1</w:t>
            </w:r>
            <w:r>
              <w:rPr>
                <w:rFonts w:hAnsi="宋体"/>
                <w:b/>
              </w:rPr>
              <w:t>.2</w:t>
            </w:r>
            <w:r>
              <w:rPr>
                <w:rFonts w:hint="eastAsia" w:hAnsi="宋体"/>
                <w:b/>
              </w:rPr>
              <w:t>施工运输车辆尾气和施工机械废气</w:t>
            </w:r>
          </w:p>
          <w:p>
            <w:pPr>
              <w:spacing w:line="360" w:lineRule="auto"/>
              <w:ind w:firstLine="480" w:firstLineChars="200"/>
              <w:rPr>
                <w:rFonts w:hAnsi="宋体"/>
              </w:rPr>
            </w:pPr>
            <w:r>
              <w:rPr>
                <w:rFonts w:hint="eastAsia" w:hAnsi="宋体"/>
              </w:rPr>
              <w:t xml:space="preserve"> 本项目施工建筑物料运输车辆和施工机械（主要包括挖掘机、振动碾压机和推土</w:t>
            </w:r>
          </w:p>
          <w:p>
            <w:pPr>
              <w:spacing w:line="360" w:lineRule="auto"/>
              <w:rPr>
                <w:rFonts w:hAnsi="宋体"/>
              </w:rPr>
            </w:pPr>
            <w:r>
              <w:rPr>
                <w:rFonts w:hint="eastAsia" w:hAnsi="宋体"/>
              </w:rPr>
              <w:t>机等），以柴油为燃料会产生一定量废气，污染物为 CO、NOx。但由于本项目施工工期短，工程量少，仅在少量阶段使用以柴油为动力的施工机械和材料运输过程使用的车辆存在化石燃料燃烧尾气，其污染程度相对较轻。根据同类型建设项目现场监测结果，在距现场 50m 处 CO、NOx 时平均增加值分别为 0.2mg/m</w:t>
            </w:r>
            <w:r>
              <w:rPr>
                <w:rFonts w:hint="eastAsia" w:hAnsi="宋体"/>
                <w:vertAlign w:val="superscript"/>
              </w:rPr>
              <w:t>3</w:t>
            </w:r>
            <w:r>
              <w:rPr>
                <w:rFonts w:hint="eastAsia" w:hAnsi="宋体"/>
              </w:rPr>
              <w:t xml:space="preserve"> 和 0.09mg/m</w:t>
            </w:r>
            <w:r>
              <w:rPr>
                <w:rFonts w:hint="eastAsia" w:hAnsi="宋体"/>
                <w:vertAlign w:val="superscript"/>
              </w:rPr>
              <w:t>3</w:t>
            </w:r>
            <w:r>
              <w:rPr>
                <w:rFonts w:hint="eastAsia" w:hAnsi="宋体"/>
              </w:rPr>
              <w:t>， 占《环境空气质量标准》（GB3095-2012）二级标准中小时浓度限值的 2%和 3.75%。 因此，本项目施工期施工机械及运输车辆尾气不会对周围环境空气质量产生明显的影响。</w:t>
            </w:r>
          </w:p>
          <w:p>
            <w:pPr>
              <w:spacing w:line="360" w:lineRule="auto"/>
              <w:ind w:firstLine="480" w:firstLineChars="200"/>
              <w:rPr>
                <w:rFonts w:hAnsi="宋体"/>
              </w:rPr>
            </w:pPr>
            <w:r>
              <w:rPr>
                <w:rFonts w:hint="eastAsia" w:hAnsi="宋体"/>
              </w:rPr>
              <w:t>采取上述防治措施后，本项目施工期产生的废气对周围环境空气和附近居民的影 响可得到一定程度的减弱，影响不大，施工期结束后影响也将消失。</w:t>
            </w:r>
          </w:p>
          <w:p>
            <w:pPr>
              <w:spacing w:line="360" w:lineRule="auto"/>
              <w:ind w:firstLine="482" w:firstLineChars="200"/>
              <w:rPr>
                <w:rFonts w:hAnsi="宋体"/>
                <w:b/>
              </w:rPr>
            </w:pPr>
            <w:r>
              <w:rPr>
                <w:rFonts w:hint="eastAsia" w:hAnsi="宋体"/>
                <w:b/>
              </w:rPr>
              <w:t>2 地表水环境影响分析</w:t>
            </w:r>
          </w:p>
          <w:p>
            <w:pPr>
              <w:spacing w:line="360" w:lineRule="auto"/>
              <w:ind w:firstLine="480" w:firstLineChars="200"/>
              <w:rPr>
                <w:rFonts w:hAnsi="宋体"/>
              </w:rPr>
            </w:pPr>
            <w:r>
              <w:rPr>
                <w:rFonts w:hint="eastAsia" w:hAnsi="宋体"/>
              </w:rPr>
              <w:t>（1）生活污水</w:t>
            </w:r>
          </w:p>
          <w:p>
            <w:pPr>
              <w:spacing w:line="360" w:lineRule="auto"/>
              <w:ind w:firstLine="480" w:firstLineChars="200"/>
              <w:rPr>
                <w:rFonts w:hAnsi="宋体"/>
              </w:rPr>
            </w:pPr>
            <w:r>
              <w:rPr>
                <w:rFonts w:hint="eastAsia" w:hAnsi="宋体"/>
              </w:rPr>
              <w:t>项目施工工人均为附近居民，因此施工期无生活污水产生。</w:t>
            </w:r>
          </w:p>
          <w:p>
            <w:pPr>
              <w:spacing w:line="360" w:lineRule="auto"/>
              <w:ind w:firstLine="480" w:firstLineChars="200"/>
              <w:rPr>
                <w:rFonts w:hAnsi="宋体"/>
              </w:rPr>
            </w:pPr>
            <w:r>
              <w:rPr>
                <w:rFonts w:hint="eastAsia" w:hAnsi="宋体"/>
              </w:rPr>
              <w:t>（2）施工废水</w:t>
            </w:r>
          </w:p>
          <w:p>
            <w:pPr>
              <w:spacing w:line="360" w:lineRule="auto"/>
              <w:ind w:firstLine="480" w:firstLineChars="200"/>
              <w:rPr>
                <w:rFonts w:hAnsi="宋体"/>
              </w:rPr>
            </w:pPr>
            <w:r>
              <w:rPr>
                <w:rFonts w:hint="eastAsia" w:hAnsi="宋体"/>
              </w:rPr>
              <w:t>施工废水约 2m</w:t>
            </w:r>
            <w:r>
              <w:rPr>
                <w:rFonts w:hint="eastAsia" w:hAnsi="宋体"/>
                <w:vertAlign w:val="superscript"/>
              </w:rPr>
              <w:t>3</w:t>
            </w:r>
            <w:r>
              <w:rPr>
                <w:rFonts w:hint="eastAsia" w:hAnsi="宋体"/>
              </w:rPr>
              <w:t>/d，pH 值一般为 9～11，并含有较高的 SS，浓度一般为 3000～ 10000mg/L。废水经沉淀池过滤后用于施工场地洒水降尘，不外排。因此施工废水对水环境影响较小。</w:t>
            </w:r>
          </w:p>
          <w:p>
            <w:pPr>
              <w:spacing w:line="360" w:lineRule="auto"/>
              <w:ind w:firstLine="480" w:firstLineChars="200"/>
              <w:rPr>
                <w:rFonts w:hAnsi="宋体"/>
              </w:rPr>
            </w:pPr>
            <w:r>
              <w:rPr>
                <w:rFonts w:hint="eastAsia" w:hAnsi="宋体"/>
              </w:rPr>
              <w:t>因此，施工废水对水环境影响较小。</w:t>
            </w:r>
          </w:p>
          <w:p>
            <w:pPr>
              <w:spacing w:line="360" w:lineRule="auto"/>
              <w:ind w:firstLine="482" w:firstLineChars="200"/>
              <w:rPr>
                <w:rFonts w:hAnsi="宋体"/>
                <w:b/>
              </w:rPr>
            </w:pPr>
            <w:r>
              <w:rPr>
                <w:rFonts w:hint="eastAsia" w:hAnsi="宋体"/>
                <w:b/>
              </w:rPr>
              <w:t xml:space="preserve">3 声环境影响分析 </w:t>
            </w:r>
          </w:p>
          <w:p>
            <w:pPr>
              <w:spacing w:line="360" w:lineRule="auto"/>
              <w:ind w:firstLine="480" w:firstLineChars="200"/>
              <w:rPr>
                <w:rFonts w:hAnsi="宋体"/>
              </w:rPr>
            </w:pPr>
            <w:r>
              <w:rPr>
                <w:rFonts w:hint="eastAsia" w:hAnsi="宋体"/>
              </w:rPr>
              <w:t>施工期对声环境的影响主要是施工噪声，噪声主要来源于施工机械噪声和运输车辆噪声。为了反映施工期的噪声对环境的影，将施工噪声近似为点声源处理，利用距离传播衰减模式预测施工噪声距离厂界处的噪声值，预测模式如下：</w:t>
            </w:r>
          </w:p>
          <w:p>
            <w:pPr>
              <w:spacing w:line="360" w:lineRule="auto"/>
              <w:ind w:firstLine="480" w:firstLineChars="200"/>
              <w:rPr>
                <w:rFonts w:hAnsi="宋体"/>
              </w:rPr>
            </w:pPr>
            <w:r>
              <w:rPr>
                <w:rFonts w:hint="eastAsia" w:hAnsi="宋体"/>
              </w:rPr>
              <w:t>距离传播衰减模式：</w:t>
            </w:r>
          </w:p>
          <w:p>
            <w:pPr>
              <w:pStyle w:val="6"/>
            </w:pPr>
            <w:r>
              <w:drawing>
                <wp:inline distT="0" distB="0" distL="0" distR="0">
                  <wp:extent cx="5085080" cy="2914015"/>
                  <wp:effectExtent l="0" t="0" r="1270" b="63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35"/>
                          <a:stretch>
                            <a:fillRect/>
                          </a:stretch>
                        </pic:blipFill>
                        <pic:spPr>
                          <a:xfrm>
                            <a:off x="0" y="0"/>
                            <a:ext cx="5085714" cy="2914286"/>
                          </a:xfrm>
                          <a:prstGeom prst="rect">
                            <a:avLst/>
                          </a:prstGeom>
                        </pic:spPr>
                      </pic:pic>
                    </a:graphicData>
                  </a:graphic>
                </wp:inline>
              </w:drawing>
            </w:r>
          </w:p>
          <w:p>
            <w:pPr>
              <w:tabs>
                <w:tab w:val="left" w:pos="3245"/>
                <w:tab w:val="left" w:pos="6196"/>
              </w:tabs>
              <w:spacing w:before="56"/>
              <w:ind w:left="2279"/>
              <w:rPr>
                <w:b/>
              </w:rPr>
            </w:pPr>
            <w:r>
              <w:rPr>
                <w:b/>
              </w:rPr>
              <w:t>表 7-1</w:t>
            </w:r>
            <w:r>
              <w:rPr>
                <w:b/>
              </w:rPr>
              <w:tab/>
            </w:r>
            <w:r>
              <w:rPr>
                <w:b/>
              </w:rPr>
              <w:t>距声源不同距离出的噪声值</w:t>
            </w:r>
            <w:r>
              <w:rPr>
                <w:b/>
              </w:rPr>
              <w:tab/>
            </w:r>
            <w:r>
              <w:rPr>
                <w:b/>
              </w:rPr>
              <w:t>dB（A）</w:t>
            </w:r>
          </w:p>
          <w:p>
            <w:pPr>
              <w:spacing w:before="9"/>
            </w:pPr>
          </w:p>
          <w:tbl>
            <w:tblPr>
              <w:tblStyle w:val="256"/>
              <w:tblW w:w="0" w:type="auto"/>
              <w:jc w:val="center"/>
              <w:tblLayout w:type="autofit"/>
              <w:tblCellMar>
                <w:top w:w="0" w:type="dxa"/>
                <w:left w:w="0" w:type="dxa"/>
                <w:bottom w:w="0" w:type="dxa"/>
                <w:right w:w="0" w:type="dxa"/>
              </w:tblCellMar>
            </w:tblPr>
            <w:tblGrid>
              <w:gridCol w:w="1756"/>
              <w:gridCol w:w="758"/>
              <w:gridCol w:w="760"/>
              <w:gridCol w:w="758"/>
              <w:gridCol w:w="757"/>
              <w:gridCol w:w="758"/>
              <w:gridCol w:w="724"/>
              <w:gridCol w:w="899"/>
              <w:gridCol w:w="846"/>
              <w:gridCol w:w="842"/>
            </w:tblGrid>
            <w:tr>
              <w:tblPrEx>
                <w:tblCellMar>
                  <w:top w:w="0" w:type="dxa"/>
                  <w:left w:w="0" w:type="dxa"/>
                  <w:bottom w:w="0" w:type="dxa"/>
                  <w:right w:w="0" w:type="dxa"/>
                </w:tblCellMar>
              </w:tblPrEx>
              <w:trPr>
                <w:trHeight w:val="360" w:hRule="exact"/>
                <w:jc w:val="center"/>
              </w:trPr>
              <w:tc>
                <w:tcPr>
                  <w:tcW w:w="1756" w:type="dxa"/>
                  <w:tcBorders>
                    <w:top w:val="single" w:color="000000" w:sz="8" w:space="0"/>
                    <w:left w:val="nil"/>
                    <w:bottom w:val="single" w:color="000000" w:sz="8" w:space="0"/>
                    <w:right w:val="single" w:color="000000" w:sz="8" w:space="0"/>
                  </w:tcBorders>
                </w:tcPr>
                <w:p>
                  <w:pPr>
                    <w:pStyle w:val="106"/>
                    <w:ind w:left="464"/>
                    <w:jc w:val="left"/>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设备名称</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ind w:left="235"/>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1m</w:t>
                  </w:r>
                </w:p>
              </w:tc>
              <w:tc>
                <w:tcPr>
                  <w:tcW w:w="760" w:type="dxa"/>
                  <w:tcBorders>
                    <w:top w:val="single" w:color="000000" w:sz="8" w:space="0"/>
                    <w:left w:val="single" w:color="000000" w:sz="8" w:space="0"/>
                    <w:bottom w:val="single" w:color="000000" w:sz="8" w:space="0"/>
                    <w:right w:val="single" w:color="000000" w:sz="8" w:space="0"/>
                  </w:tcBorders>
                </w:tcPr>
                <w:p>
                  <w:pPr>
                    <w:pStyle w:val="106"/>
                    <w:spacing w:before="50"/>
                    <w:ind w:left="235"/>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5m</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ind w:left="182"/>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10m</w:t>
                  </w:r>
                </w:p>
              </w:tc>
              <w:tc>
                <w:tcPr>
                  <w:tcW w:w="757" w:type="dxa"/>
                  <w:tcBorders>
                    <w:top w:val="single" w:color="000000" w:sz="8" w:space="0"/>
                    <w:left w:val="single" w:color="000000" w:sz="8" w:space="0"/>
                    <w:bottom w:val="single" w:color="000000" w:sz="8" w:space="0"/>
                    <w:right w:val="single" w:color="000000" w:sz="8" w:space="0"/>
                  </w:tcBorders>
                </w:tcPr>
                <w:p>
                  <w:pPr>
                    <w:pStyle w:val="106"/>
                    <w:spacing w:before="50"/>
                    <w:ind w:left="18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20m</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ind w:left="182"/>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40m</w:t>
                  </w:r>
                </w:p>
              </w:tc>
              <w:tc>
                <w:tcPr>
                  <w:tcW w:w="724" w:type="dxa"/>
                  <w:tcBorders>
                    <w:top w:val="single" w:color="000000" w:sz="8" w:space="0"/>
                    <w:left w:val="single" w:color="000000" w:sz="8" w:space="0"/>
                    <w:bottom w:val="single" w:color="000000" w:sz="8" w:space="0"/>
                    <w:right w:val="single" w:color="000000" w:sz="8" w:space="0"/>
                  </w:tcBorders>
                </w:tcPr>
                <w:p>
                  <w:pPr>
                    <w:pStyle w:val="106"/>
                    <w:spacing w:before="50"/>
                    <w:ind w:left="165"/>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50m</w:t>
                  </w:r>
                </w:p>
              </w:tc>
              <w:tc>
                <w:tcPr>
                  <w:tcW w:w="899" w:type="dxa"/>
                  <w:tcBorders>
                    <w:top w:val="single" w:color="000000" w:sz="8" w:space="0"/>
                    <w:left w:val="single" w:color="000000" w:sz="8" w:space="0"/>
                    <w:bottom w:val="single" w:color="000000" w:sz="8" w:space="0"/>
                    <w:right w:val="single" w:color="000000" w:sz="8" w:space="0"/>
                  </w:tcBorders>
                </w:tcPr>
                <w:p>
                  <w:pPr>
                    <w:pStyle w:val="106"/>
                    <w:spacing w:before="50"/>
                    <w:ind w:left="20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100m</w:t>
                  </w:r>
                </w:p>
              </w:tc>
              <w:tc>
                <w:tcPr>
                  <w:tcW w:w="846" w:type="dxa"/>
                  <w:tcBorders>
                    <w:top w:val="single" w:color="000000" w:sz="8" w:space="0"/>
                    <w:left w:val="single" w:color="000000" w:sz="8" w:space="0"/>
                    <w:bottom w:val="single" w:color="000000" w:sz="8" w:space="0"/>
                    <w:right w:val="single" w:color="000000" w:sz="8" w:space="0"/>
                  </w:tcBorders>
                </w:tcPr>
                <w:p>
                  <w:pPr>
                    <w:pStyle w:val="106"/>
                    <w:spacing w:before="50"/>
                    <w:ind w:left="173"/>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150m</w:t>
                  </w:r>
                </w:p>
              </w:tc>
              <w:tc>
                <w:tcPr>
                  <w:tcW w:w="842" w:type="dxa"/>
                  <w:tcBorders>
                    <w:top w:val="single" w:color="000000" w:sz="8" w:space="0"/>
                    <w:left w:val="single" w:color="000000" w:sz="8" w:space="0"/>
                    <w:bottom w:val="single" w:color="000000" w:sz="8" w:space="0"/>
                    <w:right w:val="nil"/>
                  </w:tcBorders>
                </w:tcPr>
                <w:p>
                  <w:pPr>
                    <w:pStyle w:val="106"/>
                    <w:spacing w:before="50"/>
                    <w:ind w:left="172"/>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200m</w:t>
                  </w:r>
                </w:p>
              </w:tc>
            </w:tr>
            <w:tr>
              <w:tblPrEx>
                <w:tblCellMar>
                  <w:top w:w="0" w:type="dxa"/>
                  <w:left w:w="0" w:type="dxa"/>
                  <w:bottom w:w="0" w:type="dxa"/>
                  <w:right w:w="0" w:type="dxa"/>
                </w:tblCellMar>
              </w:tblPrEx>
              <w:trPr>
                <w:trHeight w:val="360" w:hRule="exact"/>
                <w:jc w:val="center"/>
              </w:trPr>
              <w:tc>
                <w:tcPr>
                  <w:tcW w:w="1756" w:type="dxa"/>
                  <w:tcBorders>
                    <w:top w:val="single" w:color="000000" w:sz="8" w:space="0"/>
                    <w:left w:val="nil"/>
                    <w:bottom w:val="single" w:color="000000" w:sz="8" w:space="0"/>
                    <w:right w:val="single" w:color="000000" w:sz="8" w:space="0"/>
                  </w:tcBorders>
                </w:tcPr>
                <w:p>
                  <w:pPr>
                    <w:pStyle w:val="106"/>
                    <w:ind w:left="600"/>
                    <w:jc w:val="left"/>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装载机</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95</w:t>
                  </w:r>
                </w:p>
              </w:tc>
              <w:tc>
                <w:tcPr>
                  <w:tcW w:w="760"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81</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75</w:t>
                  </w:r>
                </w:p>
              </w:tc>
              <w:tc>
                <w:tcPr>
                  <w:tcW w:w="757"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69</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63</w:t>
                  </w:r>
                </w:p>
              </w:tc>
              <w:tc>
                <w:tcPr>
                  <w:tcW w:w="724" w:type="dxa"/>
                  <w:tcBorders>
                    <w:top w:val="single" w:color="000000" w:sz="8" w:space="0"/>
                    <w:left w:val="single" w:color="000000" w:sz="8" w:space="0"/>
                    <w:bottom w:val="single" w:color="000000" w:sz="8" w:space="0"/>
                    <w:right w:val="single" w:color="000000" w:sz="8" w:space="0"/>
                  </w:tcBorders>
                </w:tcPr>
                <w:p>
                  <w:pPr>
                    <w:pStyle w:val="106"/>
                    <w:spacing w:before="50"/>
                    <w:ind w:lef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61</w:t>
                  </w:r>
                </w:p>
              </w:tc>
              <w:tc>
                <w:tcPr>
                  <w:tcW w:w="899" w:type="dxa"/>
                  <w:tcBorders>
                    <w:top w:val="single" w:color="000000" w:sz="8" w:space="0"/>
                    <w:left w:val="single" w:color="000000" w:sz="8" w:space="0"/>
                    <w:bottom w:val="single" w:color="000000" w:sz="8" w:space="0"/>
                    <w:right w:val="single" w:color="000000" w:sz="8" w:space="0"/>
                  </w:tcBorders>
                </w:tcPr>
                <w:p>
                  <w:pPr>
                    <w:pStyle w:val="106"/>
                    <w:spacing w:before="50"/>
                    <w:ind w:lef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55</w:t>
                  </w:r>
                </w:p>
              </w:tc>
              <w:tc>
                <w:tcPr>
                  <w:tcW w:w="846"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51</w:t>
                  </w:r>
                </w:p>
              </w:tc>
              <w:tc>
                <w:tcPr>
                  <w:tcW w:w="842" w:type="dxa"/>
                  <w:tcBorders>
                    <w:top w:val="single" w:color="000000" w:sz="8" w:space="0"/>
                    <w:left w:val="single" w:color="000000" w:sz="8" w:space="0"/>
                    <w:bottom w:val="single" w:color="000000" w:sz="8" w:space="0"/>
                    <w:right w:val="nil"/>
                  </w:tcBorders>
                </w:tcPr>
                <w:p>
                  <w:pPr>
                    <w:pStyle w:val="106"/>
                    <w:spacing w:before="50"/>
                    <w:ind w:right="7"/>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49</w:t>
                  </w:r>
                </w:p>
              </w:tc>
            </w:tr>
            <w:tr>
              <w:tblPrEx>
                <w:tblCellMar>
                  <w:top w:w="0" w:type="dxa"/>
                  <w:left w:w="0" w:type="dxa"/>
                  <w:bottom w:w="0" w:type="dxa"/>
                  <w:right w:w="0" w:type="dxa"/>
                </w:tblCellMar>
              </w:tblPrEx>
              <w:trPr>
                <w:trHeight w:val="360" w:hRule="exact"/>
                <w:jc w:val="center"/>
              </w:trPr>
              <w:tc>
                <w:tcPr>
                  <w:tcW w:w="1756" w:type="dxa"/>
                  <w:tcBorders>
                    <w:top w:val="single" w:color="000000" w:sz="8" w:space="0"/>
                    <w:left w:val="nil"/>
                    <w:bottom w:val="single" w:color="000000" w:sz="8" w:space="0"/>
                    <w:right w:val="single" w:color="000000" w:sz="8" w:space="0"/>
                  </w:tcBorders>
                </w:tcPr>
                <w:p>
                  <w:pPr>
                    <w:pStyle w:val="106"/>
                    <w:ind w:left="570"/>
                    <w:jc w:val="left"/>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平地机</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90</w:t>
                  </w:r>
                </w:p>
              </w:tc>
              <w:tc>
                <w:tcPr>
                  <w:tcW w:w="760"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76</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70</w:t>
                  </w:r>
                </w:p>
              </w:tc>
              <w:tc>
                <w:tcPr>
                  <w:tcW w:w="757"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64</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58</w:t>
                  </w:r>
                </w:p>
              </w:tc>
              <w:tc>
                <w:tcPr>
                  <w:tcW w:w="724" w:type="dxa"/>
                  <w:tcBorders>
                    <w:top w:val="single" w:color="000000" w:sz="8" w:space="0"/>
                    <w:left w:val="single" w:color="000000" w:sz="8" w:space="0"/>
                    <w:bottom w:val="single" w:color="000000" w:sz="8" w:space="0"/>
                    <w:right w:val="single" w:color="000000" w:sz="8" w:space="0"/>
                  </w:tcBorders>
                </w:tcPr>
                <w:p>
                  <w:pPr>
                    <w:pStyle w:val="106"/>
                    <w:spacing w:before="50"/>
                    <w:ind w:lef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56</w:t>
                  </w:r>
                </w:p>
              </w:tc>
              <w:tc>
                <w:tcPr>
                  <w:tcW w:w="899" w:type="dxa"/>
                  <w:tcBorders>
                    <w:top w:val="single" w:color="000000" w:sz="8" w:space="0"/>
                    <w:left w:val="single" w:color="000000" w:sz="8" w:space="0"/>
                    <w:bottom w:val="single" w:color="000000" w:sz="8" w:space="0"/>
                    <w:right w:val="single" w:color="000000" w:sz="8" w:space="0"/>
                  </w:tcBorders>
                </w:tcPr>
                <w:p>
                  <w:pPr>
                    <w:pStyle w:val="106"/>
                    <w:spacing w:before="50"/>
                    <w:ind w:lef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50</w:t>
                  </w:r>
                </w:p>
              </w:tc>
              <w:tc>
                <w:tcPr>
                  <w:tcW w:w="846"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46</w:t>
                  </w:r>
                </w:p>
              </w:tc>
              <w:tc>
                <w:tcPr>
                  <w:tcW w:w="842" w:type="dxa"/>
                  <w:tcBorders>
                    <w:top w:val="single" w:color="000000" w:sz="8" w:space="0"/>
                    <w:left w:val="single" w:color="000000" w:sz="8" w:space="0"/>
                    <w:bottom w:val="single" w:color="000000" w:sz="8" w:space="0"/>
                    <w:right w:val="nil"/>
                  </w:tcBorders>
                </w:tcPr>
                <w:p>
                  <w:pPr>
                    <w:pStyle w:val="106"/>
                    <w:spacing w:before="50"/>
                    <w:ind w:right="7"/>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44</w:t>
                  </w:r>
                </w:p>
              </w:tc>
            </w:tr>
            <w:tr>
              <w:tblPrEx>
                <w:tblCellMar>
                  <w:top w:w="0" w:type="dxa"/>
                  <w:left w:w="0" w:type="dxa"/>
                  <w:bottom w:w="0" w:type="dxa"/>
                  <w:right w:w="0" w:type="dxa"/>
                </w:tblCellMar>
              </w:tblPrEx>
              <w:trPr>
                <w:trHeight w:val="360" w:hRule="exact"/>
                <w:jc w:val="center"/>
              </w:trPr>
              <w:tc>
                <w:tcPr>
                  <w:tcW w:w="1756" w:type="dxa"/>
                  <w:tcBorders>
                    <w:top w:val="single" w:color="000000" w:sz="8" w:space="0"/>
                    <w:left w:val="nil"/>
                    <w:bottom w:val="single" w:color="000000" w:sz="8" w:space="0"/>
                    <w:right w:val="single" w:color="000000" w:sz="8" w:space="0"/>
                  </w:tcBorders>
                </w:tcPr>
                <w:p>
                  <w:pPr>
                    <w:pStyle w:val="106"/>
                    <w:ind w:left="600"/>
                    <w:jc w:val="left"/>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推土机</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85</w:t>
                  </w:r>
                </w:p>
              </w:tc>
              <w:tc>
                <w:tcPr>
                  <w:tcW w:w="760"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71</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65</w:t>
                  </w:r>
                </w:p>
              </w:tc>
              <w:tc>
                <w:tcPr>
                  <w:tcW w:w="757"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59</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53</w:t>
                  </w:r>
                </w:p>
              </w:tc>
              <w:tc>
                <w:tcPr>
                  <w:tcW w:w="724" w:type="dxa"/>
                  <w:tcBorders>
                    <w:top w:val="single" w:color="000000" w:sz="8" w:space="0"/>
                    <w:left w:val="single" w:color="000000" w:sz="8" w:space="0"/>
                    <w:bottom w:val="single" w:color="000000" w:sz="8" w:space="0"/>
                    <w:right w:val="single" w:color="000000" w:sz="8" w:space="0"/>
                  </w:tcBorders>
                </w:tcPr>
                <w:p>
                  <w:pPr>
                    <w:pStyle w:val="106"/>
                    <w:spacing w:before="50"/>
                    <w:ind w:lef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51</w:t>
                  </w:r>
                </w:p>
              </w:tc>
              <w:tc>
                <w:tcPr>
                  <w:tcW w:w="899" w:type="dxa"/>
                  <w:tcBorders>
                    <w:top w:val="single" w:color="000000" w:sz="8" w:space="0"/>
                    <w:left w:val="single" w:color="000000" w:sz="8" w:space="0"/>
                    <w:bottom w:val="single" w:color="000000" w:sz="8" w:space="0"/>
                    <w:right w:val="single" w:color="000000" w:sz="8" w:space="0"/>
                  </w:tcBorders>
                </w:tcPr>
                <w:p>
                  <w:pPr>
                    <w:pStyle w:val="106"/>
                    <w:spacing w:before="50"/>
                    <w:ind w:lef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45</w:t>
                  </w:r>
                </w:p>
              </w:tc>
              <w:tc>
                <w:tcPr>
                  <w:tcW w:w="846"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41</w:t>
                  </w:r>
                </w:p>
              </w:tc>
              <w:tc>
                <w:tcPr>
                  <w:tcW w:w="842" w:type="dxa"/>
                  <w:tcBorders>
                    <w:top w:val="single" w:color="000000" w:sz="8" w:space="0"/>
                    <w:left w:val="single" w:color="000000" w:sz="8" w:space="0"/>
                    <w:bottom w:val="single" w:color="000000" w:sz="8" w:space="0"/>
                    <w:right w:val="nil"/>
                  </w:tcBorders>
                </w:tcPr>
                <w:p>
                  <w:pPr>
                    <w:pStyle w:val="106"/>
                    <w:spacing w:before="50"/>
                    <w:ind w:right="7"/>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39</w:t>
                  </w:r>
                </w:p>
              </w:tc>
            </w:tr>
            <w:tr>
              <w:tblPrEx>
                <w:tblCellMar>
                  <w:top w:w="0" w:type="dxa"/>
                  <w:left w:w="0" w:type="dxa"/>
                  <w:bottom w:w="0" w:type="dxa"/>
                  <w:right w:w="0" w:type="dxa"/>
                </w:tblCellMar>
              </w:tblPrEx>
              <w:trPr>
                <w:trHeight w:val="360" w:hRule="exact"/>
                <w:jc w:val="center"/>
              </w:trPr>
              <w:tc>
                <w:tcPr>
                  <w:tcW w:w="1756" w:type="dxa"/>
                  <w:tcBorders>
                    <w:top w:val="single" w:color="000000" w:sz="8" w:space="0"/>
                    <w:left w:val="nil"/>
                    <w:bottom w:val="single" w:color="000000" w:sz="8" w:space="0"/>
                    <w:right w:val="single" w:color="000000" w:sz="8" w:space="0"/>
                  </w:tcBorders>
                </w:tcPr>
                <w:p>
                  <w:pPr>
                    <w:pStyle w:val="106"/>
                    <w:ind w:left="600"/>
                    <w:jc w:val="left"/>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挖掘机</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95</w:t>
                  </w:r>
                </w:p>
              </w:tc>
              <w:tc>
                <w:tcPr>
                  <w:tcW w:w="760"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81</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75</w:t>
                  </w:r>
                </w:p>
              </w:tc>
              <w:tc>
                <w:tcPr>
                  <w:tcW w:w="757"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69</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63</w:t>
                  </w:r>
                </w:p>
              </w:tc>
              <w:tc>
                <w:tcPr>
                  <w:tcW w:w="724" w:type="dxa"/>
                  <w:tcBorders>
                    <w:top w:val="single" w:color="000000" w:sz="8" w:space="0"/>
                    <w:left w:val="single" w:color="000000" w:sz="8" w:space="0"/>
                    <w:bottom w:val="single" w:color="000000" w:sz="8" w:space="0"/>
                    <w:right w:val="single" w:color="000000" w:sz="8" w:space="0"/>
                  </w:tcBorders>
                </w:tcPr>
                <w:p>
                  <w:pPr>
                    <w:pStyle w:val="106"/>
                    <w:spacing w:before="50"/>
                    <w:ind w:lef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61</w:t>
                  </w:r>
                </w:p>
              </w:tc>
              <w:tc>
                <w:tcPr>
                  <w:tcW w:w="899" w:type="dxa"/>
                  <w:tcBorders>
                    <w:top w:val="single" w:color="000000" w:sz="8" w:space="0"/>
                    <w:left w:val="single" w:color="000000" w:sz="8" w:space="0"/>
                    <w:bottom w:val="single" w:color="000000" w:sz="8" w:space="0"/>
                    <w:right w:val="single" w:color="000000" w:sz="8" w:space="0"/>
                  </w:tcBorders>
                </w:tcPr>
                <w:p>
                  <w:pPr>
                    <w:pStyle w:val="106"/>
                    <w:spacing w:before="50"/>
                    <w:ind w:lef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55</w:t>
                  </w:r>
                </w:p>
              </w:tc>
              <w:tc>
                <w:tcPr>
                  <w:tcW w:w="846"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51</w:t>
                  </w:r>
                </w:p>
              </w:tc>
              <w:tc>
                <w:tcPr>
                  <w:tcW w:w="842" w:type="dxa"/>
                  <w:tcBorders>
                    <w:top w:val="single" w:color="000000" w:sz="8" w:space="0"/>
                    <w:left w:val="single" w:color="000000" w:sz="8" w:space="0"/>
                    <w:bottom w:val="single" w:color="000000" w:sz="8" w:space="0"/>
                    <w:right w:val="nil"/>
                  </w:tcBorders>
                </w:tcPr>
                <w:p>
                  <w:pPr>
                    <w:pStyle w:val="106"/>
                    <w:spacing w:before="50"/>
                    <w:ind w:right="7"/>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49</w:t>
                  </w:r>
                </w:p>
              </w:tc>
            </w:tr>
            <w:tr>
              <w:tblPrEx>
                <w:tblCellMar>
                  <w:top w:w="0" w:type="dxa"/>
                  <w:left w:w="0" w:type="dxa"/>
                  <w:bottom w:w="0" w:type="dxa"/>
                  <w:right w:w="0" w:type="dxa"/>
                </w:tblCellMar>
              </w:tblPrEx>
              <w:trPr>
                <w:trHeight w:val="360" w:hRule="exact"/>
                <w:jc w:val="center"/>
              </w:trPr>
              <w:tc>
                <w:tcPr>
                  <w:tcW w:w="1756" w:type="dxa"/>
                  <w:tcBorders>
                    <w:top w:val="single" w:color="000000" w:sz="8" w:space="0"/>
                    <w:left w:val="nil"/>
                    <w:bottom w:val="single" w:color="000000" w:sz="8" w:space="0"/>
                    <w:right w:val="single" w:color="000000" w:sz="8" w:space="0"/>
                  </w:tcBorders>
                </w:tcPr>
                <w:p>
                  <w:pPr>
                    <w:pStyle w:val="106"/>
                    <w:ind w:left="464"/>
                    <w:jc w:val="left"/>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运输车辆</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85</w:t>
                  </w:r>
                </w:p>
              </w:tc>
              <w:tc>
                <w:tcPr>
                  <w:tcW w:w="760"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71</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65</w:t>
                  </w:r>
                </w:p>
              </w:tc>
              <w:tc>
                <w:tcPr>
                  <w:tcW w:w="757"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59</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53</w:t>
                  </w:r>
                </w:p>
              </w:tc>
              <w:tc>
                <w:tcPr>
                  <w:tcW w:w="724" w:type="dxa"/>
                  <w:tcBorders>
                    <w:top w:val="single" w:color="000000" w:sz="8" w:space="0"/>
                    <w:left w:val="single" w:color="000000" w:sz="8" w:space="0"/>
                    <w:bottom w:val="single" w:color="000000" w:sz="8" w:space="0"/>
                    <w:right w:val="single" w:color="000000" w:sz="8" w:space="0"/>
                  </w:tcBorders>
                </w:tcPr>
                <w:p>
                  <w:pPr>
                    <w:pStyle w:val="106"/>
                    <w:spacing w:before="50"/>
                    <w:ind w:lef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51</w:t>
                  </w:r>
                </w:p>
              </w:tc>
              <w:tc>
                <w:tcPr>
                  <w:tcW w:w="899" w:type="dxa"/>
                  <w:tcBorders>
                    <w:top w:val="single" w:color="000000" w:sz="8" w:space="0"/>
                    <w:left w:val="single" w:color="000000" w:sz="8" w:space="0"/>
                    <w:bottom w:val="single" w:color="000000" w:sz="8" w:space="0"/>
                    <w:right w:val="single" w:color="000000" w:sz="8" w:space="0"/>
                  </w:tcBorders>
                </w:tcPr>
                <w:p>
                  <w:pPr>
                    <w:pStyle w:val="106"/>
                    <w:spacing w:before="50"/>
                    <w:ind w:lef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45</w:t>
                  </w:r>
                </w:p>
              </w:tc>
              <w:tc>
                <w:tcPr>
                  <w:tcW w:w="846"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41</w:t>
                  </w:r>
                </w:p>
              </w:tc>
              <w:tc>
                <w:tcPr>
                  <w:tcW w:w="842" w:type="dxa"/>
                  <w:tcBorders>
                    <w:top w:val="single" w:color="000000" w:sz="8" w:space="0"/>
                    <w:left w:val="single" w:color="000000" w:sz="8" w:space="0"/>
                    <w:bottom w:val="single" w:color="000000" w:sz="8" w:space="0"/>
                    <w:right w:val="nil"/>
                  </w:tcBorders>
                </w:tcPr>
                <w:p>
                  <w:pPr>
                    <w:pStyle w:val="106"/>
                    <w:spacing w:before="50"/>
                    <w:ind w:right="7"/>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39</w:t>
                  </w:r>
                </w:p>
              </w:tc>
            </w:tr>
            <w:tr>
              <w:tblPrEx>
                <w:tblCellMar>
                  <w:top w:w="0" w:type="dxa"/>
                  <w:left w:w="0" w:type="dxa"/>
                  <w:bottom w:w="0" w:type="dxa"/>
                  <w:right w:w="0" w:type="dxa"/>
                </w:tblCellMar>
              </w:tblPrEx>
              <w:trPr>
                <w:trHeight w:val="361" w:hRule="exact"/>
                <w:jc w:val="center"/>
              </w:trPr>
              <w:tc>
                <w:tcPr>
                  <w:tcW w:w="1756" w:type="dxa"/>
                  <w:tcBorders>
                    <w:top w:val="single" w:color="000000" w:sz="8" w:space="0"/>
                    <w:left w:val="nil"/>
                    <w:bottom w:val="single" w:color="000000" w:sz="8" w:space="0"/>
                    <w:right w:val="single" w:color="000000" w:sz="8" w:space="0"/>
                  </w:tcBorders>
                </w:tcPr>
                <w:p>
                  <w:pPr>
                    <w:pStyle w:val="106"/>
                    <w:ind w:left="570"/>
                    <w:jc w:val="left"/>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叠加值</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99</w:t>
                  </w:r>
                </w:p>
              </w:tc>
              <w:tc>
                <w:tcPr>
                  <w:tcW w:w="760"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85</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79</w:t>
                  </w:r>
                </w:p>
              </w:tc>
              <w:tc>
                <w:tcPr>
                  <w:tcW w:w="757"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73</w:t>
                  </w:r>
                </w:p>
              </w:tc>
              <w:tc>
                <w:tcPr>
                  <w:tcW w:w="758" w:type="dxa"/>
                  <w:tcBorders>
                    <w:top w:val="single" w:color="000000" w:sz="8" w:space="0"/>
                    <w:left w:val="single" w:color="000000" w:sz="8" w:space="0"/>
                    <w:bottom w:val="single" w:color="000000" w:sz="8" w:space="0"/>
                    <w:right w:val="single" w:color="000000" w:sz="8" w:space="0"/>
                  </w:tcBorders>
                </w:tcPr>
                <w:p>
                  <w:pPr>
                    <w:pStyle w:val="106"/>
                    <w:spacing w:before="50"/>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67</w:t>
                  </w:r>
                </w:p>
              </w:tc>
              <w:tc>
                <w:tcPr>
                  <w:tcW w:w="724" w:type="dxa"/>
                  <w:tcBorders>
                    <w:top w:val="single" w:color="000000" w:sz="8" w:space="0"/>
                    <w:left w:val="single" w:color="000000" w:sz="8" w:space="0"/>
                    <w:bottom w:val="single" w:color="000000" w:sz="8" w:space="0"/>
                    <w:right w:val="single" w:color="000000" w:sz="8" w:space="0"/>
                  </w:tcBorders>
                </w:tcPr>
                <w:p>
                  <w:pPr>
                    <w:pStyle w:val="106"/>
                    <w:spacing w:before="50"/>
                    <w:ind w:lef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65</w:t>
                  </w:r>
                </w:p>
              </w:tc>
              <w:tc>
                <w:tcPr>
                  <w:tcW w:w="899" w:type="dxa"/>
                  <w:tcBorders>
                    <w:top w:val="single" w:color="000000" w:sz="8" w:space="0"/>
                    <w:left w:val="single" w:color="000000" w:sz="8" w:space="0"/>
                    <w:bottom w:val="single" w:color="000000" w:sz="8" w:space="0"/>
                    <w:right w:val="single" w:color="000000" w:sz="8" w:space="0"/>
                  </w:tcBorders>
                </w:tcPr>
                <w:p>
                  <w:pPr>
                    <w:pStyle w:val="106"/>
                    <w:spacing w:before="50"/>
                    <w:ind w:lef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59</w:t>
                  </w:r>
                </w:p>
              </w:tc>
              <w:tc>
                <w:tcPr>
                  <w:tcW w:w="846" w:type="dxa"/>
                  <w:tcBorders>
                    <w:top w:val="single" w:color="000000" w:sz="8" w:space="0"/>
                    <w:left w:val="single" w:color="000000" w:sz="8" w:space="0"/>
                    <w:bottom w:val="single" w:color="000000" w:sz="8" w:space="0"/>
                    <w:right w:val="single" w:color="000000" w:sz="8" w:space="0"/>
                  </w:tcBorders>
                </w:tcPr>
                <w:p>
                  <w:pPr>
                    <w:pStyle w:val="106"/>
                    <w:spacing w:before="50"/>
                    <w:ind w:right="1"/>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55</w:t>
                  </w:r>
                </w:p>
              </w:tc>
              <w:tc>
                <w:tcPr>
                  <w:tcW w:w="842" w:type="dxa"/>
                  <w:tcBorders>
                    <w:top w:val="single" w:color="000000" w:sz="8" w:space="0"/>
                    <w:left w:val="single" w:color="000000" w:sz="8" w:space="0"/>
                    <w:bottom w:val="single" w:color="000000" w:sz="8" w:space="0"/>
                    <w:right w:val="nil"/>
                  </w:tcBorders>
                </w:tcPr>
                <w:p>
                  <w:pPr>
                    <w:pStyle w:val="106"/>
                    <w:spacing w:before="50"/>
                    <w:ind w:right="7"/>
                    <w:rPr>
                      <w:rFonts w:ascii="Times New Roman" w:hAnsi="Times New Roman" w:cs="Times New Roman" w:eastAsiaTheme="minorEastAsia"/>
                      <w:sz w:val="21"/>
                      <w:szCs w:val="21"/>
                      <w:lang w:eastAsia="zh-CN"/>
                    </w:rPr>
                  </w:pPr>
                  <w:r>
                    <w:rPr>
                      <w:rFonts w:ascii="Times New Roman" w:hAnsi="Times New Roman" w:cs="Times New Roman" w:eastAsiaTheme="minorEastAsia"/>
                      <w:sz w:val="21"/>
                      <w:szCs w:val="21"/>
                      <w:lang w:eastAsia="zh-CN"/>
                    </w:rPr>
                    <w:t>53</w:t>
                  </w:r>
                </w:p>
              </w:tc>
            </w:tr>
          </w:tbl>
          <w:p>
            <w:pPr>
              <w:pStyle w:val="6"/>
            </w:pPr>
          </w:p>
          <w:p>
            <w:pPr>
              <w:spacing w:line="360" w:lineRule="auto"/>
              <w:ind w:firstLine="480" w:firstLineChars="200"/>
              <w:rPr>
                <w:rFonts w:hAnsi="宋体"/>
              </w:rPr>
            </w:pPr>
            <w:r>
              <w:rPr>
                <w:rFonts w:hint="eastAsia" w:hAnsi="宋体"/>
              </w:rPr>
              <w:t>根据表 7-1 可知所示，项目施工期间设备噪声若不采取任何措施，昼间叠加噪声</w:t>
            </w:r>
          </w:p>
          <w:p>
            <w:pPr>
              <w:spacing w:line="360" w:lineRule="auto"/>
              <w:rPr>
                <w:rFonts w:hAnsi="宋体"/>
              </w:rPr>
            </w:pPr>
            <w:r>
              <w:rPr>
                <w:rFonts w:hint="eastAsia" w:hAnsi="宋体"/>
              </w:rPr>
              <w:t>于 40m 处可以达到《建筑施工场界环境噪声排放标准》（GB12523-2011），夜间在距 施工点 200m 外噪声值才达到标准限值。在严格落实环评要求在项目施工期间应采取的降噪措施后，施工期噪声可实现达标排放。 施工噪声的产生是不可避免的，其影响是客观存在的，因此必须对其进行防护。为减小其噪声对周围环境的影响，建设单位必须采取适当的实施措施来减轻其噪声的 影响，措施如下：</w:t>
            </w:r>
          </w:p>
          <w:p>
            <w:pPr>
              <w:spacing w:line="360" w:lineRule="auto"/>
              <w:ind w:firstLine="480" w:firstLineChars="200"/>
              <w:rPr>
                <w:rFonts w:hAnsi="宋体"/>
              </w:rPr>
            </w:pPr>
            <w:r>
              <w:rPr>
                <w:rFonts w:hint="eastAsia" w:hAnsi="宋体"/>
              </w:rPr>
              <w:t>①施工应安排在昼间 6:00~12:00、14:00~22:00 期间进行，中午及夜间休息时间禁 止施工；若由于工程需要，确实要进行夜间连续施工的，必须取得相应主管部门的批准，并应通过媒体或者现场公告等方式告知施工区域附近的居民，同时搞好施工组织， 将大噪声施工活动放在昼间进行、避免在夜间进行大噪声施工，施工应确保上述边界夜间声级不超出《建筑施工场界环境噪声排放标准》（GB12523-2011）的限值要求， 即夜间≤55dB（A）。另外，禁止在重要节假日期间进行夜间施工。</w:t>
            </w:r>
          </w:p>
          <w:p>
            <w:pPr>
              <w:spacing w:line="360" w:lineRule="auto"/>
              <w:ind w:firstLine="480" w:firstLineChars="200"/>
              <w:rPr>
                <w:rFonts w:hAnsi="宋体"/>
              </w:rPr>
            </w:pPr>
            <w:r>
              <w:rPr>
                <w:rFonts w:hint="eastAsia" w:hAnsi="宋体"/>
              </w:rPr>
              <w:t>②施工单位应尽量选用低噪声或带有隔音、消音的机械设备，并加强对设备的维护保养。</w:t>
            </w:r>
          </w:p>
          <w:p>
            <w:pPr>
              <w:spacing w:line="360" w:lineRule="auto"/>
              <w:ind w:firstLine="480" w:firstLineChars="200"/>
              <w:rPr>
                <w:rFonts w:hAnsi="宋体"/>
              </w:rPr>
            </w:pPr>
            <w:r>
              <w:rPr>
                <w:rFonts w:hint="eastAsia" w:hAnsi="宋体"/>
              </w:rPr>
              <w:t>③降低人为噪声，按规定操作机械设备，模板、支架拆卸吊装过程中，遵守作业规定，减少碰撞噪音。尽量少用哨子等指挥作业，而代以现代化设备，如用无线对讲机等。</w:t>
            </w:r>
          </w:p>
          <w:p>
            <w:pPr>
              <w:spacing w:line="360" w:lineRule="auto"/>
              <w:ind w:firstLine="480" w:firstLineChars="200"/>
              <w:rPr>
                <w:rFonts w:hAnsi="宋体"/>
              </w:rPr>
            </w:pPr>
            <w:r>
              <w:rPr>
                <w:rFonts w:hint="eastAsia" w:hAnsi="宋体"/>
              </w:rPr>
              <w:t>④加强运输车辆的管理，按规定组织车辆运输，合理规定运输通道。施工场地内道路应尽量保持平坦，减少由于道路不平而引起的车辆颠簸噪声。</w:t>
            </w:r>
          </w:p>
          <w:p>
            <w:pPr>
              <w:spacing w:line="360" w:lineRule="auto"/>
              <w:ind w:firstLine="480" w:firstLineChars="200"/>
              <w:rPr>
                <w:rFonts w:hAnsi="宋体"/>
              </w:rPr>
            </w:pPr>
            <w:r>
              <w:rPr>
                <w:rFonts w:hint="eastAsia" w:hAnsi="宋体"/>
              </w:rPr>
              <w:t>本项目施工期在采取上述治理及控制措施后，各类机械设备的施工噪声能从影响</w:t>
            </w:r>
          </w:p>
          <w:p>
            <w:pPr>
              <w:spacing w:line="360" w:lineRule="auto"/>
              <w:rPr>
                <w:rFonts w:hAnsi="宋体"/>
              </w:rPr>
            </w:pPr>
            <w:r>
              <w:rPr>
                <w:rFonts w:hint="eastAsia" w:hAnsi="宋体"/>
              </w:rPr>
              <w:t>程度、影响时间及影响强度等方面得以一定程度的削减。因此，建设单位和施工单位应对施工期的噪声污染防治引起重视，落实控制措施，尽可能将该影响控制在最低水平。</w:t>
            </w:r>
          </w:p>
          <w:p>
            <w:pPr>
              <w:spacing w:line="360" w:lineRule="auto"/>
              <w:ind w:firstLine="482" w:firstLineChars="200"/>
              <w:rPr>
                <w:rFonts w:hAnsi="宋体"/>
                <w:b/>
              </w:rPr>
            </w:pPr>
            <w:r>
              <w:rPr>
                <w:rFonts w:hint="eastAsia" w:hAnsi="宋体"/>
                <w:b/>
              </w:rPr>
              <w:t>4 固体废物影响分析</w:t>
            </w:r>
          </w:p>
          <w:p>
            <w:pPr>
              <w:spacing w:line="360" w:lineRule="auto"/>
              <w:ind w:firstLine="480" w:firstLineChars="200"/>
              <w:rPr>
                <w:rFonts w:hAnsi="宋体"/>
              </w:rPr>
            </w:pPr>
            <w:r>
              <w:rPr>
                <w:rFonts w:hint="eastAsia" w:hAnsi="宋体"/>
              </w:rPr>
              <w:t>项目施工期产生的固体废物主要包括表土、土石方</w:t>
            </w:r>
            <w:r>
              <w:rPr>
                <w:rFonts w:hint="eastAsia" w:hAnsi="宋体"/>
                <w:lang w:eastAsia="zh-CN"/>
              </w:rPr>
              <w:t>、</w:t>
            </w:r>
            <w:r>
              <w:rPr>
                <w:rFonts w:hint="eastAsia" w:hAnsi="宋体"/>
                <w:highlight w:val="none"/>
                <w:lang w:eastAsia="zh-CN"/>
              </w:rPr>
              <w:t>废泥浆</w:t>
            </w:r>
            <w:r>
              <w:rPr>
                <w:rFonts w:hint="eastAsia" w:hAnsi="宋体"/>
              </w:rPr>
              <w:t>。</w:t>
            </w:r>
          </w:p>
          <w:p>
            <w:pPr>
              <w:spacing w:line="360" w:lineRule="auto"/>
              <w:ind w:firstLine="480" w:firstLineChars="200"/>
              <w:rPr>
                <w:rFonts w:hAnsi="宋体"/>
              </w:rPr>
            </w:pPr>
            <w:r>
              <w:rPr>
                <w:rFonts w:hint="eastAsia" w:hAnsi="宋体"/>
              </w:rPr>
              <w:t>①土石方</w:t>
            </w:r>
          </w:p>
          <w:p>
            <w:pPr>
              <w:spacing w:line="360" w:lineRule="auto"/>
              <w:ind w:firstLine="480" w:firstLineChars="200"/>
              <w:rPr>
                <w:rFonts w:hAnsi="宋体"/>
              </w:rPr>
            </w:pPr>
            <w:r>
              <w:rPr>
                <w:rFonts w:hint="eastAsia" w:hAnsi="宋体"/>
              </w:rPr>
              <w:t xml:space="preserve">根据建设单位提供资料，挖方 </w:t>
            </w:r>
            <w:r>
              <w:rPr>
                <w:rFonts w:hint="eastAsia" w:hAnsi="宋体"/>
                <w:lang w:eastAsia="zh-CN"/>
              </w:rPr>
              <w:t>6384</w:t>
            </w:r>
            <w:r>
              <w:rPr>
                <w:rFonts w:hint="eastAsia" w:hAnsi="宋体"/>
              </w:rPr>
              <w:t>m</w:t>
            </w:r>
            <w:r>
              <w:rPr>
                <w:rFonts w:hint="eastAsia" w:hAnsi="宋体"/>
                <w:vertAlign w:val="superscript"/>
              </w:rPr>
              <w:t>3</w:t>
            </w:r>
            <w:r>
              <w:rPr>
                <w:rFonts w:hint="eastAsia" w:hAnsi="宋体"/>
              </w:rPr>
              <w:t>，填方</w:t>
            </w:r>
            <w:r>
              <w:rPr>
                <w:rFonts w:hint="eastAsia" w:hAnsi="宋体"/>
                <w:lang w:eastAsia="zh-CN"/>
              </w:rPr>
              <w:t>6384</w:t>
            </w:r>
            <w:r>
              <w:rPr>
                <w:rFonts w:hint="eastAsia" w:hAnsi="宋体"/>
              </w:rPr>
              <w:t xml:space="preserve"> m</w:t>
            </w:r>
            <w:r>
              <w:rPr>
                <w:rFonts w:hint="eastAsia" w:hAnsi="宋体"/>
                <w:vertAlign w:val="superscript"/>
              </w:rPr>
              <w:t>3</w:t>
            </w:r>
            <w:r>
              <w:rPr>
                <w:rFonts w:hint="eastAsia" w:hAnsi="宋体"/>
              </w:rPr>
              <w:t>。全部回填。</w:t>
            </w:r>
          </w:p>
          <w:p>
            <w:pPr>
              <w:spacing w:line="360" w:lineRule="auto"/>
              <w:ind w:firstLine="480" w:firstLineChars="200"/>
              <w:rPr>
                <w:rFonts w:hAnsi="宋体"/>
              </w:rPr>
            </w:pPr>
            <w:r>
              <w:rPr>
                <w:rFonts w:hint="eastAsia" w:hAnsi="宋体"/>
              </w:rPr>
              <w:t>②表土</w:t>
            </w:r>
          </w:p>
          <w:p>
            <w:pPr>
              <w:spacing w:line="360" w:lineRule="auto"/>
              <w:ind w:firstLine="480" w:firstLineChars="200"/>
              <w:rPr>
                <w:rFonts w:hAnsi="宋体"/>
                <w:highlight w:val="none"/>
              </w:rPr>
            </w:pPr>
            <w:r>
              <w:rPr>
                <w:rFonts w:hint="eastAsia" w:hAnsi="宋体"/>
              </w:rPr>
              <w:t xml:space="preserve">本项目表土产生量 </w:t>
            </w:r>
            <w:r>
              <w:rPr>
                <w:rFonts w:hAnsi="宋体"/>
              </w:rPr>
              <w:t>2080</w:t>
            </w:r>
            <w:r>
              <w:rPr>
                <w:rFonts w:hint="eastAsia" w:hAnsi="宋体"/>
              </w:rPr>
              <w:t>m</w:t>
            </w:r>
            <w:r>
              <w:rPr>
                <w:rFonts w:hint="eastAsia" w:hAnsi="宋体"/>
                <w:vertAlign w:val="superscript"/>
              </w:rPr>
              <w:t>3</w:t>
            </w:r>
            <w:r>
              <w:rPr>
                <w:rFonts w:hint="eastAsia" w:hAnsi="宋体"/>
              </w:rPr>
              <w:t>（自然方），</w:t>
            </w:r>
            <w:r>
              <w:rPr>
                <w:rFonts w:hint="eastAsia" w:hAnsi="宋体"/>
                <w:highlight w:val="none"/>
              </w:rPr>
              <w:t>就近堆存在施工沿线空地处，用于后期绿化，不外排。</w:t>
            </w:r>
          </w:p>
          <w:p>
            <w:pPr>
              <w:spacing w:line="360" w:lineRule="auto"/>
              <w:ind w:firstLine="480" w:firstLineChars="200"/>
              <w:rPr>
                <w:rFonts w:hint="eastAsia" w:ascii="Calibri" w:hAnsi="Calibri" w:cs="Calibri"/>
                <w:highlight w:val="none"/>
                <w:lang w:eastAsia="zh-CN"/>
              </w:rPr>
            </w:pPr>
            <w:r>
              <w:rPr>
                <w:rFonts w:hint="default" w:ascii="Calibri" w:hAnsi="Calibri" w:cs="Calibri"/>
                <w:highlight w:val="none"/>
              </w:rPr>
              <w:t>③</w:t>
            </w:r>
            <w:r>
              <w:rPr>
                <w:rFonts w:hint="eastAsia" w:ascii="Calibri" w:hAnsi="Calibri" w:cs="Calibri"/>
                <w:highlight w:val="none"/>
                <w:lang w:eastAsia="zh-CN"/>
              </w:rPr>
              <w:t>废泥浆</w:t>
            </w:r>
          </w:p>
          <w:p>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宋体" w:eastAsia="宋体" w:cs="Times New Roman"/>
                <w:b w:val="0"/>
                <w:bCs w:val="0"/>
                <w:kern w:val="2"/>
                <w:sz w:val="24"/>
                <w:szCs w:val="24"/>
                <w:highlight w:val="none"/>
                <w:lang w:val="en-US" w:eastAsia="zh-CN" w:bidi="ar-SA"/>
              </w:rPr>
            </w:pPr>
            <w:r>
              <w:rPr>
                <w:rFonts w:hint="eastAsia" w:ascii="Calibri" w:hAnsi="Calibri" w:cs="Calibri"/>
                <w:highlight w:val="none"/>
                <w:lang w:val="en-US" w:eastAsia="zh-CN"/>
              </w:rPr>
              <w:t xml:space="preserve">   </w:t>
            </w:r>
            <w:r>
              <w:rPr>
                <w:rFonts w:hint="eastAsia" w:ascii="Times New Roman" w:hAnsi="宋体" w:eastAsia="宋体" w:cs="Times New Roman"/>
                <w:b w:val="0"/>
                <w:bCs w:val="0"/>
                <w:kern w:val="2"/>
                <w:sz w:val="24"/>
                <w:szCs w:val="24"/>
                <w:highlight w:val="none"/>
                <w:lang w:val="en-US" w:eastAsia="zh-CN" w:bidi="ar-SA"/>
              </w:rPr>
              <w:t xml:space="preserve"> 泥水平衡顶管施工的主要环境问题是施工需配制泥浆，其主要成分为膨润土，含有少量NaCO</w:t>
            </w:r>
            <w:r>
              <w:rPr>
                <w:rFonts w:hint="eastAsia" w:ascii="Times New Roman" w:hAnsi="宋体" w:eastAsia="宋体" w:cs="Times New Roman"/>
                <w:b w:val="0"/>
                <w:bCs w:val="0"/>
                <w:kern w:val="2"/>
                <w:sz w:val="24"/>
                <w:szCs w:val="24"/>
                <w:highlight w:val="none"/>
                <w:vertAlign w:val="subscript"/>
                <w:lang w:val="en-US" w:eastAsia="zh-CN" w:bidi="ar-SA"/>
              </w:rPr>
              <w:t>3</w:t>
            </w:r>
            <w:r>
              <w:rPr>
                <w:rFonts w:hint="eastAsia" w:ascii="Times New Roman" w:hAnsi="宋体" w:eastAsia="宋体" w:cs="Times New Roman"/>
                <w:b w:val="0"/>
                <w:bCs w:val="0"/>
                <w:kern w:val="2"/>
                <w:sz w:val="24"/>
                <w:szCs w:val="24"/>
                <w:highlight w:val="none"/>
                <w:lang w:val="en-US" w:eastAsia="zh-CN" w:bidi="ar-SA"/>
              </w:rPr>
              <w:t>，施工过程中泥浆可重复利用，顶管机头掘进过程中，切削下来的弃土经搅拌装置搅拌后形成泥水，泥水输送到地面泥水分离系统，将渣土、水分离后重新送回泥水仓进行循环利用。施工结束后剩余泥浆运送至一般固废填埋场处置。</w:t>
            </w:r>
          </w:p>
          <w:p>
            <w:pPr>
              <w:spacing w:line="360" w:lineRule="auto"/>
              <w:ind w:firstLine="482" w:firstLineChars="200"/>
              <w:rPr>
                <w:rFonts w:hAnsi="宋体"/>
                <w:b/>
              </w:rPr>
            </w:pPr>
            <w:r>
              <w:rPr>
                <w:rFonts w:hint="eastAsia" w:hAnsi="宋体"/>
                <w:b/>
              </w:rPr>
              <w:t>5.2、生态影响分析</w:t>
            </w:r>
          </w:p>
          <w:p>
            <w:pPr>
              <w:spacing w:line="360" w:lineRule="auto"/>
              <w:ind w:firstLine="480" w:firstLineChars="200"/>
              <w:rPr>
                <w:rFonts w:hAnsi="宋体"/>
              </w:rPr>
            </w:pPr>
            <w:r>
              <w:rPr>
                <w:rFonts w:hint="eastAsia" w:hAnsi="宋体"/>
              </w:rPr>
              <w:t>项目管道铺设均位于湖南东洞庭湖国家级自然保护区实验区、东洞庭湖湖泊湿地保护区，依托取水泵站，洪水港取水泵站涉及长江监利段四大家鱼种质资源保护区实验区。</w:t>
            </w:r>
          </w:p>
          <w:p>
            <w:pPr>
              <w:spacing w:line="360" w:lineRule="auto"/>
              <w:ind w:firstLine="482" w:firstLineChars="200"/>
              <w:rPr>
                <w:rFonts w:hAnsi="宋体"/>
                <w:b/>
              </w:rPr>
            </w:pPr>
            <w:r>
              <w:rPr>
                <w:rFonts w:hint="eastAsia" w:hAnsi="宋体"/>
                <w:b/>
              </w:rPr>
              <w:t>5.</w:t>
            </w:r>
            <w:r>
              <w:rPr>
                <w:rFonts w:hAnsi="宋体"/>
                <w:b/>
              </w:rPr>
              <w:t>2</w:t>
            </w:r>
            <w:r>
              <w:rPr>
                <w:rFonts w:hint="eastAsia" w:hAnsi="宋体"/>
                <w:b/>
              </w:rPr>
              <w:t>.1植被及植物多样性的影响分析</w:t>
            </w:r>
          </w:p>
          <w:p>
            <w:pPr>
              <w:spacing w:line="360" w:lineRule="auto"/>
              <w:ind w:firstLine="480" w:firstLineChars="200"/>
              <w:rPr>
                <w:rFonts w:hAnsi="宋体"/>
              </w:rPr>
            </w:pPr>
            <w:r>
              <w:rPr>
                <w:rFonts w:hint="eastAsia" w:hAnsi="宋体"/>
              </w:rPr>
              <w:t>（1） 施工期对植被的影响</w:t>
            </w:r>
          </w:p>
          <w:p>
            <w:pPr>
              <w:spacing w:line="360" w:lineRule="auto"/>
              <w:ind w:firstLine="480" w:firstLineChars="200"/>
              <w:rPr>
                <w:rFonts w:hAnsi="宋体"/>
              </w:rPr>
            </w:pPr>
            <w:r>
              <w:rPr>
                <w:rFonts w:hint="eastAsia" w:hAnsi="宋体"/>
              </w:rPr>
              <w:t>湖南东洞庭湖自然保护区内有维管束植物169科、541属、865种，其中自然保护区的国家重点保护野生植物，仅有樟树、金荞麦、野大豆（Glycine soja） 、中华结缕草4种，都为Ⅱ级。樟树、野大豆、金荞麦、中华结缕草均为当地区域常见种。</w:t>
            </w:r>
          </w:p>
          <w:p>
            <w:pPr>
              <w:spacing w:line="360" w:lineRule="auto"/>
              <w:ind w:firstLine="480" w:firstLineChars="200"/>
              <w:rPr>
                <w:rFonts w:hAnsi="宋体"/>
              </w:rPr>
            </w:pPr>
            <w:r>
              <w:rPr>
                <w:rFonts w:hint="eastAsia" w:hAnsi="宋体"/>
              </w:rPr>
              <w:t>评价区最主要的群落类型为樟树林、野燕麦草丛，尚存的常绿阔叶林仅局地分布，且相对远离拟建工程。周边植物中除樟树为国家二级保护植物外，未发现有其他受国家保护的珍稀植被。</w:t>
            </w:r>
          </w:p>
          <w:p>
            <w:pPr>
              <w:spacing w:line="360" w:lineRule="auto"/>
              <w:ind w:firstLine="480" w:firstLineChars="200"/>
              <w:rPr>
                <w:rFonts w:hAnsi="宋体"/>
              </w:rPr>
            </w:pPr>
            <w:r>
              <w:rPr>
                <w:rFonts w:hint="eastAsia" w:hAnsi="宋体"/>
              </w:rPr>
              <w:t>从周边植被分布现状调查结果看，施工期受到工程占地损毁影响的植被类型为农渠沿岸分布的野燕麦草丛等，涉及的物种均为常见种，这些植被群落和物种在区域分布广泛，易于栽植和恢复；周边无珍稀濒危的野生植物种类。工程完工后，除永久占地破坏的植被不能恢复外，其余被破坏植被均可恢复，并通过加强绿化、种植草皮花木等人工绿化措施，提高区域的植被覆盖率，消灭裸露地面，进一步减少水土流失。因此施工期对区域植被的影响是短暂的，可恢复性的。</w:t>
            </w:r>
          </w:p>
          <w:p>
            <w:pPr>
              <w:spacing w:line="360" w:lineRule="auto"/>
              <w:ind w:firstLine="480" w:firstLineChars="200"/>
              <w:rPr>
                <w:rFonts w:hint="eastAsia" w:hAnsi="宋体"/>
                <w:highlight w:val="none"/>
              </w:rPr>
            </w:pPr>
            <w:r>
              <w:rPr>
                <w:rFonts w:hint="eastAsia" w:hAnsi="宋体"/>
                <w:highlight w:val="none"/>
              </w:rPr>
              <w:t>（2） 营运期对植被的影响</w:t>
            </w:r>
          </w:p>
          <w:p>
            <w:pPr>
              <w:spacing w:line="360" w:lineRule="auto"/>
              <w:ind w:firstLine="480" w:firstLineChars="200"/>
              <w:rPr>
                <w:rFonts w:hAnsi="宋体"/>
                <w:highlight w:val="none"/>
              </w:rPr>
            </w:pPr>
            <w:r>
              <w:rPr>
                <w:rFonts w:hint="eastAsia" w:hAnsi="宋体"/>
                <w:highlight w:val="none"/>
              </w:rPr>
              <w:t>项目属于民生饮水工程，工程的实施可保障君山区许市镇、广兴洲镇饮水安全问题。营运期沿线乡草植被复绿，对植被多样性不会造成影响。</w:t>
            </w:r>
          </w:p>
          <w:p>
            <w:pPr>
              <w:spacing w:line="360" w:lineRule="auto"/>
              <w:ind w:firstLine="482" w:firstLineChars="200"/>
              <w:rPr>
                <w:rFonts w:hAnsi="宋体"/>
              </w:rPr>
            </w:pPr>
            <w:r>
              <w:rPr>
                <w:rFonts w:hint="eastAsia" w:hAnsi="宋体"/>
                <w:b/>
              </w:rPr>
              <w:t>5.</w:t>
            </w:r>
            <w:r>
              <w:rPr>
                <w:rFonts w:hAnsi="宋体"/>
                <w:b/>
              </w:rPr>
              <w:t>2</w:t>
            </w:r>
            <w:r>
              <w:rPr>
                <w:rFonts w:hint="eastAsia" w:hAnsi="宋体"/>
                <w:b/>
              </w:rPr>
              <w:t>. 2动物多样性的影响分析</w:t>
            </w:r>
          </w:p>
          <w:p>
            <w:pPr>
              <w:spacing w:line="360" w:lineRule="auto"/>
              <w:ind w:firstLine="480" w:firstLineChars="200"/>
              <w:rPr>
                <w:rFonts w:hAnsi="宋体"/>
              </w:rPr>
            </w:pPr>
            <w:r>
              <w:rPr>
                <w:rFonts w:hint="eastAsia" w:hAnsi="宋体"/>
              </w:rPr>
              <w:t>湖南东洞庭湖自然保护区共有野生脊椎动物5纲36目101科410种。其中，鱼纲7目19科90种；两栖纲2目5科11种；爬行纲3目8科25种；鸟纲17目55科251种；哺乳纲7目14科33种。湖南东洞庭湖自然保护区是鸟类的理想越冬和停歇地，鸟类中国家一级保护的有白鹤、白头鹤、白鹳、黑鹳、大鸨、中华秋沙鸭，白尾海雕7种；二级保护的有小天鹅、鸳鸯、白枕鹤、灰鹤、小白额雁等33种，列入中国濒危动物红皮书种有18种，鸟类主要栖息在洞庭湖的核心区和缓冲区。评价范围离鸟类栖息较远，因此，项目的施工建设对自然保护区内的动物影响不大。</w:t>
            </w:r>
          </w:p>
          <w:p>
            <w:pPr>
              <w:spacing w:line="360" w:lineRule="auto"/>
              <w:ind w:firstLine="480" w:firstLineChars="200"/>
              <w:rPr>
                <w:rFonts w:hint="eastAsia" w:hAnsi="宋体"/>
              </w:rPr>
            </w:pPr>
            <w:r>
              <w:rPr>
                <w:rFonts w:hint="eastAsia" w:hAnsi="宋体"/>
              </w:rPr>
              <w:t>（1）施工期影响分析</w:t>
            </w:r>
          </w:p>
          <w:p>
            <w:pPr>
              <w:spacing w:line="360" w:lineRule="auto"/>
              <w:ind w:firstLine="480" w:firstLineChars="200"/>
              <w:rPr>
                <w:rFonts w:hint="eastAsia" w:hAnsi="宋体"/>
              </w:rPr>
            </w:pPr>
            <w:r>
              <w:rPr>
                <w:rFonts w:hint="eastAsia" w:hAnsi="宋体"/>
              </w:rPr>
              <w:t>湖南东洞庭湖自然保护区共有野生脊椎动物5纲36目101科410种。其中，鱼纲7目19科90种；两栖纲2目5科11种；爬行纲3目8科25种；鸟纲17目55科251种；哺乳纲7目14科33种。湖南东洞庭湖自然保护区是鸟类的理想越冬和停歇地，鸟类中国家一级保护的有白鹤、白头鹤、白鹳、黑鹳、大鸨、中华秋沙鸭，白尾海雕7种；二级保护的有小天鹅、鸳鸯、白枕鹤、灰鹤、小白额雁等33种，列入中国濒危动物红皮书种有18种，鸟类主要栖息在洞庭湖的核心区和缓冲区。评价范围离鸟类栖息较远，因此，项目的施工建设对自然保护区内的动物影响不大。</w:t>
            </w:r>
          </w:p>
          <w:p>
            <w:pPr>
              <w:spacing w:line="360" w:lineRule="auto"/>
              <w:ind w:firstLine="480" w:firstLineChars="200"/>
              <w:rPr>
                <w:rFonts w:hint="eastAsia" w:hAnsi="宋体"/>
              </w:rPr>
            </w:pPr>
            <w:r>
              <w:rPr>
                <w:rFonts w:hint="eastAsia" w:hAnsi="宋体"/>
              </w:rPr>
              <w:t>①对动物生境的影响分析</w:t>
            </w:r>
          </w:p>
          <w:p>
            <w:pPr>
              <w:spacing w:line="360" w:lineRule="auto"/>
              <w:ind w:firstLine="480" w:firstLineChars="200"/>
              <w:rPr>
                <w:rFonts w:hint="eastAsia" w:hAnsi="宋体"/>
              </w:rPr>
            </w:pPr>
            <w:r>
              <w:rPr>
                <w:rFonts w:hint="eastAsia" w:hAnsi="宋体"/>
              </w:rPr>
              <w:t>施工期土石方开挖等活动施工占地将使部分动物丧失其原有栖息地，导致其生境范围有所缩小。由于项目属于线性工程，单位堤段内的工程占地面积有限，对野生动物生境的影响有限；而且工程均采取分段施工方式，单位堤段内的工程量有限，施工周期较短，对野生动物及其生境的影响时间较短，同时，施工区周边还分布有大量同类型的生境，野生动物在受到施工活动影响后一般能在周边找到适宜生境。因此，工程建设占地不会对动物栖息生境造成明显不利影响。</w:t>
            </w:r>
          </w:p>
          <w:p>
            <w:pPr>
              <w:spacing w:line="360" w:lineRule="auto"/>
              <w:ind w:firstLine="480" w:firstLineChars="200"/>
              <w:rPr>
                <w:rFonts w:hint="eastAsia" w:hAnsi="宋体"/>
              </w:rPr>
            </w:pPr>
            <w:r>
              <w:rPr>
                <w:rFonts w:hint="eastAsia" w:hAnsi="宋体"/>
              </w:rPr>
              <w:t>②对两栖类和爬行类动物的影响分析</w:t>
            </w:r>
          </w:p>
          <w:p>
            <w:pPr>
              <w:spacing w:line="360" w:lineRule="auto"/>
              <w:ind w:firstLine="480" w:firstLineChars="200"/>
              <w:rPr>
                <w:rFonts w:hint="eastAsia" w:hAnsi="宋体"/>
              </w:rPr>
            </w:pPr>
            <w:r>
              <w:rPr>
                <w:rFonts w:hint="eastAsia" w:hAnsi="宋体"/>
              </w:rPr>
              <w:t>评价区中华大蟾餘、泽蛙为陆栖型动物，主要栖息在阴暗潮湿的草丛、农田、河沟及沟渠附近，与人类活动关系较密切；黑斑蛙、金线蛙为静水型动物，主要栖息于稻田、沼泽、水塘、水沟等静水水域或其附近的草丛，以昆虫为食；多疣壁虎为住宅型，主要在评价区内的住宅区活动；白条草蜥、石龙子为灌丛石隙型，常栖息在灌丛下面，路边石缝中；王锦蛇、乌梢蛇、黑眉锦蛇、虎斑颈槽蛇、水赤链游蛇等蛇类为林栖傍水型，主要在评价区水田、河流附近活动，以昆虫、蛙类、鸟和鼠为食。</w:t>
            </w:r>
          </w:p>
          <w:p>
            <w:pPr>
              <w:spacing w:line="360" w:lineRule="auto"/>
              <w:ind w:firstLine="480" w:firstLineChars="200"/>
              <w:rPr>
                <w:rFonts w:hint="eastAsia" w:hAnsi="宋体"/>
              </w:rPr>
            </w:pPr>
            <w:r>
              <w:rPr>
                <w:rFonts w:hint="eastAsia" w:hAnsi="宋体"/>
              </w:rPr>
              <w:t>施工区常见的两栖类动物和爬行类动物的领地范围较小，行动较兽类和鸟类迟缓，工程建设占地将导致部分两栖类和爬行类动物丧失其原有的栖息地，被动向周边地区迁移。由于两栖类和爬行类动物具有一定的迁徙和规避危险的能力，而且工程外围地带分布有大面积的灌溉水田、旱地、菜地、坑塘水面等适宜生境，因此，工程建设对两栖动物和爬行动物的影响主要是导致其在施工区及外围地带的分布变化，不会改变其区系组成和种群数量。</w:t>
            </w:r>
          </w:p>
          <w:p>
            <w:pPr>
              <w:spacing w:line="360" w:lineRule="auto"/>
              <w:ind w:firstLine="480" w:firstLineChars="200"/>
              <w:rPr>
                <w:rFonts w:hint="eastAsia" w:hAnsi="宋体"/>
              </w:rPr>
            </w:pPr>
            <w:r>
              <w:rPr>
                <w:rFonts w:hint="eastAsia" w:hAnsi="宋体"/>
              </w:rPr>
              <w:t>随着工程完工后临时占地区的植被恢复措施的实施，施工占地区内的植被将逐步得到恢复，将重新成为两栖类和爬行类动物的栖息地，其种类和数量也将逐渐恢复至施工前的水平。</w:t>
            </w:r>
          </w:p>
          <w:p>
            <w:pPr>
              <w:spacing w:line="360" w:lineRule="auto"/>
              <w:ind w:firstLine="480" w:firstLineChars="200"/>
              <w:rPr>
                <w:rFonts w:hint="eastAsia" w:hAnsi="宋体"/>
              </w:rPr>
            </w:pPr>
            <w:r>
              <w:rPr>
                <w:rFonts w:hint="eastAsia" w:hAnsi="宋体"/>
              </w:rPr>
              <w:t>③水生动物的影响</w:t>
            </w:r>
          </w:p>
          <w:p>
            <w:pPr>
              <w:spacing w:line="360" w:lineRule="auto"/>
              <w:ind w:firstLine="480" w:firstLineChars="200"/>
              <w:rPr>
                <w:rFonts w:hint="eastAsia" w:hAnsi="宋体"/>
              </w:rPr>
            </w:pPr>
            <w:r>
              <w:rPr>
                <w:rFonts w:hint="eastAsia" w:hAnsi="宋体"/>
              </w:rPr>
              <w:t>东洞庭湖自然保护区保护的水生动物主要有记录到鱼类7目19科90种，其中：国家一级保护的有中华鲟、白鲟2种；二级保护的有鳗鲡、胭脂鱼2种，生活在洞庭湖内。经实地调查和查阅科考资料，评价区记录鱼纲7目、9科、17种，未发现国家重点保护物种，水生动物为常见物种。</w:t>
            </w:r>
          </w:p>
          <w:p>
            <w:pPr>
              <w:spacing w:line="360" w:lineRule="auto"/>
              <w:ind w:firstLine="480" w:firstLineChars="200"/>
              <w:rPr>
                <w:rFonts w:hint="eastAsia" w:hAnsi="宋体"/>
              </w:rPr>
            </w:pPr>
            <w:r>
              <w:rPr>
                <w:rFonts w:hint="eastAsia" w:hAnsi="宋体"/>
              </w:rPr>
              <w:t xml:space="preserve">工程建设为输水管铺设工程，主要施工区域在陆地。对东洞庭湖的水环境影响不大，并且不涉及洞庭湖珍稀鱼类栖息地，对洞庭湖保护鱼类、水生动物不会产明显的影响。  </w:t>
            </w:r>
          </w:p>
          <w:p>
            <w:pPr>
              <w:spacing w:line="360" w:lineRule="auto"/>
              <w:ind w:firstLine="480" w:firstLineChars="200"/>
              <w:rPr>
                <w:rFonts w:hint="eastAsia" w:hAnsi="宋体"/>
              </w:rPr>
            </w:pPr>
            <w:r>
              <w:rPr>
                <w:rFonts w:hint="eastAsia" w:hAnsi="宋体"/>
              </w:rPr>
              <w:t>④对兽类和鸟类的影响分析</w:t>
            </w:r>
          </w:p>
          <w:p>
            <w:pPr>
              <w:spacing w:line="360" w:lineRule="auto"/>
              <w:ind w:firstLine="480" w:firstLineChars="200"/>
              <w:rPr>
                <w:rFonts w:hint="eastAsia" w:hAnsi="宋体"/>
              </w:rPr>
            </w:pPr>
            <w:r>
              <w:rPr>
                <w:rFonts w:hint="eastAsia" w:hAnsi="宋体"/>
              </w:rPr>
              <w:t>工程建设过程需要占用农灌渠沿线荒草地等土地资源，这些区域内兽类、鸟类较少。施工时，施工机械噪声排放和施工人员活动可能对周边的兽类和鸟类产生惊扰影响，但兽类和鸟类对噪声等施工影响较为敏感，且它们规避危险能力和适应能力较强，在受到影响后它们一般会主动向周边迁移。因此，工程建设不会对兽类和鸟类栖息、觅食产生明显不利影响。</w:t>
            </w:r>
          </w:p>
          <w:p>
            <w:pPr>
              <w:spacing w:line="360" w:lineRule="auto"/>
              <w:ind w:firstLine="480" w:firstLineChars="200"/>
              <w:rPr>
                <w:rFonts w:hint="eastAsia" w:hAnsi="宋体"/>
              </w:rPr>
            </w:pPr>
            <w:r>
              <w:rPr>
                <w:rFonts w:hint="eastAsia" w:hAnsi="宋体"/>
              </w:rPr>
              <w:t>同时，施工机械噪音等干扰，对鸟类的觅食、迁徙、停歇会产生一定的影响。施工前应做好施工方式、数量、时间的计划，力求避免在晨昏、正午和夜间施工，并尽量选择低噪音施工设备，以此减小施工对鸟类觅食、栖息的影响。另外，由于个别施工人员私自或诱使他人捕杀、毒杀鸟类违法行为，会给保护区鸟类的生存环境造成一定的影响。建设单位应宣传野生动物保护法规，提高施工人员的野生动物保护意识，树立警示牌，杜绝捕杀鸟类事件的发生。</w:t>
            </w:r>
          </w:p>
          <w:p>
            <w:pPr>
              <w:spacing w:line="360" w:lineRule="auto"/>
              <w:ind w:firstLine="480" w:firstLineChars="200"/>
              <w:rPr>
                <w:rFonts w:hint="eastAsia" w:hAnsi="宋体"/>
              </w:rPr>
            </w:pPr>
            <w:r>
              <w:rPr>
                <w:rFonts w:hint="eastAsia" w:hAnsi="宋体"/>
              </w:rPr>
              <w:t>针对以上分析及项目实际情况，建设单位在自然保护区内施工须采取以下措施：</w:t>
            </w:r>
          </w:p>
          <w:p>
            <w:pPr>
              <w:spacing w:line="360" w:lineRule="auto"/>
              <w:ind w:firstLine="480" w:firstLineChars="200"/>
              <w:rPr>
                <w:rFonts w:hint="eastAsia" w:hAnsi="宋体"/>
              </w:rPr>
            </w:pPr>
            <w:r>
              <w:rPr>
                <w:rFonts w:hint="eastAsia" w:hAnsi="宋体"/>
              </w:rPr>
              <w:t>①合理计划施工时间，尽量避免在早晨、傍晚或晚上进行施工。</w:t>
            </w:r>
          </w:p>
          <w:p>
            <w:pPr>
              <w:spacing w:line="360" w:lineRule="auto"/>
              <w:ind w:firstLine="480" w:firstLineChars="200"/>
              <w:rPr>
                <w:rFonts w:hint="eastAsia" w:hAnsi="宋体"/>
              </w:rPr>
            </w:pPr>
            <w:r>
              <w:rPr>
                <w:rFonts w:hint="eastAsia" w:hAnsi="宋体"/>
              </w:rPr>
              <w:t>②施工期间，严禁使用高噪音施工设备。</w:t>
            </w:r>
          </w:p>
          <w:p>
            <w:pPr>
              <w:spacing w:line="360" w:lineRule="auto"/>
              <w:ind w:firstLine="480" w:firstLineChars="200"/>
              <w:rPr>
                <w:rFonts w:hint="eastAsia" w:hAnsi="宋体"/>
              </w:rPr>
            </w:pPr>
            <w:r>
              <w:rPr>
                <w:rFonts w:hint="eastAsia" w:hAnsi="宋体"/>
              </w:rPr>
              <w:t>③提高施工人员的野生动物保护意识，树立警示牌，严禁捕杀鸟类。</w:t>
            </w:r>
          </w:p>
          <w:p>
            <w:pPr>
              <w:spacing w:line="360" w:lineRule="auto"/>
              <w:ind w:firstLine="480" w:firstLineChars="200"/>
              <w:rPr>
                <w:rFonts w:hint="eastAsia" w:hAnsi="宋体"/>
              </w:rPr>
            </w:pPr>
            <w:r>
              <w:rPr>
                <w:rFonts w:hint="eastAsia" w:hAnsi="宋体"/>
              </w:rPr>
              <w:t>综上所述，工程建设在原有渠道区建设，地域连通性和工程活动行为变化不大，对东洞庭自然保护区陆生动物、鱼类、鸟类等野生生物多样性和国家保护种无明显影响。</w:t>
            </w:r>
          </w:p>
          <w:p>
            <w:pPr>
              <w:spacing w:line="360" w:lineRule="auto"/>
              <w:ind w:firstLine="482" w:firstLineChars="200"/>
              <w:rPr>
                <w:rFonts w:hint="eastAsia" w:hAnsi="宋体"/>
                <w:b/>
                <w:bCs/>
              </w:rPr>
            </w:pPr>
            <w:r>
              <w:rPr>
                <w:rFonts w:hint="eastAsia" w:hAnsi="宋体"/>
                <w:b/>
                <w:bCs/>
              </w:rPr>
              <w:t>5.</w:t>
            </w:r>
            <w:r>
              <w:rPr>
                <w:rFonts w:hint="eastAsia" w:hAnsi="宋体"/>
                <w:b/>
                <w:bCs/>
                <w:lang w:val="en-US" w:eastAsia="zh-CN"/>
              </w:rPr>
              <w:t>2</w:t>
            </w:r>
            <w:r>
              <w:rPr>
                <w:rFonts w:hint="eastAsia" w:hAnsi="宋体"/>
                <w:b/>
                <w:bCs/>
              </w:rPr>
              <w:t>.3 对水生生境的影响分析</w:t>
            </w:r>
          </w:p>
          <w:p>
            <w:pPr>
              <w:spacing w:line="360" w:lineRule="auto"/>
              <w:ind w:firstLine="480" w:firstLineChars="200"/>
              <w:rPr>
                <w:rFonts w:hint="eastAsia" w:hAnsi="宋体"/>
              </w:rPr>
            </w:pPr>
            <w:r>
              <w:rPr>
                <w:rFonts w:hint="eastAsia" w:hAnsi="宋体"/>
              </w:rPr>
              <w:t>依托工程，洪水港取水工程对水生生境的影响主要在施工期的巨型赛克格宾护脚工程施工对水生生境的影响，施工期和运营期对长江局小部分区域水生生境产生影响，但是影响较小；施工期间无废水和生活垃圾产生，不会对长江的水质产生不良影响，也不会对其中的水生生物和鱼类产生不良影响。</w:t>
            </w:r>
          </w:p>
          <w:p>
            <w:pPr>
              <w:spacing w:line="360" w:lineRule="auto"/>
              <w:ind w:firstLine="482" w:firstLineChars="200"/>
              <w:rPr>
                <w:rFonts w:hint="eastAsia" w:hAnsi="宋体"/>
              </w:rPr>
            </w:pPr>
            <w:r>
              <w:rPr>
                <w:rFonts w:hint="eastAsia" w:hAnsi="宋体"/>
                <w:b/>
                <w:bCs/>
              </w:rPr>
              <w:t>5.</w:t>
            </w:r>
            <w:r>
              <w:rPr>
                <w:rFonts w:hint="eastAsia" w:hAnsi="宋体"/>
                <w:b/>
                <w:bCs/>
                <w:lang w:val="en-US" w:eastAsia="zh-CN"/>
              </w:rPr>
              <w:t>2</w:t>
            </w:r>
            <w:r>
              <w:rPr>
                <w:rFonts w:hint="eastAsia" w:hAnsi="宋体"/>
                <w:b/>
                <w:bCs/>
              </w:rPr>
              <w:t>.4 对浮游生物、底栖动物、水生植物的影响分析</w:t>
            </w:r>
            <w:r>
              <w:rPr>
                <w:rFonts w:hint="eastAsia" w:hAnsi="宋体"/>
              </w:rPr>
              <w:t xml:space="preserve"> </w:t>
            </w:r>
          </w:p>
          <w:p>
            <w:pPr>
              <w:spacing w:line="360" w:lineRule="auto"/>
              <w:ind w:firstLine="480" w:firstLineChars="200"/>
              <w:rPr>
                <w:rFonts w:hint="eastAsia" w:hAnsi="宋体"/>
              </w:rPr>
            </w:pPr>
            <w:r>
              <w:rPr>
                <w:rFonts w:hint="eastAsia" w:hAnsi="宋体"/>
              </w:rPr>
              <w:t>（1）对浮游植物的影响</w:t>
            </w:r>
          </w:p>
          <w:p>
            <w:pPr>
              <w:spacing w:line="360" w:lineRule="auto"/>
              <w:ind w:firstLine="480" w:firstLineChars="200"/>
              <w:rPr>
                <w:rFonts w:hint="eastAsia" w:hAnsi="宋体"/>
              </w:rPr>
            </w:pPr>
            <w:r>
              <w:rPr>
                <w:rFonts w:hint="eastAsia" w:hAnsi="宋体"/>
              </w:rPr>
              <w:t>浮游植物种群数量变化和演替受到光（透明度）、营养、温度和摄食压力等因素的影响。依托工程洪水港取水工程对浮游植物的影响主要是施工阶段引起局部水域水质浑浊，影响阳光透射，使水中浮游植物光合作用暂时降低，不利于藻类生长繁殖，数量减少。</w:t>
            </w:r>
          </w:p>
          <w:p>
            <w:pPr>
              <w:spacing w:line="360" w:lineRule="auto"/>
              <w:ind w:firstLine="480" w:firstLineChars="200"/>
              <w:rPr>
                <w:rFonts w:hint="eastAsia" w:hAnsi="宋体"/>
              </w:rPr>
            </w:pPr>
            <w:r>
              <w:rPr>
                <w:rFonts w:hint="eastAsia" w:hAnsi="宋体"/>
              </w:rPr>
              <w:t>施工结束后，水深相对增加，水体透明度增大，有利于浮游植物光合作用，可促进藻类繁殖，受影响河段藻类的数量可很快恢复到原有水平。</w:t>
            </w:r>
          </w:p>
          <w:p>
            <w:pPr>
              <w:spacing w:line="360" w:lineRule="auto"/>
              <w:ind w:firstLine="480" w:firstLineChars="200"/>
              <w:rPr>
                <w:rFonts w:hint="eastAsia" w:hAnsi="宋体"/>
              </w:rPr>
            </w:pPr>
            <w:r>
              <w:rPr>
                <w:rFonts w:hint="eastAsia" w:hAnsi="宋体"/>
              </w:rPr>
              <w:t>（2）对浮游动物的影响</w:t>
            </w:r>
          </w:p>
          <w:p>
            <w:pPr>
              <w:spacing w:line="360" w:lineRule="auto"/>
              <w:ind w:firstLine="480" w:firstLineChars="200"/>
              <w:rPr>
                <w:rFonts w:hint="eastAsia" w:hAnsi="宋体"/>
              </w:rPr>
            </w:pPr>
            <w:r>
              <w:rPr>
                <w:rFonts w:hint="eastAsia" w:hAnsi="宋体"/>
              </w:rPr>
              <w:t>与浮游植物类似，依托工程洪水港取水工程，因施工影响而使其数量减少，因工程结束逐步得以恢复。施工前，水文特征为急、浅、险，整治后水流趋于平缓，流速降低，则泥沙含量减少，水深增加，水体透明度增加，在一定程度上有利于原生动物、轮虫及浮游甲壳动物的繁殖。</w:t>
            </w:r>
          </w:p>
          <w:p>
            <w:pPr>
              <w:spacing w:line="360" w:lineRule="auto"/>
              <w:ind w:firstLine="480" w:firstLineChars="200"/>
              <w:rPr>
                <w:rFonts w:hint="eastAsia" w:hAnsi="宋体"/>
              </w:rPr>
            </w:pPr>
            <w:r>
              <w:rPr>
                <w:rFonts w:hint="eastAsia" w:hAnsi="宋体"/>
              </w:rPr>
              <w:t>施工后河段中的浮游动物数量会有所增加，但种群结构不会发生大的变化。</w:t>
            </w:r>
          </w:p>
          <w:p>
            <w:pPr>
              <w:spacing w:line="360" w:lineRule="auto"/>
              <w:ind w:firstLine="480" w:firstLineChars="200"/>
              <w:rPr>
                <w:rFonts w:hint="eastAsia" w:hAnsi="宋体"/>
              </w:rPr>
            </w:pPr>
            <w:r>
              <w:rPr>
                <w:rFonts w:hint="eastAsia" w:hAnsi="宋体"/>
              </w:rPr>
              <w:t>（3）对底栖动物的影响</w:t>
            </w:r>
          </w:p>
          <w:p>
            <w:pPr>
              <w:spacing w:line="360" w:lineRule="auto"/>
              <w:ind w:firstLine="480" w:firstLineChars="200"/>
              <w:rPr>
                <w:rFonts w:hint="eastAsia" w:hAnsi="宋体"/>
              </w:rPr>
            </w:pPr>
            <w:r>
              <w:rPr>
                <w:rFonts w:hint="eastAsia" w:hAnsi="宋体"/>
              </w:rPr>
              <w:t>依托工程洪水港取水工程对底栖动物较大的影响是直接改变了其生活环境，从而使其种类、数量、分布也产生一定的影响，尤其是挖泥和抛投过程对其影响较大。底栖动物随着挖出的底泥，从挖泥区被人为地转移到深水区，使挖泥区的数量明显减少；抛投区底栖生物因遭疏浚弃土和礁石覆盖而死亡。喜浅水急流的种类因不适应新的环境而逐渐死亡，少部分适应性强的种类则存活下来。随着时间的推移，局部的原有平衡被破坏后，由于生态效应作用将会在较短时间内形成新的平衡。水下抛投都是人为地改变底栖动物的生活环境，仅改变了部分河段的底质环境，对整体底栖动物的影响并不大。</w:t>
            </w:r>
          </w:p>
          <w:p>
            <w:pPr>
              <w:spacing w:line="360" w:lineRule="auto"/>
              <w:ind w:firstLine="480" w:firstLineChars="200"/>
              <w:rPr>
                <w:rFonts w:hint="eastAsia" w:hAnsi="宋体"/>
              </w:rPr>
            </w:pPr>
            <w:r>
              <w:rPr>
                <w:rFonts w:hint="eastAsia" w:hAnsi="宋体"/>
              </w:rPr>
              <w:t>（4）对食物链的影响分析</w:t>
            </w:r>
          </w:p>
          <w:p>
            <w:pPr>
              <w:spacing w:line="360" w:lineRule="auto"/>
              <w:ind w:firstLine="480" w:firstLineChars="200"/>
              <w:rPr>
                <w:rFonts w:hint="eastAsia" w:hAnsi="宋体"/>
              </w:rPr>
            </w:pPr>
            <w:r>
              <w:rPr>
                <w:rFonts w:hint="eastAsia" w:hAnsi="宋体"/>
              </w:rPr>
              <w:t>水体中的悬浮颗粒物含量的上升，对整个食物链的影响是多方面的。大量悬浮颗粒物的存在，阻碍光在水下的透射，减弱真光层厚度，影响光合作用，进而影响浮游植物初级生产力，以浮游植物为饵料的浮游动物的生物量下降，以捕食浮游动物为生的鱼类，由于饵料缺乏，鱼类丰度下降；而掠食鱼类的高级消费者，由于上一级生产者资源下降而寻觅不到食物。</w:t>
            </w:r>
          </w:p>
          <w:p>
            <w:pPr>
              <w:spacing w:line="360" w:lineRule="auto"/>
              <w:ind w:firstLine="480" w:firstLineChars="200"/>
              <w:rPr>
                <w:rFonts w:hint="eastAsia" w:hAnsi="宋体"/>
              </w:rPr>
            </w:pPr>
            <w:r>
              <w:rPr>
                <w:rFonts w:hint="eastAsia" w:hAnsi="宋体"/>
              </w:rPr>
              <w:t>应该特别强调的是对浮游动物的影响。据研究报道，悬浮颗粒物含量增加明显影响浮游动物桡足类的存活及繁殖，其原因是过多悬浮颗粒物导致桡足类食物过滤系统和消化器官堵塞，悬浮颗粒物含量达300 mg/L 以上时影响尤其显著，并又以粘性淤泥危害更大，泥土和细泥沙次之。鱼虾类的幼稚阶段系浮游动物的范畴，也是构成饵料的有机组成部分。仔鱼与仔虾所受到的影响类似于桡足类。水生生态系统初级生产力降低了，就会影响到整个生态系统的生产力，进而就会影响到整个渔业资源的产量。但总体而言，工程呈线性分布，影响范围小且分散，运行期工程对食物链的影响有限。</w:t>
            </w:r>
          </w:p>
          <w:p>
            <w:pPr>
              <w:spacing w:line="360" w:lineRule="auto"/>
              <w:ind w:firstLine="482" w:firstLineChars="200"/>
              <w:rPr>
                <w:rFonts w:hint="eastAsia" w:hAnsi="宋体"/>
                <w:b/>
                <w:bCs/>
              </w:rPr>
            </w:pPr>
            <w:r>
              <w:rPr>
                <w:rFonts w:hint="eastAsia" w:hAnsi="宋体"/>
                <w:b/>
                <w:bCs/>
              </w:rPr>
              <w:t>5.</w:t>
            </w:r>
            <w:r>
              <w:rPr>
                <w:rFonts w:hint="eastAsia" w:hAnsi="宋体"/>
                <w:b/>
                <w:bCs/>
                <w:lang w:val="en-US" w:eastAsia="zh-CN"/>
              </w:rPr>
              <w:t>2</w:t>
            </w:r>
            <w:r>
              <w:rPr>
                <w:rFonts w:hint="eastAsia" w:hAnsi="宋体"/>
                <w:b/>
                <w:bCs/>
              </w:rPr>
              <w:t xml:space="preserve">.5 对鱼类的影响分析 </w:t>
            </w:r>
          </w:p>
          <w:p>
            <w:pPr>
              <w:spacing w:line="360" w:lineRule="auto"/>
              <w:ind w:firstLine="480" w:firstLineChars="200"/>
              <w:rPr>
                <w:rFonts w:hint="eastAsia" w:hAnsi="宋体"/>
              </w:rPr>
            </w:pPr>
            <w:r>
              <w:rPr>
                <w:rFonts w:hint="eastAsia" w:hAnsi="宋体"/>
              </w:rPr>
              <w:t>根据项目建设工程环境影响分析，项目依托工程洪水港取水工程对长江河段及保护区环境影响要素包括：施工过程引起的悬浮物和噪音污染、护岸工程侵占保护区水域及河床等。</w:t>
            </w:r>
          </w:p>
          <w:p>
            <w:pPr>
              <w:spacing w:line="360" w:lineRule="auto"/>
              <w:ind w:firstLine="480" w:firstLineChars="200"/>
              <w:rPr>
                <w:rFonts w:hint="eastAsia" w:hAnsi="宋体"/>
              </w:rPr>
            </w:pPr>
            <w:r>
              <w:rPr>
                <w:rFonts w:hint="eastAsia" w:hAnsi="宋体"/>
              </w:rPr>
              <w:t>东洞庭湖国家级自然保护区其他保护对象包括南方鲇、鳜、黄颡鱼、刀鲚、</w:t>
            </w:r>
          </w:p>
          <w:p>
            <w:pPr>
              <w:spacing w:line="360" w:lineRule="auto"/>
              <w:ind w:firstLine="480" w:firstLineChars="200"/>
              <w:rPr>
                <w:rFonts w:hint="eastAsia" w:hAnsi="宋体"/>
              </w:rPr>
            </w:pPr>
            <w:r>
              <w:rPr>
                <w:rFonts w:hint="eastAsia" w:hAnsi="宋体"/>
              </w:rPr>
              <w:t>瓦氏黄颡鱼、翘嘴鲌等鱼类。护岸加固工程都是倒坎、冲刷剧烈的河岸，流速遄急、水势复杂，形成许多局部回水区和静水区，底栖鱼如黄颡、蛇鮈、南方大口鲶等，在此觅食与繁育。施工期间，投放巨型赛克格宾作业有可能致死、致伤水下栖息活动的鱼类。本工程在施工期间将加强观望与驱赶，尽量避开鱼类施工，且这种影响是暂时的，随着施工结束而消失。</w:t>
            </w:r>
          </w:p>
          <w:p>
            <w:pPr>
              <w:spacing w:line="360" w:lineRule="auto"/>
              <w:ind w:firstLine="480" w:firstLineChars="200"/>
              <w:rPr>
                <w:rFonts w:hint="eastAsia" w:hAnsi="宋体"/>
              </w:rPr>
            </w:pPr>
            <w:r>
              <w:rPr>
                <w:rFonts w:hint="eastAsia" w:hAnsi="宋体"/>
              </w:rPr>
              <w:t>由于工程建设对长江及保护区水文、水质等非生物因子影响较小，仅施工阶段短期内悬浮物扩散造成了附近水域水体悬浮物增加、透明度降低，并短期内对附近水域初级生产力造成一定影响的影响，但工程施工期仅产生短期的影响，且不改变水域整体营养状况，对整体水文、水质影响较小。因此，工程建设对鱼类等水生生物区系组成、种群结构的影响较小，运营后对鱼类等水生生物区系组成、种群结构的影响也较小。</w:t>
            </w:r>
          </w:p>
          <w:p>
            <w:pPr>
              <w:spacing w:line="360" w:lineRule="auto"/>
              <w:ind w:firstLine="482" w:firstLineChars="200"/>
              <w:rPr>
                <w:rFonts w:hint="eastAsia" w:hAnsi="宋体"/>
                <w:b/>
              </w:rPr>
            </w:pPr>
            <w:r>
              <w:rPr>
                <w:rFonts w:hint="eastAsia" w:hAnsi="宋体"/>
                <w:b/>
              </w:rPr>
              <w:t>5.</w:t>
            </w:r>
            <w:r>
              <w:rPr>
                <w:rFonts w:hint="eastAsia" w:hAnsi="宋体"/>
                <w:b/>
                <w:lang w:val="en-US" w:eastAsia="zh-CN"/>
              </w:rPr>
              <w:t>2</w:t>
            </w:r>
            <w:r>
              <w:rPr>
                <w:rFonts w:hint="eastAsia" w:hAnsi="宋体"/>
                <w:b/>
              </w:rPr>
              <w:t>.</w:t>
            </w:r>
            <w:r>
              <w:rPr>
                <w:rFonts w:hint="eastAsia" w:hAnsi="宋体"/>
                <w:b/>
                <w:lang w:val="en-US" w:eastAsia="zh-CN"/>
              </w:rPr>
              <w:t>6</w:t>
            </w:r>
            <w:r>
              <w:rPr>
                <w:rFonts w:hint="eastAsia" w:hAnsi="宋体"/>
                <w:b/>
              </w:rPr>
              <w:t>取水工程施工对四大家鱼水产种质资源保护区的影响分析</w:t>
            </w:r>
          </w:p>
          <w:p>
            <w:pPr>
              <w:spacing w:line="360" w:lineRule="auto"/>
              <w:ind w:firstLine="480" w:firstLineChars="200"/>
              <w:rPr>
                <w:rFonts w:hint="eastAsia" w:hAnsi="宋体"/>
              </w:rPr>
            </w:pPr>
            <w:r>
              <w:rPr>
                <w:rFonts w:hint="eastAsia" w:hAnsi="宋体"/>
              </w:rPr>
              <w:t>本项目依托工程洪水港取水工程位于长江监利段四大家鱼国家级水产种质资源保护区的实验区范围内，施工对保护区的主要影响如下：</w:t>
            </w:r>
          </w:p>
          <w:p>
            <w:pPr>
              <w:spacing w:line="360" w:lineRule="auto"/>
              <w:ind w:firstLine="480" w:firstLineChars="200"/>
              <w:rPr>
                <w:rFonts w:hint="eastAsia" w:hAnsi="宋体"/>
              </w:rPr>
            </w:pPr>
            <w:r>
              <w:rPr>
                <w:rFonts w:hint="eastAsia" w:hAnsi="宋体"/>
              </w:rPr>
              <w:t xml:space="preserve">⑴对保护区鱼类等水生生物区系组成和种群结构的影响 </w:t>
            </w:r>
          </w:p>
          <w:p>
            <w:pPr>
              <w:spacing w:line="360" w:lineRule="auto"/>
              <w:ind w:firstLine="480" w:firstLineChars="200"/>
              <w:rPr>
                <w:rFonts w:hint="eastAsia" w:hAnsi="宋体"/>
              </w:rPr>
            </w:pPr>
            <w:r>
              <w:rPr>
                <w:rFonts w:hint="eastAsia" w:hAnsi="宋体"/>
              </w:rPr>
              <w:t>工程取水工程水下投放巨型赛克格宾施工时，将产生底层悬浮物高浓度悬浮物扩散场，悬浮颗粒将直接对生物幼体造成伤害，影响胚胎发育；施工噪音将对施工区鱼类产生惊吓效果，导致一些鱼类个体行为紊乱，从而妨碍其正常索饵、洄游，如果噪音处于产卵场附近，或在繁殖期产生，则会对其繁殖活动产生一定影响；护脚作业还有可能致死、致伤水下栖息活动的鱼类。这些影响都将影响鱼类的正常生活，使得部分鱼类死亡，数量有一定程度的减小。但保护区所在江段鱼类等水生生物区系组成、种群结构丰富，各类型鱼类数量丰富，施工不会明显改变鱼类等水生生物区系组成和种群结构。且这种影响是有限的、暂时的，施工结束后，将逐步得到恢复。</w:t>
            </w:r>
          </w:p>
          <w:p>
            <w:pPr>
              <w:spacing w:line="360" w:lineRule="auto"/>
              <w:ind w:firstLine="480" w:firstLineChars="200"/>
              <w:rPr>
                <w:rFonts w:hint="eastAsia" w:hAnsi="宋体"/>
              </w:rPr>
            </w:pPr>
            <w:r>
              <w:rPr>
                <w:rFonts w:hint="eastAsia" w:hAnsi="宋体"/>
              </w:rPr>
              <w:t xml:space="preserve">⑵对保护区鱼类等水生生物资源的影响 </w:t>
            </w:r>
          </w:p>
          <w:p>
            <w:pPr>
              <w:spacing w:line="360" w:lineRule="auto"/>
              <w:ind w:firstLine="480" w:firstLineChars="200"/>
              <w:rPr>
                <w:rFonts w:hint="eastAsia" w:hAnsi="宋体"/>
              </w:rPr>
            </w:pPr>
            <w:r>
              <w:rPr>
                <w:rFonts w:hint="eastAsia" w:hAnsi="宋体"/>
              </w:rPr>
              <w:t>1）施工悬浮物对鱼类的影响</w:t>
            </w:r>
          </w:p>
          <w:p>
            <w:pPr>
              <w:spacing w:line="360" w:lineRule="auto"/>
              <w:ind w:firstLine="480" w:firstLineChars="200"/>
              <w:rPr>
                <w:rFonts w:hint="eastAsia" w:hAnsi="宋体"/>
              </w:rPr>
            </w:pPr>
            <w:r>
              <w:rPr>
                <w:rFonts w:hint="eastAsia" w:hAnsi="宋体"/>
              </w:rPr>
              <w:t xml:space="preserve">①工程对渔业资源的影响主要表现在施工期间形成的底层悬浮物沉积物高浓度扩散场，悬浮物颗粒将直接对生物仔幼体造成伤害，影响胚胎发育。涉及四大家鱼种质资源保护区的工程河段水下施工产生的高浓度悬浮物可能对鱼类繁殖产生一定影响，但是施工采用逐步推进的方式进行，施工扰动水域相对较小。 </w:t>
            </w:r>
          </w:p>
          <w:p>
            <w:pPr>
              <w:spacing w:line="360" w:lineRule="auto"/>
              <w:ind w:firstLine="480" w:firstLineChars="200"/>
              <w:rPr>
                <w:rFonts w:hint="eastAsia" w:hAnsi="宋体"/>
              </w:rPr>
            </w:pPr>
            <w:r>
              <w:rPr>
                <w:rFonts w:hint="eastAsia" w:hAnsi="宋体"/>
              </w:rPr>
              <w:t>②悬浮颗粒物的存在，会阻碍光在水下的透射，减弱真光层厚度，影响光合作用，进而影响浮游植物初级生产力，以浮游植物为饵料的浮游动物的生物量下降，以捕食浮游动物为生的鱼类，由于饵料减少，鱼类丰度可能下降，而掠食鱼类的高级消费者，由于上一级生产者资源下降而导致寻觅到食物的几率减小。食物链中，饵料的定义是广义的，除初级生产者——浮游藻类之外，其他均既为生产者也为消费者。水体中的悬浮颗粒物含量的上升，对整个食物链的影响是多方面的。应该特别强调的是对浮游动物的影响。水生生态系统初级生产力降低了，就会影响到整个生态系统的生产力，但这种影响只是局部的、暂时性的，待工程结束后，影响会逐渐消失。</w:t>
            </w:r>
          </w:p>
          <w:p>
            <w:pPr>
              <w:spacing w:line="360" w:lineRule="auto"/>
              <w:ind w:firstLine="480" w:firstLineChars="200"/>
              <w:rPr>
                <w:rFonts w:hint="eastAsia" w:hAnsi="宋体"/>
              </w:rPr>
            </w:pPr>
            <w:r>
              <w:rPr>
                <w:rFonts w:hint="eastAsia" w:hAnsi="宋体"/>
              </w:rPr>
              <w:t>2）施工噪声对鱼类的影响</w:t>
            </w:r>
          </w:p>
          <w:p>
            <w:pPr>
              <w:spacing w:line="360" w:lineRule="auto"/>
              <w:ind w:firstLine="480" w:firstLineChars="200"/>
              <w:rPr>
                <w:rFonts w:hint="eastAsia" w:hAnsi="宋体"/>
              </w:rPr>
            </w:pPr>
            <w:r>
              <w:rPr>
                <w:rFonts w:hint="eastAsia" w:hAnsi="宋体"/>
              </w:rPr>
              <w:t>一般工程机械作业时的噪音都在90dB以下，投放巨型赛克格宾水下作业也会产生噪音，噪音声强可能相对较小。施工产生的噪音在水下传播较快，并且能量耗散较小，噪音传播区域较大，施工噪音将对施工区鱼类产生惊吓效果，对亲鱼洄游产生一定影响，但只要环境噪音声强不超过一定的阈值范围，则不会对鱼类造成明显的伤害或导致其死亡。但在持续噪音刺激下，一些鱼类个体行为紊乱，从而妨碍其正常索饵、洄游的现象将不可避免。如果噪音处于产卵场附近，或在繁殖期产生，则会对其繁殖活动产生一定影响。</w:t>
            </w:r>
          </w:p>
          <w:p>
            <w:pPr>
              <w:spacing w:line="360" w:lineRule="auto"/>
              <w:ind w:firstLine="480" w:firstLineChars="200"/>
              <w:rPr>
                <w:rFonts w:hint="eastAsia" w:hAnsi="宋体"/>
              </w:rPr>
            </w:pPr>
            <w:r>
              <w:rPr>
                <w:rFonts w:hint="eastAsia" w:hAnsi="宋体"/>
              </w:rPr>
              <w:t>⑶对保护区鱼类等水生生物繁殖的影响</w:t>
            </w:r>
          </w:p>
          <w:p>
            <w:pPr>
              <w:spacing w:line="360" w:lineRule="auto"/>
              <w:ind w:firstLine="480" w:firstLineChars="200"/>
              <w:rPr>
                <w:rFonts w:hint="eastAsia" w:hAnsi="宋体"/>
              </w:rPr>
            </w:pPr>
            <w:r>
              <w:rPr>
                <w:rFonts w:hint="eastAsia" w:hAnsi="宋体"/>
              </w:rPr>
              <w:t>本工程在投放巨型赛克格宾水下护脚施工过程中，施工人员在岸上或船舶上人工定点抛投，投放区扰动水域和底质，导致局部水域悬浮物含量增加。工程施工对保护区的影响主要体现在水质的改变。</w:t>
            </w:r>
          </w:p>
          <w:p>
            <w:pPr>
              <w:spacing w:line="360" w:lineRule="auto"/>
              <w:ind w:firstLine="480" w:firstLineChars="200"/>
              <w:rPr>
                <w:rFonts w:hint="eastAsia" w:hAnsi="宋体"/>
              </w:rPr>
            </w:pPr>
            <w:r>
              <w:rPr>
                <w:rFonts w:hint="eastAsia" w:hAnsi="宋体"/>
              </w:rPr>
              <w:t>根据《三峡后续工作长江中下游影响处理湖南段二期河道整治工程环境影响报告书》中关于长江监利段四大家鱼国家级水产种质资源保护区的“三场”分布情况可知，项目取水工程不涉及四大家鱼的“三场”，取水工程距离较近的四大家鱼的越冬场距离约2800m，对四大家鱼的越冬影响较小。</w:t>
            </w:r>
          </w:p>
          <w:p>
            <w:pPr>
              <w:spacing w:line="360" w:lineRule="auto"/>
              <w:rPr>
                <w:rFonts w:hint="eastAsia" w:hAnsi="宋体"/>
              </w:rPr>
            </w:pPr>
            <w:r>
              <w:rPr>
                <w:rFonts w:hint="eastAsia" w:hAnsi="宋体"/>
              </w:rPr>
              <w:t xml:space="preserve">⑷对保护区鱼类仔幼鱼庇护与生长的影响 </w:t>
            </w:r>
          </w:p>
          <w:p>
            <w:pPr>
              <w:spacing w:line="360" w:lineRule="auto"/>
              <w:ind w:firstLine="480" w:firstLineChars="200"/>
              <w:rPr>
                <w:rFonts w:hint="eastAsia" w:hAnsi="宋体"/>
              </w:rPr>
            </w:pPr>
            <w:r>
              <w:rPr>
                <w:rFonts w:hint="eastAsia" w:hAnsi="宋体"/>
              </w:rPr>
              <w:t>取水工程对水文情势影响较小，未阻隔洄游通道，取水工程水下护脚工程改变了部分区域河床及河岸形态，占用了一定面积的河滩带，将导致河床底质、底栖生物群落等发生改变，进而影响鱼类产卵及捕食。由于水下建筑物的形成，将导致水生生境发生变化或局部区域生境消失。一方面，容易导致河岸衬砌硬化，土体与水体的关系相割裂，隔断河道水域中的生物、微生物与陆域的接触，引起其自然生存环境恶化，河流的天然自净能力因此下降；另一方面，工程建成后局部区域河床地形地貌发生改变，如抛石等增加了河床的糙度，形成水下障碍体，障碍体下面将形成局部遄流的尾流，从而形成人工鱼礁的效应，可以为洄游性鱼类提供临时避让场所，也为一些底栖鱼类如黄颡鱼等提供适宜栖息活动的环境。</w:t>
            </w:r>
          </w:p>
          <w:p>
            <w:pPr>
              <w:spacing w:line="360" w:lineRule="auto"/>
              <w:ind w:firstLine="480" w:firstLineChars="200"/>
              <w:rPr>
                <w:rFonts w:hint="eastAsia" w:hAnsi="宋体"/>
              </w:rPr>
            </w:pPr>
            <w:r>
              <w:rPr>
                <w:rFonts w:hint="eastAsia" w:hAnsi="宋体"/>
              </w:rPr>
              <w:t>长江监利段四大家鱼国家级水产种质资源保护区主要保护对象为为“青鱼、草鱼、鲢鱼、鳙鱼”。取水工程的护脚施工将扰动河床，使河床底泥再悬浮，且施工易使河道的底质、洲滩等发生改变。</w:t>
            </w:r>
          </w:p>
          <w:p>
            <w:pPr>
              <w:spacing w:line="360" w:lineRule="auto"/>
              <w:ind w:firstLine="480" w:firstLineChars="200"/>
              <w:rPr>
                <w:rFonts w:hint="eastAsia" w:hAnsi="宋体"/>
              </w:rPr>
            </w:pPr>
            <w:r>
              <w:rPr>
                <w:rFonts w:hint="eastAsia" w:hAnsi="宋体"/>
              </w:rPr>
              <w:t>施工过程对鱼类仔幼鱼庇护与生长的影响主要是局部水域悬浮物浓度和生物饵料的变化。施工阶段，水中作业引起局部水域水质浑浊，透明度下降，悬浮物浓度升高，直接影响仔幼鱼庇护与生长。仔幼鱼一船在洲滩、岸边浅水区庇护场及摄食生长，河滩地的占用将导致水生生物、浮游生物、底栖生物等饵料生物生物量下降，也影响仔幼鱼的摄食和生长。</w:t>
            </w:r>
          </w:p>
          <w:p>
            <w:pPr>
              <w:spacing w:line="360" w:lineRule="auto"/>
              <w:ind w:firstLine="480" w:firstLineChars="200"/>
              <w:rPr>
                <w:rFonts w:hint="eastAsia" w:hAnsi="宋体"/>
              </w:rPr>
            </w:pPr>
            <w:r>
              <w:rPr>
                <w:rFonts w:hint="eastAsia" w:hAnsi="宋体"/>
              </w:rPr>
              <w:t xml:space="preserve">⑸对保护区鱼类等水生生物多样性的影响 </w:t>
            </w:r>
          </w:p>
          <w:p>
            <w:pPr>
              <w:spacing w:line="360" w:lineRule="auto"/>
              <w:ind w:firstLine="480" w:firstLineChars="200"/>
              <w:rPr>
                <w:rFonts w:hint="eastAsia" w:hAnsi="宋体"/>
              </w:rPr>
            </w:pPr>
            <w:r>
              <w:rPr>
                <w:rFonts w:hint="eastAsia" w:hAnsi="宋体"/>
              </w:rPr>
              <w:t>涉及长江监利段四大家鱼国家级水产种质资源保护区的取水工程段护岸工程的实施虽然减少了河流过渡段浅水区的面积，喜爱急流和卵石、沙砾底质的小型底栖鱼类丧失部分栖息地和产卵场，但经过一段时间的恢复，卵石包、礁石等重新为鱼类提供了主要栖息、索饵和产卵环境，同时，新构筑也形成一些新栖息地。总体而言，工程建设对保护区水生生物多样性的影响尤其是小生境类型多样性的影响是客观存在的，但施工主要在局部水域进行，相对保护区水域面积较小，而且流水环境的自我修复能力较强，所以工程建设对保护区水鱼类等生生物多样性的影响有限。</w:t>
            </w:r>
          </w:p>
          <w:p>
            <w:pPr>
              <w:spacing w:line="360" w:lineRule="auto"/>
              <w:ind w:firstLine="482" w:firstLineChars="200"/>
              <w:rPr>
                <w:rFonts w:hint="eastAsia" w:hAnsi="宋体"/>
                <w:b/>
              </w:rPr>
            </w:pPr>
            <w:r>
              <w:rPr>
                <w:rFonts w:hint="eastAsia" w:hAnsi="宋体"/>
                <w:b/>
              </w:rPr>
              <w:t>5.</w:t>
            </w:r>
            <w:r>
              <w:rPr>
                <w:rFonts w:hint="eastAsia" w:hAnsi="宋体"/>
                <w:b/>
                <w:lang w:val="en-US" w:eastAsia="zh-CN"/>
              </w:rPr>
              <w:t>2</w:t>
            </w:r>
            <w:r>
              <w:rPr>
                <w:rFonts w:hint="eastAsia" w:hAnsi="宋体"/>
                <w:b/>
              </w:rPr>
              <w:t>.</w:t>
            </w:r>
            <w:r>
              <w:rPr>
                <w:rFonts w:hint="eastAsia" w:hAnsi="宋体"/>
                <w:b/>
                <w:lang w:val="en-US" w:eastAsia="zh-CN"/>
              </w:rPr>
              <w:t>7</w:t>
            </w:r>
            <w:r>
              <w:rPr>
                <w:rFonts w:hint="eastAsia" w:hAnsi="宋体"/>
                <w:b/>
              </w:rPr>
              <w:t>对湖南东洞庭湖湖泊国际重要湿地生态系统的影响分析</w:t>
            </w:r>
          </w:p>
          <w:p>
            <w:pPr>
              <w:spacing w:line="360" w:lineRule="auto"/>
              <w:ind w:firstLine="480" w:firstLineChars="200"/>
              <w:rPr>
                <w:rFonts w:hint="eastAsia" w:hAnsi="宋体"/>
              </w:rPr>
            </w:pPr>
            <w:r>
              <w:rPr>
                <w:rFonts w:hint="eastAsia" w:hAnsi="宋体"/>
                <w:lang w:eastAsia="zh-CN"/>
              </w:rPr>
              <w:t>（</w:t>
            </w:r>
            <w:r>
              <w:rPr>
                <w:rFonts w:hint="eastAsia" w:hAnsi="宋体"/>
                <w:lang w:val="en-US" w:eastAsia="zh-CN"/>
              </w:rPr>
              <w:t>1</w:t>
            </w:r>
            <w:r>
              <w:rPr>
                <w:rFonts w:hint="eastAsia" w:hAnsi="宋体"/>
                <w:lang w:eastAsia="zh-CN"/>
              </w:rPr>
              <w:t>）</w:t>
            </w:r>
            <w:r>
              <w:rPr>
                <w:rFonts w:hint="eastAsia" w:hAnsi="宋体"/>
              </w:rPr>
              <w:t xml:space="preserve">施工期对湿地生态系统影响分析 </w:t>
            </w:r>
          </w:p>
          <w:p>
            <w:pPr>
              <w:spacing w:line="360" w:lineRule="auto"/>
              <w:ind w:firstLine="480" w:firstLineChars="200"/>
              <w:rPr>
                <w:rFonts w:hint="eastAsia" w:hAnsi="宋体"/>
              </w:rPr>
            </w:pPr>
            <w:r>
              <w:rPr>
                <w:rFonts w:hint="eastAsia" w:hAnsi="宋体"/>
              </w:rPr>
              <w:t>东洞庭湖湿地在东北亚鹤类迁徙网络、东亚雁鸭类迁徙网络等国际区域性物种保护网络中具有十分重要的地位。每年10月至次年3月，有217种鸟类共1000万只候鸟在这里越冬。白鹤、白鹳、灰鹤、小天鹅、白鹭等国家Ⅰ级、Ⅱ级保护动物在东洞庭湖随处可见，很受国际关注，而且很多已经宣布为濒危的鸟类如白头鹤、大鸨、鸿雁、小额雁、青头潜鸭等在东洞庭湖也不难见到，上述越冬鸟类的栖息地分布整个东洞庭湖湿地范围内。工程的施工和建设会对湿地生境产生一定的影响。</w:t>
            </w:r>
          </w:p>
          <w:p>
            <w:pPr>
              <w:spacing w:line="360" w:lineRule="auto"/>
              <w:ind w:firstLine="480" w:firstLineChars="200"/>
              <w:rPr>
                <w:rFonts w:hint="eastAsia" w:hAnsi="宋体"/>
              </w:rPr>
            </w:pPr>
            <w:r>
              <w:rPr>
                <w:rFonts w:hint="eastAsia" w:hAnsi="宋体"/>
              </w:rPr>
              <w:t>工程施工在湿地范围内进行，一定程度上会破坏工程沿线湿地植被。这些湿地植物是部分产粘性鱼卵鱼类的产卵基质和越冬鸟类的栖息地，湿地植被的破坏对部分鱼类的繁殖和越冬鸟类的栖息觅食产生影响。但工程区域面较小，对湿地植被的影响有限，且这些湿地植被种类为流域内广泛分布的种类，工程施工不会导致这些物质的消亡。</w:t>
            </w:r>
          </w:p>
          <w:p>
            <w:pPr>
              <w:spacing w:line="360" w:lineRule="auto"/>
              <w:ind w:firstLine="480" w:firstLineChars="200"/>
              <w:rPr>
                <w:rFonts w:hint="eastAsia" w:hAnsi="宋体"/>
              </w:rPr>
            </w:pPr>
            <w:r>
              <w:rPr>
                <w:rFonts w:hint="eastAsia" w:hAnsi="宋体"/>
              </w:rPr>
              <w:t>施工时，施工机械噪声排放和施工人员活动可能对栖息在湿地的鸟类产生惊扰，干扰其在湿地内浅水沙滩的栖息活动、觅食活动、繁殖活动。但不会构成直接伤害，鸟类活动和迁徙能力较强，工程占地范围较小，鸟类可以飞至湿地系统其它不受干扰的栖息地内活动。工程占地面积有限，而且工程外围地带分布有大面积的灌溉水田、旱地、菜地、林地、草地等适宜生境，为平原湖泊区，食物来源广、种类丰富，鸟类在受到影响后，可到这些区域栖息、觅食、繁殖。因此，工程建设不会对湿地鸟类产生明显不利影响。且涉及鸟类栖息地工程段尽量采用水运施工，尽量减少陆运施工对鸟类栖息地的影响。</w:t>
            </w:r>
          </w:p>
          <w:p>
            <w:pPr>
              <w:spacing w:line="360" w:lineRule="auto"/>
              <w:ind w:firstLine="480" w:firstLineChars="200"/>
              <w:rPr>
                <w:rFonts w:hint="eastAsia" w:hAnsi="宋体"/>
              </w:rPr>
            </w:pPr>
            <w:r>
              <w:rPr>
                <w:rFonts w:hint="eastAsia" w:hAnsi="宋体"/>
              </w:rPr>
              <w:t>总体而言，施工对工程范围内湿地生态系统的空间结构、物种结构会产生一定的影响，但这种影响是局部的，强度相对也较低，工程完工后，大部分的功能会得到恢复。</w:t>
            </w:r>
          </w:p>
          <w:p>
            <w:pPr>
              <w:spacing w:line="360" w:lineRule="auto"/>
              <w:ind w:firstLine="480" w:firstLineChars="200"/>
              <w:rPr>
                <w:rFonts w:hint="eastAsia" w:hAnsi="宋体"/>
              </w:rPr>
            </w:pPr>
            <w:r>
              <w:rPr>
                <w:rFonts w:hint="eastAsia" w:hAnsi="宋体"/>
                <w:lang w:eastAsia="zh-CN"/>
              </w:rPr>
              <w:t>（</w:t>
            </w:r>
            <w:r>
              <w:rPr>
                <w:rFonts w:hint="eastAsia" w:hAnsi="宋体"/>
                <w:lang w:val="en-US" w:eastAsia="zh-CN"/>
              </w:rPr>
              <w:t>2</w:t>
            </w:r>
            <w:r>
              <w:rPr>
                <w:rFonts w:hint="eastAsia" w:hAnsi="宋体"/>
                <w:lang w:eastAsia="zh-CN"/>
              </w:rPr>
              <w:t>）</w:t>
            </w:r>
            <w:r>
              <w:rPr>
                <w:rFonts w:hint="eastAsia" w:hAnsi="宋体"/>
              </w:rPr>
              <w:t xml:space="preserve">运行期对湿地生态系统影响分析 </w:t>
            </w:r>
          </w:p>
          <w:p>
            <w:pPr>
              <w:spacing w:line="360" w:lineRule="auto"/>
              <w:ind w:firstLine="480" w:firstLineChars="200"/>
              <w:rPr>
                <w:rFonts w:hint="eastAsia" w:hAnsi="宋体"/>
              </w:rPr>
            </w:pPr>
            <w:r>
              <w:rPr>
                <w:rFonts w:hint="eastAsia" w:hAnsi="宋体"/>
              </w:rPr>
              <w:t>工程施工建设完成后，对管道沿线进行乡间植被复绿。工程呈线性分布，影响范围小且分散，不会改变植被的总体分布和结构组成。</w:t>
            </w:r>
          </w:p>
          <w:p>
            <w:pPr>
              <w:spacing w:line="360" w:lineRule="auto"/>
              <w:ind w:firstLine="480" w:firstLineChars="200"/>
              <w:rPr>
                <w:rFonts w:hint="eastAsia" w:hAnsi="宋体"/>
              </w:rPr>
            </w:pPr>
            <w:r>
              <w:rPr>
                <w:rFonts w:hint="eastAsia" w:hAnsi="宋体"/>
              </w:rPr>
              <w:t>综上所述，施工结束后，湿地生态系统在采取一系列恢复措施后，植物、湿地鸟类等逐步恢复到原有水平。</w:t>
            </w:r>
          </w:p>
          <w:p>
            <w:pPr>
              <w:spacing w:line="360" w:lineRule="auto"/>
              <w:ind w:firstLine="482" w:firstLineChars="200"/>
              <w:rPr>
                <w:rFonts w:hAnsi="宋体"/>
                <w:b/>
              </w:rPr>
            </w:pPr>
            <w:r>
              <w:rPr>
                <w:rFonts w:hint="eastAsia" w:hAnsi="宋体"/>
                <w:b/>
              </w:rPr>
              <w:t>二、营运期环境影响分析：</w:t>
            </w:r>
          </w:p>
          <w:p>
            <w:pPr>
              <w:spacing w:line="360" w:lineRule="auto"/>
              <w:ind w:firstLine="482" w:firstLineChars="200"/>
              <w:rPr>
                <w:rFonts w:hAnsi="宋体"/>
                <w:b/>
              </w:rPr>
            </w:pPr>
            <w:bookmarkStart w:id="23" w:name="_Toc501355490"/>
            <w:bookmarkStart w:id="24" w:name="_Toc501353642"/>
            <w:r>
              <w:rPr>
                <w:rFonts w:hAnsi="宋体"/>
                <w:b/>
              </w:rPr>
              <w:t>2.1 地表水环境影响分析</w:t>
            </w:r>
          </w:p>
          <w:p>
            <w:pPr>
              <w:spacing w:line="360" w:lineRule="auto"/>
              <w:ind w:firstLine="480" w:firstLineChars="200"/>
              <w:rPr>
                <w:rFonts w:hAnsi="宋体"/>
              </w:rPr>
            </w:pPr>
            <w:r>
              <w:rPr>
                <w:rFonts w:hAnsi="宋体"/>
              </w:rPr>
              <w:t>（1）评价等级</w:t>
            </w:r>
          </w:p>
          <w:p>
            <w:pPr>
              <w:spacing w:line="360" w:lineRule="auto"/>
              <w:ind w:firstLine="480" w:firstLineChars="200"/>
              <w:rPr>
                <w:rFonts w:hAnsi="宋体"/>
              </w:rPr>
            </w:pPr>
            <w:r>
              <w:rPr>
                <w:rFonts w:hAnsi="宋体"/>
              </w:rPr>
              <w:t>本项目营运期废水不外排，因此，项目属于水文要素型。</w:t>
            </w:r>
          </w:p>
          <w:p>
            <w:pPr>
              <w:spacing w:line="360" w:lineRule="auto"/>
              <w:ind w:firstLine="480" w:firstLineChars="200"/>
              <w:rPr>
                <w:rFonts w:hAnsi="宋体"/>
              </w:rPr>
            </w:pPr>
            <w:r>
              <w:rPr>
                <w:rFonts w:hAnsi="宋体"/>
              </w:rPr>
              <w:t>根据取水口水资源论证报告，</w:t>
            </w:r>
            <w:r>
              <w:rPr>
                <w:rFonts w:hint="eastAsia" w:hAnsi="宋体"/>
              </w:rPr>
              <w:t>长</w:t>
            </w:r>
            <w:r>
              <w:rPr>
                <w:rFonts w:hAnsi="宋体"/>
              </w:rPr>
              <w:t>江多年平均径流量 11266m</w:t>
            </w:r>
            <w:r>
              <w:rPr>
                <w:rFonts w:hAnsi="宋体"/>
                <w:vertAlign w:val="superscript"/>
              </w:rPr>
              <w:t>3</w:t>
            </w:r>
            <w:r>
              <w:rPr>
                <w:rFonts w:hAnsi="宋体"/>
              </w:rPr>
              <w:t>/s</w:t>
            </w:r>
            <w:r>
              <w:rPr>
                <w:rFonts w:hint="eastAsia" w:hAnsi="宋体"/>
              </w:rPr>
              <w:t>（</w:t>
            </w:r>
            <w:r>
              <w:rPr>
                <w:rFonts w:hAnsi="宋体"/>
              </w:rPr>
              <w:t>3552845.76</w:t>
            </w:r>
            <w:r>
              <w:rPr>
                <w:rFonts w:hint="eastAsia" w:hAnsi="宋体"/>
              </w:rPr>
              <w:t>万</w:t>
            </w:r>
            <w:r>
              <w:rPr>
                <w:rFonts w:hAnsi="宋体"/>
              </w:rPr>
              <w:t>m</w:t>
            </w:r>
            <w:r>
              <w:rPr>
                <w:rFonts w:hAnsi="宋体"/>
                <w:vertAlign w:val="superscript"/>
              </w:rPr>
              <w:t>3</w:t>
            </w:r>
            <w:r>
              <w:rPr>
                <w:rFonts w:hAnsi="宋体"/>
              </w:rPr>
              <w:t>/d</w:t>
            </w:r>
            <w:r>
              <w:rPr>
                <w:rFonts w:hint="eastAsia" w:hAnsi="宋体"/>
              </w:rPr>
              <w:t>），</w:t>
            </w:r>
            <w:r>
              <w:rPr>
                <w:rFonts w:hAnsi="宋体"/>
              </w:rPr>
              <w:t>拟取用水量为 300万 m</w:t>
            </w:r>
            <w:r>
              <w:rPr>
                <w:rFonts w:hAnsi="宋体"/>
                <w:vertAlign w:val="superscript"/>
              </w:rPr>
              <w:t>3</w:t>
            </w:r>
            <w:r>
              <w:rPr>
                <w:rFonts w:hAnsi="宋体"/>
              </w:rPr>
              <w:t>/d，取水量占多年平均径流量百分比为 0.00008%。因此，本项目评价等级为水文要素影响型三级。</w:t>
            </w:r>
          </w:p>
          <w:p>
            <w:pPr>
              <w:spacing w:line="360" w:lineRule="auto"/>
              <w:ind w:firstLine="480" w:firstLineChars="200"/>
              <w:rPr>
                <w:rFonts w:hAnsi="宋体"/>
              </w:rPr>
            </w:pPr>
            <w:r>
              <w:rPr>
                <w:rFonts w:hAnsi="宋体"/>
              </w:rPr>
              <w:t>（2）影响分析</w:t>
            </w:r>
          </w:p>
          <w:p>
            <w:pPr>
              <w:spacing w:line="360" w:lineRule="auto"/>
              <w:ind w:firstLine="480" w:firstLineChars="200"/>
              <w:rPr>
                <w:rFonts w:hAnsi="宋体"/>
                <w:highlight w:val="none"/>
              </w:rPr>
            </w:pPr>
            <w:r>
              <w:rPr>
                <w:rFonts w:hAnsi="宋体"/>
              </w:rPr>
              <w:t>本项目对水环境的影响主要在施工期，施工期废水收集处理后回用于降尘和施工，不外排。运行过程中并无生产废水</w:t>
            </w:r>
            <w:r>
              <w:rPr>
                <w:rFonts w:hAnsi="宋体"/>
                <w:highlight w:val="none"/>
              </w:rPr>
              <w:t>产生，项目员工由水厂人员调配，无生活污水产生。</w:t>
            </w:r>
          </w:p>
          <w:p>
            <w:pPr>
              <w:spacing w:line="360" w:lineRule="auto"/>
              <w:ind w:firstLine="480" w:firstLineChars="200"/>
              <w:rPr>
                <w:rFonts w:hAnsi="宋体"/>
              </w:rPr>
            </w:pPr>
            <w:r>
              <w:rPr>
                <w:rFonts w:hAnsi="宋体"/>
                <w:highlight w:val="none"/>
              </w:rPr>
              <w:t>根据取水口水资源论证报告，</w:t>
            </w:r>
            <w:r>
              <w:rPr>
                <w:rFonts w:hint="eastAsia" w:hAnsi="宋体"/>
                <w:highlight w:val="none"/>
              </w:rPr>
              <w:t>从潭子坑取水口迁移至洪水港取水口，取水量没有发生变化，君山区广兴洲镇、许市镇安全</w:t>
            </w:r>
            <w:r>
              <w:rPr>
                <w:rFonts w:hint="eastAsia" w:hAnsi="宋体"/>
              </w:rPr>
              <w:t>饮水工程年取水量分别为1</w:t>
            </w:r>
            <w:r>
              <w:rPr>
                <w:rFonts w:hAnsi="宋体"/>
              </w:rPr>
              <w:t>75</w:t>
            </w:r>
            <w:r>
              <w:rPr>
                <w:rFonts w:hint="eastAsia" w:hAnsi="宋体"/>
              </w:rPr>
              <w:t>万</w:t>
            </w:r>
            <w:r>
              <w:rPr>
                <w:rFonts w:hAnsi="宋体"/>
              </w:rPr>
              <w:t>m</w:t>
            </w:r>
            <w:r>
              <w:rPr>
                <w:rFonts w:hAnsi="宋体"/>
                <w:vertAlign w:val="superscript"/>
              </w:rPr>
              <w:t>3</w:t>
            </w:r>
            <w:r>
              <w:rPr>
                <w:rFonts w:hAnsi="宋体"/>
              </w:rPr>
              <w:t>/d，</w:t>
            </w:r>
            <w:r>
              <w:rPr>
                <w:rFonts w:hint="eastAsia" w:hAnsi="宋体"/>
              </w:rPr>
              <w:t>1</w:t>
            </w:r>
            <w:r>
              <w:rPr>
                <w:rFonts w:hAnsi="宋体"/>
              </w:rPr>
              <w:t>25</w:t>
            </w:r>
            <w:r>
              <w:rPr>
                <w:rFonts w:hint="eastAsia" w:hAnsi="宋体"/>
              </w:rPr>
              <w:t>万</w:t>
            </w:r>
            <w:r>
              <w:rPr>
                <w:rFonts w:hAnsi="宋体"/>
              </w:rPr>
              <w:t>m</w:t>
            </w:r>
            <w:r>
              <w:rPr>
                <w:rFonts w:hAnsi="宋体"/>
                <w:vertAlign w:val="superscript"/>
              </w:rPr>
              <w:t>3</w:t>
            </w:r>
            <w:r>
              <w:rPr>
                <w:rFonts w:hAnsi="宋体"/>
              </w:rPr>
              <w:t>/d，</w:t>
            </w:r>
            <w:r>
              <w:rPr>
                <w:rFonts w:hint="eastAsia" w:hAnsi="宋体"/>
              </w:rPr>
              <w:t>分别仅占取水断面9</w:t>
            </w:r>
            <w:r>
              <w:rPr>
                <w:rFonts w:hAnsi="宋体"/>
              </w:rPr>
              <w:t>9</w:t>
            </w:r>
            <w:r>
              <w:rPr>
                <w:rFonts w:hint="eastAsia" w:hAnsi="宋体"/>
              </w:rPr>
              <w:t>%设计频率年来水量2</w:t>
            </w:r>
            <w:r>
              <w:rPr>
                <w:rFonts w:hAnsi="宋体"/>
              </w:rPr>
              <w:t>702</w:t>
            </w:r>
            <w:r>
              <w:rPr>
                <w:rFonts w:hint="eastAsia" w:hAnsi="宋体"/>
              </w:rPr>
              <w:t>亿m</w:t>
            </w:r>
            <w:r>
              <w:rPr>
                <w:rFonts w:hAnsi="宋体"/>
                <w:vertAlign w:val="superscript"/>
              </w:rPr>
              <w:t>3</w:t>
            </w:r>
            <w:r>
              <w:rPr>
                <w:rFonts w:hint="eastAsia" w:hAnsi="宋体"/>
              </w:rPr>
              <w:t>的0</w:t>
            </w:r>
            <w:r>
              <w:rPr>
                <w:rFonts w:hAnsi="宋体"/>
              </w:rPr>
              <w:t>.0065</w:t>
            </w:r>
            <w:r>
              <w:rPr>
                <w:rFonts w:hint="eastAsia" w:hAnsi="宋体"/>
              </w:rPr>
              <w:t>%和0</w:t>
            </w:r>
            <w:r>
              <w:rPr>
                <w:rFonts w:hAnsi="宋体"/>
              </w:rPr>
              <w:t>.0046</w:t>
            </w:r>
            <w:r>
              <w:rPr>
                <w:rFonts w:hint="eastAsia" w:hAnsi="宋体"/>
              </w:rPr>
              <w:t>%，最大取水流量分别为0</w:t>
            </w:r>
            <w:r>
              <w:rPr>
                <w:rFonts w:hAnsi="宋体"/>
              </w:rPr>
              <w:t>.055m</w:t>
            </w:r>
            <w:r>
              <w:rPr>
                <w:rFonts w:hAnsi="宋体"/>
                <w:vertAlign w:val="superscript"/>
              </w:rPr>
              <w:t>3</w:t>
            </w:r>
            <w:r>
              <w:rPr>
                <w:rFonts w:hAnsi="宋体"/>
              </w:rPr>
              <w:t>/s</w:t>
            </w:r>
            <w:r>
              <w:rPr>
                <w:rFonts w:hint="eastAsia" w:hAnsi="宋体"/>
              </w:rPr>
              <w:t>，0</w:t>
            </w:r>
            <w:r>
              <w:rPr>
                <w:rFonts w:hAnsi="宋体"/>
              </w:rPr>
              <w:t>.04 m</w:t>
            </w:r>
            <w:r>
              <w:rPr>
                <w:rFonts w:hAnsi="宋体"/>
                <w:vertAlign w:val="superscript"/>
              </w:rPr>
              <w:t>3</w:t>
            </w:r>
            <w:r>
              <w:rPr>
                <w:rFonts w:hAnsi="宋体"/>
              </w:rPr>
              <w:t>/s</w:t>
            </w:r>
            <w:r>
              <w:rPr>
                <w:rFonts w:hint="eastAsia" w:hAnsi="宋体"/>
              </w:rPr>
              <w:t>，分别占取水断面9</w:t>
            </w:r>
            <w:r>
              <w:rPr>
                <w:rFonts w:hAnsi="宋体"/>
              </w:rPr>
              <w:t>9</w:t>
            </w:r>
            <w:r>
              <w:rPr>
                <w:rFonts w:hint="eastAsia" w:hAnsi="宋体"/>
              </w:rPr>
              <w:t>%设计频率年最小流量2</w:t>
            </w:r>
            <w:r>
              <w:rPr>
                <w:rFonts w:hAnsi="宋体"/>
              </w:rPr>
              <w:t>209 m</w:t>
            </w:r>
            <w:r>
              <w:rPr>
                <w:rFonts w:hAnsi="宋体"/>
                <w:vertAlign w:val="superscript"/>
              </w:rPr>
              <w:t>3</w:t>
            </w:r>
            <w:r>
              <w:rPr>
                <w:rFonts w:hAnsi="宋体"/>
              </w:rPr>
              <w:t>/s</w:t>
            </w:r>
            <w:r>
              <w:rPr>
                <w:rFonts w:hint="eastAsia" w:hAnsi="宋体"/>
              </w:rPr>
              <w:t>的0</w:t>
            </w:r>
            <w:r>
              <w:rPr>
                <w:rFonts w:hAnsi="宋体"/>
              </w:rPr>
              <w:t>.025</w:t>
            </w:r>
            <w:r>
              <w:rPr>
                <w:rFonts w:hint="eastAsia" w:hAnsi="宋体"/>
              </w:rPr>
              <w:t>%和0</w:t>
            </w:r>
            <w:r>
              <w:rPr>
                <w:rFonts w:hAnsi="宋体"/>
              </w:rPr>
              <w:t>.018</w:t>
            </w:r>
            <w:r>
              <w:rPr>
                <w:rFonts w:hint="eastAsia" w:hAnsi="宋体"/>
              </w:rPr>
              <w:t>%。因此项目取水量完全可以保障。</w:t>
            </w:r>
            <w:r>
              <mc:AlternateContent>
                <mc:Choice Requires="wps">
                  <w:drawing>
                    <wp:anchor distT="0" distB="0" distL="114300" distR="114300" simplePos="0" relativeHeight="251649024" behindDoc="0" locked="0" layoutInCell="1" allowOverlap="1">
                      <wp:simplePos x="0" y="0"/>
                      <wp:positionH relativeFrom="page">
                        <wp:posOffset>6870700</wp:posOffset>
                      </wp:positionH>
                      <wp:positionV relativeFrom="page">
                        <wp:posOffset>7151370</wp:posOffset>
                      </wp:positionV>
                      <wp:extent cx="1760855" cy="770255"/>
                      <wp:effectExtent l="0" t="0" r="11430" b="11430"/>
                      <wp:wrapNone/>
                      <wp:docPr id="2" name="文本框 2"/>
                      <wp:cNvGraphicFramePr/>
                      <a:graphic xmlns:a="http://schemas.openxmlformats.org/drawingml/2006/main">
                        <a:graphicData uri="http://schemas.microsoft.com/office/word/2010/wordprocessingShape">
                          <wps:wsp>
                            <wps:cNvSpPr txBox="1"/>
                            <wps:spPr>
                              <a:xfrm flipH="1">
                                <a:off x="0" y="0"/>
                                <a:ext cx="1760689" cy="770117"/>
                              </a:xfrm>
                              <a:prstGeom prst="rect">
                                <a:avLst/>
                              </a:prstGeom>
                              <a:noFill/>
                              <a:ln>
                                <a:noFill/>
                              </a:ln>
                            </wps:spPr>
                            <wps:txbx>
                              <w:txbxContent>
                                <w:p/>
                              </w:txbxContent>
                            </wps:txbx>
                            <wps:bodyPr wrap="square" lIns="0" tIns="0" rIns="0" bIns="0" upright="1">
                              <a:noAutofit/>
                            </wps:bodyPr>
                          </wps:wsp>
                        </a:graphicData>
                      </a:graphic>
                    </wp:anchor>
                  </w:drawing>
                </mc:Choice>
                <mc:Fallback>
                  <w:pict>
                    <v:shape id="_x0000_s1026" o:spid="_x0000_s1026" o:spt="202" type="#_x0000_t202" style="position:absolute;left:0pt;flip:x;margin-left:541pt;margin-top:563.1pt;height:60.65pt;width:138.65pt;mso-position-horizontal-relative:page;mso-position-vertical-relative:page;z-index:251649024;mso-width-relative:page;mso-height-relative:page;" filled="f" stroked="f" coordsize="21600,21600" o:gfxdata="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B+s3Gb2wAAAA8BAAAPAAAAAAAAAAEAIAAAACIAAABkcnMvZG93bnJldi54bWxQ&#10;SwECFAAUAAAACACHTuJAgIC8ILsBAABWAwAADgAAAAAAAAABACAAAAAqAQAAZHJzL2Uyb0RvYy54&#10;bWxQSwUGAAAAAAYABgBZAQAAVwUAAAAA&#10;">
                      <v:fill on="f" focussize="0,0"/>
                      <v:stroke on="f"/>
                      <v:imagedata o:title=""/>
                      <o:lock v:ext="edit" aspectratio="f"/>
                      <v:textbox inset="0mm,0mm,0mm,0mm">
                        <w:txbxContent>
                          <w:p/>
                        </w:txbxContent>
                      </v:textbox>
                    </v:shape>
                  </w:pict>
                </mc:Fallback>
              </mc:AlternateContent>
            </w:r>
            <w:r>
              <w:rPr>
                <w:rFonts w:hAnsi="宋体"/>
              </w:rPr>
              <w:t>取水不会使取水河段的水位明显下降。不会对鱼类栖息地造成明显的影响。</w:t>
            </w:r>
          </w:p>
          <w:p>
            <w:pPr>
              <w:spacing w:line="360" w:lineRule="auto"/>
              <w:ind w:firstLine="480" w:firstLineChars="200"/>
              <w:rPr>
                <w:rFonts w:hAnsi="宋体"/>
              </w:rPr>
            </w:pPr>
            <w:r>
              <w:rPr>
                <w:rFonts w:hAnsi="宋体"/>
              </w:rPr>
              <w:t>综上所述，本项目的建设对地表水环境影响很小。</w:t>
            </w:r>
          </w:p>
          <w:p>
            <w:pPr>
              <w:spacing w:line="360" w:lineRule="auto"/>
              <w:ind w:firstLine="482" w:firstLineChars="200"/>
              <w:rPr>
                <w:rFonts w:hAnsi="宋体"/>
                <w:b/>
              </w:rPr>
            </w:pPr>
            <w:r>
              <w:rPr>
                <w:rFonts w:hAnsi="宋体"/>
                <w:b/>
              </w:rPr>
              <w:t>2.2 大气环境影响分析</w:t>
            </w:r>
          </w:p>
          <w:p>
            <w:pPr>
              <w:spacing w:line="360" w:lineRule="auto"/>
              <w:ind w:firstLine="480" w:firstLineChars="200"/>
              <w:rPr>
                <w:rFonts w:hAnsi="宋体"/>
              </w:rPr>
            </w:pPr>
            <w:r>
              <w:rPr>
                <w:rFonts w:hAnsi="宋体"/>
              </w:rPr>
              <w:t>（1）评价等级</w:t>
            </w:r>
          </w:p>
          <w:p>
            <w:pPr>
              <w:spacing w:line="360" w:lineRule="auto"/>
              <w:ind w:firstLine="480" w:firstLineChars="200"/>
              <w:rPr>
                <w:rFonts w:hAnsi="宋体"/>
              </w:rPr>
            </w:pPr>
            <w:r>
              <w:rPr>
                <w:rFonts w:hAnsi="宋体"/>
              </w:rPr>
              <w:t>本项目营运期无废气产生，因此，不进行等级判定。</w:t>
            </w:r>
          </w:p>
          <w:p>
            <w:pPr>
              <w:spacing w:line="360" w:lineRule="auto"/>
              <w:ind w:firstLine="480" w:firstLineChars="200"/>
              <w:rPr>
                <w:rFonts w:hAnsi="宋体"/>
              </w:rPr>
            </w:pPr>
            <w:r>
              <w:rPr>
                <w:rFonts w:hAnsi="宋体"/>
              </w:rPr>
              <w:t>（2）影响分析</w:t>
            </w:r>
          </w:p>
          <w:p>
            <w:pPr>
              <w:spacing w:line="360" w:lineRule="auto"/>
              <w:ind w:firstLine="480" w:firstLineChars="200"/>
              <w:rPr>
                <w:rFonts w:hAnsi="宋体"/>
              </w:rPr>
            </w:pPr>
            <w:r>
              <w:rPr>
                <w:rFonts w:hAnsi="宋体"/>
              </w:rPr>
              <w:t>本项目属取水工程，是一项民生工程，运行过程中无废气产生。项目的建设对大气环境影响甚微。</w:t>
            </w:r>
          </w:p>
          <w:p>
            <w:pPr>
              <w:spacing w:line="360" w:lineRule="auto"/>
              <w:ind w:firstLine="482" w:firstLineChars="200"/>
              <w:rPr>
                <w:rFonts w:hAnsi="宋体"/>
                <w:b/>
              </w:rPr>
            </w:pPr>
            <w:r>
              <w:rPr>
                <w:rFonts w:hint="eastAsia" w:hAnsi="宋体"/>
                <w:b/>
              </w:rPr>
              <w:t>2.3 声环境影响分析</w:t>
            </w:r>
          </w:p>
          <w:p>
            <w:pPr>
              <w:spacing w:line="360" w:lineRule="auto"/>
              <w:ind w:firstLine="480" w:firstLineChars="200"/>
              <w:rPr>
                <w:rFonts w:hAnsi="宋体"/>
              </w:rPr>
            </w:pPr>
            <w:r>
              <w:rPr>
                <w:rFonts w:hAnsi="宋体"/>
              </w:rPr>
              <w:t>（1）源强分析</w:t>
            </w:r>
          </w:p>
          <w:p>
            <w:pPr>
              <w:spacing w:line="360" w:lineRule="auto"/>
              <w:ind w:firstLine="480" w:firstLineChars="200"/>
            </w:pPr>
            <w:r>
              <w:rPr>
                <w:rFonts w:hint="eastAsia"/>
              </w:rPr>
              <w:t>其中长江取水泵船运营期设备噪声约90</w:t>
            </w:r>
            <w:r>
              <w:t>dB</w:t>
            </w:r>
            <w:r>
              <w:rPr>
                <w:rFonts w:hint="eastAsia"/>
              </w:rPr>
              <w:t>。</w:t>
            </w:r>
          </w:p>
          <w:p>
            <w:pPr>
              <w:spacing w:line="360" w:lineRule="auto"/>
              <w:ind w:firstLine="480" w:firstLineChars="200"/>
              <w:rPr>
                <w:rFonts w:hAnsi="宋体"/>
              </w:rPr>
            </w:pPr>
            <w:r>
              <w:rPr>
                <w:rFonts w:hAnsi="宋体"/>
              </w:rPr>
              <w:t>（2）影响预测</w:t>
            </w:r>
          </w:p>
          <w:p>
            <w:pPr>
              <w:spacing w:line="360" w:lineRule="auto"/>
              <w:ind w:firstLine="360" w:firstLineChars="150"/>
              <w:outlineLvl w:val="3"/>
              <w:rPr>
                <w:rFonts w:hAnsi="宋体"/>
              </w:rPr>
            </w:pPr>
            <w:r>
              <w:rPr>
                <w:rFonts w:hint="eastAsia" w:hAnsi="宋体"/>
              </w:rPr>
              <w:t>①</w:t>
            </w:r>
            <w:r>
              <w:rPr>
                <w:rFonts w:hAnsi="宋体"/>
              </w:rPr>
              <w:t>单个声源对预测点的噪声影响计算：</w:t>
            </w:r>
          </w:p>
          <w:p>
            <w:pPr>
              <w:spacing w:line="360" w:lineRule="auto"/>
              <w:ind w:firstLine="360" w:firstLineChars="150"/>
              <w:outlineLvl w:val="3"/>
              <w:rPr>
                <w:rFonts w:hAnsi="宋体"/>
              </w:rPr>
            </w:pPr>
            <w:r>
              <w:rPr>
                <w:rFonts w:hAnsi="宋体"/>
              </w:rPr>
              <w:t>产噪设备可近似作为点声源处理，本评价采用数学模式法预测噪声对环境的影响。</w:t>
            </w:r>
          </w:p>
          <w:p>
            <w:pPr>
              <w:spacing w:line="360" w:lineRule="auto"/>
              <w:ind w:firstLine="360" w:firstLineChars="150"/>
              <w:outlineLvl w:val="3"/>
              <w:rPr>
                <w:rFonts w:hAnsi="宋体"/>
              </w:rPr>
            </w:pPr>
            <w:r>
              <w:rPr>
                <w:rFonts w:hAnsi="宋体"/>
              </w:rPr>
              <w:t>噪声衰减公式：</w:t>
            </w:r>
          </w:p>
          <w:p>
            <w:pPr>
              <w:spacing w:line="360" w:lineRule="auto"/>
              <w:ind w:firstLine="360" w:firstLineChars="150"/>
              <w:outlineLvl w:val="3"/>
              <w:rPr>
                <w:rFonts w:hAnsi="宋体"/>
              </w:rPr>
            </w:pPr>
            <w:r>
              <w:rPr>
                <w:rFonts w:hAnsi="宋体"/>
              </w:rPr>
              <w:t>L2=L1-20lgr2/r1</w:t>
            </w:r>
          </w:p>
          <w:p>
            <w:pPr>
              <w:spacing w:line="360" w:lineRule="auto"/>
              <w:ind w:firstLine="360" w:firstLineChars="150"/>
              <w:outlineLvl w:val="3"/>
              <w:rPr>
                <w:rFonts w:hAnsi="宋体"/>
              </w:rPr>
            </w:pPr>
            <w:r>
              <w:rPr>
                <w:rFonts w:hAnsi="宋体"/>
              </w:rPr>
              <w:t>式中：L1—距离声源r1处的噪声值，dB（A）；</w:t>
            </w:r>
          </w:p>
          <w:p>
            <w:pPr>
              <w:spacing w:line="360" w:lineRule="auto"/>
              <w:ind w:firstLine="360" w:firstLineChars="150"/>
              <w:outlineLvl w:val="3"/>
              <w:rPr>
                <w:rFonts w:hAnsi="宋体"/>
              </w:rPr>
            </w:pPr>
            <w:r>
              <w:rPr>
                <w:rFonts w:hAnsi="宋体"/>
              </w:rPr>
              <w:t>L2—距离声源r2处的噪声值，dB（A）；</w:t>
            </w:r>
          </w:p>
          <w:p>
            <w:pPr>
              <w:spacing w:line="360" w:lineRule="auto"/>
              <w:ind w:firstLine="360" w:firstLineChars="150"/>
              <w:outlineLvl w:val="3"/>
              <w:rPr>
                <w:rFonts w:hAnsi="宋体"/>
              </w:rPr>
            </w:pPr>
            <w:r>
              <w:rPr>
                <w:rFonts w:hint="eastAsia" w:hAnsi="宋体"/>
              </w:rPr>
              <w:t>②</w:t>
            </w:r>
            <w:r>
              <w:rPr>
                <w:rFonts w:hAnsi="宋体"/>
              </w:rPr>
              <w:t>预测结果分析</w:t>
            </w:r>
          </w:p>
          <w:p>
            <w:pPr>
              <w:pStyle w:val="251"/>
              <w:widowControl/>
              <w:tabs>
                <w:tab w:val="clear" w:pos="227"/>
                <w:tab w:val="clear" w:pos="2921"/>
              </w:tabs>
              <w:ind w:left="0"/>
              <w:rPr>
                <w:kern w:val="0"/>
                <w:sz w:val="21"/>
                <w:szCs w:val="21"/>
              </w:rPr>
            </w:pPr>
            <w:r>
              <w:rPr>
                <w:rFonts w:hint="eastAsia"/>
                <w:kern w:val="0"/>
                <w:sz w:val="21"/>
                <w:szCs w:val="21"/>
              </w:rPr>
              <w:t>表</w:t>
            </w:r>
            <w:r>
              <w:rPr>
                <w:kern w:val="0"/>
                <w:sz w:val="21"/>
                <w:szCs w:val="21"/>
              </w:rPr>
              <w:t>7-2</w:t>
            </w:r>
            <w:r>
              <w:rPr>
                <w:rFonts w:hint="eastAsia"/>
                <w:kern w:val="0"/>
                <w:sz w:val="21"/>
                <w:szCs w:val="21"/>
              </w:rPr>
              <w:t xml:space="preserve">   </w:t>
            </w:r>
            <w:r>
              <w:rPr>
                <w:rFonts w:hint="eastAsia"/>
                <w:sz w:val="21"/>
                <w:szCs w:val="21"/>
              </w:rPr>
              <w:t>泵站噪声</w:t>
            </w:r>
            <w:r>
              <w:rPr>
                <w:sz w:val="21"/>
                <w:szCs w:val="21"/>
              </w:rPr>
              <w:t>影响范围</w:t>
            </w:r>
            <w:r>
              <w:rPr>
                <w:rFonts w:hint="eastAsia"/>
                <w:kern w:val="0"/>
                <w:sz w:val="21"/>
                <w:szCs w:val="21"/>
              </w:rPr>
              <w:t xml:space="preserve">    </w:t>
            </w:r>
          </w:p>
          <w:tbl>
            <w:tblPr>
              <w:tblStyle w:val="44"/>
              <w:tblW w:w="4996" w:type="pct"/>
              <w:jc w:val="center"/>
              <w:tblBorders>
                <w:top w:val="single" w:color="auto" w:sz="6" w:space="0"/>
                <w:left w:val="none" w:color="auto" w:sz="0" w:space="0"/>
                <w:bottom w:val="single" w:color="auto" w:sz="6" w:space="0"/>
                <w:right w:val="none" w:color="auto" w:sz="0" w:space="0"/>
                <w:insideH w:val="single" w:color="auto" w:sz="6" w:space="0"/>
                <w:insideV w:val="single" w:color="auto" w:sz="6" w:space="0"/>
              </w:tblBorders>
              <w:tblLayout w:type="autofit"/>
              <w:tblCellMar>
                <w:top w:w="0" w:type="dxa"/>
                <w:left w:w="28" w:type="dxa"/>
                <w:bottom w:w="0" w:type="dxa"/>
                <w:right w:w="28" w:type="dxa"/>
              </w:tblCellMar>
            </w:tblPr>
            <w:tblGrid>
              <w:gridCol w:w="1035"/>
              <w:gridCol w:w="989"/>
              <w:gridCol w:w="1071"/>
              <w:gridCol w:w="1049"/>
              <w:gridCol w:w="1016"/>
              <w:gridCol w:w="1018"/>
              <w:gridCol w:w="1036"/>
              <w:gridCol w:w="1001"/>
              <w:gridCol w:w="868"/>
            </w:tblGrid>
            <w:tr>
              <w:tblPrEx>
                <w:tblBorders>
                  <w:top w:val="single" w:color="auto" w:sz="6" w:space="0"/>
                  <w:left w:val="none" w:color="auto" w:sz="0" w:space="0"/>
                  <w:bottom w:val="single" w:color="auto" w:sz="6" w:space="0"/>
                  <w:right w:val="none" w:color="auto" w:sz="0" w:space="0"/>
                  <w:insideH w:val="single" w:color="auto" w:sz="6" w:space="0"/>
                  <w:insideV w:val="single" w:color="auto" w:sz="6" w:space="0"/>
                </w:tblBorders>
                <w:tblCellMar>
                  <w:top w:w="0" w:type="dxa"/>
                  <w:left w:w="28" w:type="dxa"/>
                  <w:bottom w:w="0" w:type="dxa"/>
                  <w:right w:w="28" w:type="dxa"/>
                </w:tblCellMar>
              </w:tblPrEx>
              <w:trPr>
                <w:trHeight w:val="908" w:hRule="exact"/>
                <w:jc w:val="center"/>
              </w:trPr>
              <w:tc>
                <w:tcPr>
                  <w:tcW w:w="1113" w:type="pct"/>
                  <w:gridSpan w:val="2"/>
                  <w:tcBorders>
                    <w:right w:val="single" w:color="auto" w:sz="4" w:space="0"/>
                    <w:tl2br w:val="single" w:color="auto" w:sz="4" w:space="0"/>
                  </w:tcBorders>
                  <w:vAlign w:val="center"/>
                </w:tcPr>
                <w:p>
                  <w:pPr>
                    <w:ind w:firstLine="735" w:firstLineChars="350"/>
                    <w:rPr>
                      <w:sz w:val="21"/>
                      <w:szCs w:val="21"/>
                    </w:rPr>
                  </w:pPr>
                  <w:r>
                    <w:rPr>
                      <w:sz w:val="21"/>
                      <w:szCs w:val="21"/>
                    </w:rPr>
                    <w:t>距离（m）</w:t>
                  </w:r>
                </w:p>
                <w:p>
                  <w:pPr>
                    <w:ind w:firstLine="735" w:firstLineChars="350"/>
                    <w:rPr>
                      <w:sz w:val="21"/>
                      <w:szCs w:val="21"/>
                    </w:rPr>
                  </w:pPr>
                </w:p>
                <w:p>
                  <w:pPr>
                    <w:rPr>
                      <w:sz w:val="21"/>
                      <w:szCs w:val="21"/>
                    </w:rPr>
                  </w:pPr>
                  <w:r>
                    <w:rPr>
                      <w:rFonts w:hint="eastAsia"/>
                      <w:sz w:val="21"/>
                      <w:szCs w:val="21"/>
                    </w:rPr>
                    <w:t>源强</w:t>
                  </w:r>
                  <w:r>
                    <w:rPr>
                      <w:rFonts w:hAnsi="宋体"/>
                      <w:sz w:val="21"/>
                      <w:szCs w:val="21"/>
                    </w:rPr>
                    <w:t>dB（A）</w:t>
                  </w:r>
                </w:p>
              </w:tc>
              <w:tc>
                <w:tcPr>
                  <w:tcW w:w="589" w:type="pct"/>
                  <w:tcBorders>
                    <w:left w:val="single" w:color="auto" w:sz="4" w:space="0"/>
                    <w:right w:val="single" w:color="auto" w:sz="4" w:space="0"/>
                  </w:tcBorders>
                  <w:vAlign w:val="center"/>
                </w:tcPr>
                <w:p>
                  <w:pPr>
                    <w:jc w:val="center"/>
                    <w:rPr>
                      <w:sz w:val="21"/>
                      <w:szCs w:val="21"/>
                    </w:rPr>
                  </w:pPr>
                  <w:r>
                    <w:rPr>
                      <w:sz w:val="21"/>
                      <w:szCs w:val="21"/>
                    </w:rPr>
                    <w:t>10</w:t>
                  </w:r>
                </w:p>
              </w:tc>
              <w:tc>
                <w:tcPr>
                  <w:tcW w:w="577" w:type="pct"/>
                  <w:tcBorders>
                    <w:left w:val="single" w:color="auto" w:sz="4" w:space="0"/>
                  </w:tcBorders>
                  <w:vAlign w:val="center"/>
                </w:tcPr>
                <w:p>
                  <w:pPr>
                    <w:jc w:val="center"/>
                    <w:rPr>
                      <w:sz w:val="21"/>
                      <w:szCs w:val="21"/>
                    </w:rPr>
                  </w:pPr>
                  <w:r>
                    <w:rPr>
                      <w:sz w:val="21"/>
                      <w:szCs w:val="21"/>
                    </w:rPr>
                    <w:t>20</w:t>
                  </w:r>
                </w:p>
              </w:tc>
              <w:tc>
                <w:tcPr>
                  <w:tcW w:w="559" w:type="pct"/>
                  <w:tcBorders>
                    <w:right w:val="single" w:color="auto" w:sz="4" w:space="0"/>
                  </w:tcBorders>
                  <w:vAlign w:val="center"/>
                </w:tcPr>
                <w:p>
                  <w:pPr>
                    <w:jc w:val="center"/>
                    <w:rPr>
                      <w:sz w:val="21"/>
                      <w:szCs w:val="21"/>
                    </w:rPr>
                  </w:pPr>
                  <w:r>
                    <w:rPr>
                      <w:sz w:val="21"/>
                      <w:szCs w:val="21"/>
                    </w:rPr>
                    <w:t>50</w:t>
                  </w:r>
                </w:p>
              </w:tc>
              <w:tc>
                <w:tcPr>
                  <w:tcW w:w="560" w:type="pct"/>
                  <w:tcBorders>
                    <w:left w:val="single" w:color="auto" w:sz="4" w:space="0"/>
                    <w:right w:val="single" w:color="auto" w:sz="4" w:space="0"/>
                  </w:tcBorders>
                  <w:vAlign w:val="center"/>
                </w:tcPr>
                <w:p>
                  <w:pPr>
                    <w:jc w:val="center"/>
                    <w:rPr>
                      <w:sz w:val="21"/>
                      <w:szCs w:val="21"/>
                    </w:rPr>
                  </w:pPr>
                  <w:r>
                    <w:rPr>
                      <w:sz w:val="21"/>
                      <w:szCs w:val="21"/>
                    </w:rPr>
                    <w:t>100</w:t>
                  </w:r>
                </w:p>
              </w:tc>
              <w:tc>
                <w:tcPr>
                  <w:tcW w:w="570" w:type="pct"/>
                  <w:tcBorders>
                    <w:left w:val="single" w:color="auto" w:sz="4" w:space="0"/>
                    <w:right w:val="single" w:color="auto" w:sz="4" w:space="0"/>
                  </w:tcBorders>
                  <w:vAlign w:val="center"/>
                </w:tcPr>
                <w:p>
                  <w:pPr>
                    <w:jc w:val="center"/>
                    <w:rPr>
                      <w:sz w:val="21"/>
                      <w:szCs w:val="21"/>
                    </w:rPr>
                  </w:pPr>
                  <w:r>
                    <w:rPr>
                      <w:sz w:val="21"/>
                      <w:szCs w:val="21"/>
                    </w:rPr>
                    <w:t>120</w:t>
                  </w:r>
                </w:p>
              </w:tc>
              <w:tc>
                <w:tcPr>
                  <w:tcW w:w="550" w:type="pct"/>
                  <w:tcBorders>
                    <w:left w:val="single" w:color="auto" w:sz="4" w:space="0"/>
                  </w:tcBorders>
                  <w:vAlign w:val="center"/>
                </w:tcPr>
                <w:p>
                  <w:pPr>
                    <w:jc w:val="center"/>
                    <w:rPr>
                      <w:sz w:val="21"/>
                      <w:szCs w:val="21"/>
                    </w:rPr>
                  </w:pPr>
                  <w:r>
                    <w:rPr>
                      <w:sz w:val="21"/>
                      <w:szCs w:val="21"/>
                    </w:rPr>
                    <w:t>150</w:t>
                  </w:r>
                </w:p>
              </w:tc>
              <w:tc>
                <w:tcPr>
                  <w:tcW w:w="477" w:type="pct"/>
                  <w:tcBorders>
                    <w:right w:val="nil"/>
                  </w:tcBorders>
                  <w:vAlign w:val="center"/>
                </w:tcPr>
                <w:p>
                  <w:pPr>
                    <w:jc w:val="center"/>
                    <w:rPr>
                      <w:sz w:val="21"/>
                      <w:szCs w:val="21"/>
                    </w:rPr>
                  </w:pPr>
                  <w:r>
                    <w:rPr>
                      <w:sz w:val="21"/>
                      <w:szCs w:val="21"/>
                    </w:rPr>
                    <w:t>200</w:t>
                  </w:r>
                </w:p>
              </w:tc>
            </w:tr>
            <w:tr>
              <w:tblPrEx>
                <w:tblBorders>
                  <w:top w:val="single" w:color="auto" w:sz="6" w:space="0"/>
                  <w:left w:val="none" w:color="auto" w:sz="0" w:space="0"/>
                  <w:bottom w:val="single" w:color="auto" w:sz="6" w:space="0"/>
                  <w:right w:val="none" w:color="auto" w:sz="0" w:space="0"/>
                  <w:insideH w:val="single" w:color="auto" w:sz="6" w:space="0"/>
                  <w:insideV w:val="single" w:color="auto" w:sz="6" w:space="0"/>
                </w:tblBorders>
                <w:tblCellMar>
                  <w:top w:w="0" w:type="dxa"/>
                  <w:left w:w="28" w:type="dxa"/>
                  <w:bottom w:w="0" w:type="dxa"/>
                  <w:right w:w="28" w:type="dxa"/>
                </w:tblCellMar>
              </w:tblPrEx>
              <w:trPr>
                <w:trHeight w:val="412" w:hRule="exact"/>
                <w:jc w:val="center"/>
              </w:trPr>
              <w:tc>
                <w:tcPr>
                  <w:tcW w:w="569" w:type="pct"/>
                  <w:tcBorders>
                    <w:top w:val="single" w:color="auto" w:sz="4" w:space="0"/>
                    <w:bottom w:val="single" w:color="auto" w:sz="4" w:space="0"/>
                    <w:right w:val="single" w:color="auto" w:sz="4" w:space="0"/>
                  </w:tcBorders>
                  <w:vAlign w:val="center"/>
                </w:tcPr>
                <w:p>
                  <w:pPr>
                    <w:jc w:val="center"/>
                    <w:rPr>
                      <w:sz w:val="21"/>
                      <w:szCs w:val="21"/>
                    </w:rPr>
                  </w:pPr>
                  <w:r>
                    <w:rPr>
                      <w:rFonts w:hint="eastAsia"/>
                      <w:sz w:val="21"/>
                      <w:szCs w:val="21"/>
                    </w:rPr>
                    <w:t>90</w:t>
                  </w:r>
                </w:p>
              </w:tc>
              <w:tc>
                <w:tcPr>
                  <w:tcW w:w="544" w:type="pct"/>
                  <w:tcBorders>
                    <w:left w:val="single" w:color="auto" w:sz="4" w:space="0"/>
                    <w:right w:val="single" w:color="auto" w:sz="4" w:space="0"/>
                  </w:tcBorders>
                  <w:vAlign w:val="center"/>
                </w:tcPr>
                <w:p>
                  <w:pPr>
                    <w:jc w:val="center"/>
                    <w:rPr>
                      <w:sz w:val="21"/>
                      <w:szCs w:val="21"/>
                    </w:rPr>
                  </w:pPr>
                  <w:r>
                    <w:rPr>
                      <w:sz w:val="21"/>
                      <w:szCs w:val="21"/>
                    </w:rPr>
                    <w:t>昼间</w:t>
                  </w:r>
                </w:p>
              </w:tc>
              <w:tc>
                <w:tcPr>
                  <w:tcW w:w="589" w:type="pct"/>
                  <w:tcBorders>
                    <w:left w:val="single" w:color="auto" w:sz="4" w:space="0"/>
                    <w:right w:val="single" w:color="auto" w:sz="4" w:space="0"/>
                  </w:tcBorders>
                  <w:vAlign w:val="center"/>
                </w:tcPr>
                <w:p>
                  <w:pPr>
                    <w:jc w:val="center"/>
                    <w:rPr>
                      <w:sz w:val="21"/>
                      <w:szCs w:val="21"/>
                    </w:rPr>
                  </w:pPr>
                  <w:r>
                    <w:rPr>
                      <w:rFonts w:hint="eastAsia"/>
                      <w:sz w:val="21"/>
                      <w:szCs w:val="21"/>
                    </w:rPr>
                    <w:t>70</w:t>
                  </w:r>
                </w:p>
              </w:tc>
              <w:tc>
                <w:tcPr>
                  <w:tcW w:w="577" w:type="pct"/>
                  <w:tcBorders>
                    <w:left w:val="single" w:color="auto" w:sz="4" w:space="0"/>
                  </w:tcBorders>
                  <w:vAlign w:val="center"/>
                </w:tcPr>
                <w:p>
                  <w:pPr>
                    <w:jc w:val="center"/>
                    <w:rPr>
                      <w:sz w:val="21"/>
                      <w:szCs w:val="21"/>
                    </w:rPr>
                  </w:pPr>
                  <w:r>
                    <w:rPr>
                      <w:rFonts w:hint="eastAsia"/>
                      <w:sz w:val="21"/>
                      <w:szCs w:val="21"/>
                    </w:rPr>
                    <w:t>63.9</w:t>
                  </w:r>
                </w:p>
              </w:tc>
              <w:tc>
                <w:tcPr>
                  <w:tcW w:w="559" w:type="pct"/>
                  <w:tcBorders>
                    <w:right w:val="single" w:color="auto" w:sz="4" w:space="0"/>
                  </w:tcBorders>
                  <w:vAlign w:val="center"/>
                </w:tcPr>
                <w:p>
                  <w:pPr>
                    <w:jc w:val="center"/>
                    <w:rPr>
                      <w:sz w:val="21"/>
                      <w:szCs w:val="21"/>
                    </w:rPr>
                  </w:pPr>
                  <w:r>
                    <w:rPr>
                      <w:rFonts w:hint="eastAsia"/>
                      <w:sz w:val="21"/>
                      <w:szCs w:val="21"/>
                    </w:rPr>
                    <w:t>56</w:t>
                  </w:r>
                </w:p>
              </w:tc>
              <w:tc>
                <w:tcPr>
                  <w:tcW w:w="560" w:type="pct"/>
                  <w:tcBorders>
                    <w:left w:val="single" w:color="auto" w:sz="4" w:space="0"/>
                    <w:right w:val="single" w:color="auto" w:sz="4" w:space="0"/>
                  </w:tcBorders>
                  <w:vAlign w:val="center"/>
                </w:tcPr>
                <w:p>
                  <w:pPr>
                    <w:jc w:val="center"/>
                    <w:rPr>
                      <w:sz w:val="21"/>
                      <w:szCs w:val="21"/>
                    </w:rPr>
                  </w:pPr>
                  <w:r>
                    <w:rPr>
                      <w:rFonts w:hint="eastAsia"/>
                      <w:sz w:val="21"/>
                      <w:szCs w:val="21"/>
                    </w:rPr>
                    <w:t>50</w:t>
                  </w:r>
                </w:p>
              </w:tc>
              <w:tc>
                <w:tcPr>
                  <w:tcW w:w="570" w:type="pct"/>
                  <w:tcBorders>
                    <w:left w:val="single" w:color="auto" w:sz="4" w:space="0"/>
                    <w:right w:val="single" w:color="auto" w:sz="4" w:space="0"/>
                  </w:tcBorders>
                  <w:vAlign w:val="center"/>
                </w:tcPr>
                <w:p>
                  <w:pPr>
                    <w:jc w:val="center"/>
                    <w:rPr>
                      <w:sz w:val="21"/>
                      <w:szCs w:val="21"/>
                    </w:rPr>
                  </w:pPr>
                  <w:r>
                    <w:rPr>
                      <w:rFonts w:hint="eastAsia"/>
                      <w:sz w:val="21"/>
                      <w:szCs w:val="21"/>
                    </w:rPr>
                    <w:t>48.4</w:t>
                  </w:r>
                </w:p>
              </w:tc>
              <w:tc>
                <w:tcPr>
                  <w:tcW w:w="550" w:type="pct"/>
                  <w:tcBorders>
                    <w:left w:val="single" w:color="auto" w:sz="4" w:space="0"/>
                  </w:tcBorders>
                  <w:vAlign w:val="center"/>
                </w:tcPr>
                <w:p>
                  <w:pPr>
                    <w:jc w:val="center"/>
                    <w:rPr>
                      <w:sz w:val="21"/>
                      <w:szCs w:val="21"/>
                    </w:rPr>
                  </w:pPr>
                  <w:r>
                    <w:rPr>
                      <w:rFonts w:hint="eastAsia"/>
                      <w:sz w:val="21"/>
                      <w:szCs w:val="21"/>
                    </w:rPr>
                    <w:t>46.5</w:t>
                  </w:r>
                </w:p>
              </w:tc>
              <w:tc>
                <w:tcPr>
                  <w:tcW w:w="477" w:type="pct"/>
                  <w:tcBorders>
                    <w:right w:val="nil"/>
                  </w:tcBorders>
                  <w:vAlign w:val="center"/>
                </w:tcPr>
                <w:p>
                  <w:pPr>
                    <w:jc w:val="center"/>
                    <w:rPr>
                      <w:sz w:val="21"/>
                      <w:szCs w:val="21"/>
                    </w:rPr>
                  </w:pPr>
                  <w:r>
                    <w:rPr>
                      <w:rFonts w:hint="eastAsia"/>
                      <w:sz w:val="21"/>
                      <w:szCs w:val="21"/>
                    </w:rPr>
                    <w:t>44</w:t>
                  </w:r>
                </w:p>
              </w:tc>
            </w:tr>
            <w:tr>
              <w:tblPrEx>
                <w:tblBorders>
                  <w:top w:val="single" w:color="auto" w:sz="6" w:space="0"/>
                  <w:left w:val="none" w:color="auto" w:sz="0" w:space="0"/>
                  <w:bottom w:val="single" w:color="auto" w:sz="6" w:space="0"/>
                  <w:right w:val="none" w:color="auto" w:sz="0" w:space="0"/>
                  <w:insideH w:val="single" w:color="auto" w:sz="6" w:space="0"/>
                  <w:insideV w:val="single" w:color="auto" w:sz="6" w:space="0"/>
                </w:tblBorders>
                <w:tblCellMar>
                  <w:top w:w="0" w:type="dxa"/>
                  <w:left w:w="28" w:type="dxa"/>
                  <w:bottom w:w="0" w:type="dxa"/>
                  <w:right w:w="28" w:type="dxa"/>
                </w:tblCellMar>
              </w:tblPrEx>
              <w:trPr>
                <w:trHeight w:val="376" w:hRule="exact"/>
                <w:jc w:val="center"/>
              </w:trPr>
              <w:tc>
                <w:tcPr>
                  <w:tcW w:w="569" w:type="pct"/>
                  <w:tcBorders>
                    <w:top w:val="single" w:color="auto" w:sz="4" w:space="0"/>
                    <w:right w:val="single" w:color="auto" w:sz="4" w:space="0"/>
                  </w:tcBorders>
                  <w:vAlign w:val="center"/>
                </w:tcPr>
                <w:p>
                  <w:pPr>
                    <w:jc w:val="center"/>
                    <w:rPr>
                      <w:sz w:val="21"/>
                      <w:szCs w:val="21"/>
                    </w:rPr>
                  </w:pPr>
                  <w:r>
                    <w:rPr>
                      <w:rFonts w:hint="eastAsia"/>
                      <w:sz w:val="21"/>
                      <w:szCs w:val="21"/>
                    </w:rPr>
                    <w:t>75</w:t>
                  </w:r>
                </w:p>
              </w:tc>
              <w:tc>
                <w:tcPr>
                  <w:tcW w:w="544" w:type="pct"/>
                  <w:tcBorders>
                    <w:left w:val="single" w:color="auto" w:sz="4" w:space="0"/>
                    <w:right w:val="single" w:color="auto" w:sz="4" w:space="0"/>
                  </w:tcBorders>
                  <w:vAlign w:val="center"/>
                </w:tcPr>
                <w:p>
                  <w:pPr>
                    <w:jc w:val="center"/>
                    <w:rPr>
                      <w:sz w:val="21"/>
                      <w:szCs w:val="21"/>
                    </w:rPr>
                  </w:pPr>
                  <w:r>
                    <w:rPr>
                      <w:sz w:val="21"/>
                      <w:szCs w:val="21"/>
                    </w:rPr>
                    <w:t>夜间</w:t>
                  </w:r>
                </w:p>
              </w:tc>
              <w:tc>
                <w:tcPr>
                  <w:tcW w:w="589" w:type="pct"/>
                  <w:tcBorders>
                    <w:left w:val="single" w:color="auto" w:sz="4" w:space="0"/>
                    <w:right w:val="single" w:color="auto" w:sz="4" w:space="0"/>
                  </w:tcBorders>
                  <w:vAlign w:val="center"/>
                </w:tcPr>
                <w:p>
                  <w:pPr>
                    <w:jc w:val="center"/>
                    <w:rPr>
                      <w:sz w:val="21"/>
                      <w:szCs w:val="21"/>
                    </w:rPr>
                  </w:pPr>
                  <w:r>
                    <w:rPr>
                      <w:rFonts w:hint="eastAsia"/>
                      <w:sz w:val="21"/>
                      <w:szCs w:val="21"/>
                    </w:rPr>
                    <w:t>55</w:t>
                  </w:r>
                </w:p>
              </w:tc>
              <w:tc>
                <w:tcPr>
                  <w:tcW w:w="577" w:type="pct"/>
                  <w:tcBorders>
                    <w:left w:val="single" w:color="auto" w:sz="4" w:space="0"/>
                  </w:tcBorders>
                  <w:vAlign w:val="center"/>
                </w:tcPr>
                <w:p>
                  <w:pPr>
                    <w:jc w:val="center"/>
                    <w:rPr>
                      <w:sz w:val="21"/>
                      <w:szCs w:val="21"/>
                    </w:rPr>
                  </w:pPr>
                  <w:r>
                    <w:rPr>
                      <w:rFonts w:hint="eastAsia"/>
                      <w:sz w:val="21"/>
                      <w:szCs w:val="21"/>
                    </w:rPr>
                    <w:t>48.9</w:t>
                  </w:r>
                </w:p>
              </w:tc>
              <w:tc>
                <w:tcPr>
                  <w:tcW w:w="559" w:type="pct"/>
                  <w:tcBorders>
                    <w:right w:val="single" w:color="auto" w:sz="4" w:space="0"/>
                  </w:tcBorders>
                  <w:vAlign w:val="center"/>
                </w:tcPr>
                <w:p>
                  <w:pPr>
                    <w:jc w:val="center"/>
                    <w:rPr>
                      <w:sz w:val="21"/>
                      <w:szCs w:val="21"/>
                    </w:rPr>
                  </w:pPr>
                  <w:r>
                    <w:rPr>
                      <w:rFonts w:hint="eastAsia"/>
                      <w:sz w:val="21"/>
                      <w:szCs w:val="21"/>
                    </w:rPr>
                    <w:t>41</w:t>
                  </w:r>
                </w:p>
              </w:tc>
              <w:tc>
                <w:tcPr>
                  <w:tcW w:w="560" w:type="pct"/>
                  <w:tcBorders>
                    <w:left w:val="single" w:color="auto" w:sz="4" w:space="0"/>
                    <w:right w:val="single" w:color="auto" w:sz="4" w:space="0"/>
                  </w:tcBorders>
                  <w:vAlign w:val="center"/>
                </w:tcPr>
                <w:p>
                  <w:pPr>
                    <w:jc w:val="center"/>
                    <w:rPr>
                      <w:sz w:val="21"/>
                      <w:szCs w:val="21"/>
                    </w:rPr>
                  </w:pPr>
                  <w:r>
                    <w:rPr>
                      <w:rFonts w:hint="eastAsia"/>
                      <w:sz w:val="21"/>
                      <w:szCs w:val="21"/>
                    </w:rPr>
                    <w:t>35</w:t>
                  </w:r>
                </w:p>
              </w:tc>
              <w:tc>
                <w:tcPr>
                  <w:tcW w:w="570" w:type="pct"/>
                  <w:tcBorders>
                    <w:left w:val="single" w:color="auto" w:sz="4" w:space="0"/>
                    <w:right w:val="single" w:color="auto" w:sz="4" w:space="0"/>
                  </w:tcBorders>
                  <w:vAlign w:val="center"/>
                </w:tcPr>
                <w:p>
                  <w:pPr>
                    <w:jc w:val="center"/>
                    <w:rPr>
                      <w:sz w:val="21"/>
                      <w:szCs w:val="21"/>
                    </w:rPr>
                  </w:pPr>
                  <w:r>
                    <w:rPr>
                      <w:rFonts w:hint="eastAsia"/>
                      <w:sz w:val="21"/>
                      <w:szCs w:val="21"/>
                    </w:rPr>
                    <w:t>33.4</w:t>
                  </w:r>
                </w:p>
              </w:tc>
              <w:tc>
                <w:tcPr>
                  <w:tcW w:w="550" w:type="pct"/>
                  <w:tcBorders>
                    <w:left w:val="single" w:color="auto" w:sz="4" w:space="0"/>
                  </w:tcBorders>
                  <w:vAlign w:val="center"/>
                </w:tcPr>
                <w:p>
                  <w:pPr>
                    <w:jc w:val="center"/>
                    <w:rPr>
                      <w:sz w:val="21"/>
                      <w:szCs w:val="21"/>
                    </w:rPr>
                  </w:pPr>
                  <w:r>
                    <w:rPr>
                      <w:rFonts w:hint="eastAsia"/>
                      <w:sz w:val="21"/>
                      <w:szCs w:val="21"/>
                    </w:rPr>
                    <w:t>31.5</w:t>
                  </w:r>
                </w:p>
              </w:tc>
              <w:tc>
                <w:tcPr>
                  <w:tcW w:w="477" w:type="pct"/>
                  <w:tcBorders>
                    <w:right w:val="nil"/>
                  </w:tcBorders>
                  <w:vAlign w:val="center"/>
                </w:tcPr>
                <w:p>
                  <w:pPr>
                    <w:jc w:val="center"/>
                    <w:rPr>
                      <w:sz w:val="21"/>
                      <w:szCs w:val="21"/>
                    </w:rPr>
                  </w:pPr>
                  <w:r>
                    <w:rPr>
                      <w:rFonts w:hint="eastAsia"/>
                      <w:sz w:val="21"/>
                      <w:szCs w:val="21"/>
                    </w:rPr>
                    <w:t>28.9</w:t>
                  </w:r>
                </w:p>
              </w:tc>
            </w:tr>
          </w:tbl>
          <w:p>
            <w:pPr>
              <w:spacing w:line="360" w:lineRule="auto"/>
              <w:ind w:firstLine="360" w:firstLineChars="150"/>
              <w:outlineLvl w:val="3"/>
            </w:pPr>
            <w:r>
              <w:rPr>
                <w:rFonts w:hint="eastAsia"/>
              </w:rPr>
              <w:t>长江取水泵船设备运行噪声源强虽然较大，但是居民居民敏感点距离较远，距离最近居民点距离为180</w:t>
            </w:r>
            <w:r>
              <w:rPr>
                <w:rFonts w:hint="eastAsia"/>
                <w:highlight w:val="none"/>
              </w:rPr>
              <w:t>m，且有河堤阻隔，根据</w:t>
            </w:r>
            <w:r>
              <w:rPr>
                <w:rFonts w:hint="eastAsia"/>
              </w:rPr>
              <w:t>上表预测结果可知，取水泵船噪声在最近居民点的噪声值能够满足《声环境质量标准》（GB3096-2008）2类标准，取水泵船噪声对周边居民影响较小。</w:t>
            </w:r>
          </w:p>
          <w:bookmarkEnd w:id="23"/>
          <w:bookmarkEnd w:id="24"/>
          <w:p>
            <w:pPr>
              <w:spacing w:line="360" w:lineRule="auto"/>
              <w:ind w:firstLine="482" w:firstLineChars="200"/>
              <w:rPr>
                <w:rFonts w:hAnsi="宋体"/>
                <w:b/>
              </w:rPr>
            </w:pPr>
            <w:r>
              <w:rPr>
                <w:rFonts w:hint="eastAsia" w:hAnsi="宋体"/>
                <w:b/>
              </w:rPr>
              <w:t>2.4 固体废弃物影响分析</w:t>
            </w:r>
          </w:p>
          <w:p>
            <w:pPr>
              <w:spacing w:line="360" w:lineRule="auto"/>
              <w:ind w:firstLine="480" w:firstLineChars="200"/>
              <w:rPr>
                <w:rFonts w:hAnsi="宋体"/>
                <w:b/>
                <w:highlight w:val="none"/>
              </w:rPr>
            </w:pPr>
            <w:r>
              <w:rPr>
                <w:rFonts w:hint="eastAsia" w:hAnsi="宋体"/>
                <w:highlight w:val="none"/>
              </w:rPr>
              <w:t>本项目依托洪水港取水泵站、部分原有输水管道，项目施工期无生活垃圾，无建筑废弃物产生，土方全部回填，对环境影响较小。项目营运期无生活垃圾产生，依托工程洪水港泵站维修产生的废机油，由维修人员带走。</w:t>
            </w:r>
          </w:p>
          <w:p>
            <w:pPr>
              <w:spacing w:line="360" w:lineRule="auto"/>
              <w:ind w:firstLine="361" w:firstLineChars="150"/>
              <w:outlineLvl w:val="3"/>
              <w:rPr>
                <w:rFonts w:hint="eastAsia"/>
                <w:b/>
                <w:bCs/>
              </w:rPr>
            </w:pPr>
            <w:r>
              <w:rPr>
                <w:rFonts w:hint="eastAsia"/>
                <w:b/>
                <w:bCs/>
              </w:rPr>
              <w:t>2.5地下水环境影响分析</w:t>
            </w:r>
          </w:p>
          <w:p>
            <w:pPr>
              <w:spacing w:line="360" w:lineRule="auto"/>
              <w:ind w:firstLine="360" w:firstLineChars="150"/>
              <w:outlineLvl w:val="3"/>
              <w:rPr>
                <w:rFonts w:hint="eastAsia"/>
              </w:rPr>
            </w:pPr>
            <w:r>
              <w:rPr>
                <w:rFonts w:hint="eastAsia"/>
              </w:rPr>
              <w:t>根据《环境影响评价技术导则 地下水》（HJ610-2016）附录A地下水环境影响评价行业分类表，本项目属于A水利-3引水工程-其他，属于</w:t>
            </w:r>
            <w:r>
              <w:rPr>
                <w:rFonts w:hint="eastAsia" w:ascii="宋体" w:hAnsi="宋体" w:eastAsia="宋体" w:cs="宋体"/>
              </w:rPr>
              <w:t>Ⅳ</w:t>
            </w:r>
            <w:r>
              <w:rPr>
                <w:rFonts w:hint="eastAsia"/>
              </w:rPr>
              <w:t>类项目，可不开展地下水环境影响评价。</w:t>
            </w:r>
          </w:p>
          <w:p>
            <w:pPr>
              <w:spacing w:line="360" w:lineRule="auto"/>
              <w:ind w:firstLine="361" w:firstLineChars="150"/>
              <w:outlineLvl w:val="3"/>
              <w:rPr>
                <w:rFonts w:hint="eastAsia"/>
              </w:rPr>
            </w:pPr>
            <w:r>
              <w:rPr>
                <w:rFonts w:hint="eastAsia"/>
                <w:b/>
                <w:bCs/>
              </w:rPr>
              <w:t>2.6土壤环境影响分析</w:t>
            </w:r>
          </w:p>
          <w:p>
            <w:pPr>
              <w:spacing w:line="360" w:lineRule="auto"/>
              <w:ind w:firstLine="360" w:firstLineChars="150"/>
              <w:outlineLvl w:val="3"/>
              <w:rPr>
                <w:rFonts w:hint="eastAsia" w:hAnsi="宋体"/>
                <w:b/>
              </w:rPr>
            </w:pPr>
            <w:r>
              <w:rPr>
                <w:rFonts w:hint="eastAsia"/>
              </w:rPr>
              <w:t>根据《环境影响评价技术导则-土壤环境（试行）》（HJ964-2018）,对照附录A，本项目为“水利-其他”项目，属于生态影响型项目的</w:t>
            </w:r>
            <w:r>
              <w:rPr>
                <w:rFonts w:hint="default" w:ascii="Times New Roman" w:hAnsi="Times New Roman" w:cs="Times New Roman"/>
              </w:rPr>
              <w:t>Ш</w:t>
            </w:r>
            <w:r>
              <w:rPr>
                <w:rFonts w:hint="eastAsia"/>
              </w:rPr>
              <w:t>类，类比同类项目，底泥PH值在5.5-8.5范围内，项目土壤环境敏感程度为不敏感，故本项目可不开展土壤环境影响评价工作。</w:t>
            </w:r>
          </w:p>
          <w:p>
            <w:pPr>
              <w:spacing w:line="360" w:lineRule="auto"/>
              <w:ind w:firstLine="482" w:firstLineChars="200"/>
              <w:rPr>
                <w:rFonts w:hint="default" w:hAnsi="宋体" w:eastAsia="宋体"/>
                <w:b/>
                <w:bCs w:val="0"/>
                <w:lang w:val="en-US" w:eastAsia="zh-CN"/>
              </w:rPr>
            </w:pPr>
            <w:r>
              <w:rPr>
                <w:rFonts w:hint="eastAsia" w:hAnsi="宋体"/>
                <w:b/>
                <w:bCs w:val="0"/>
                <w:lang w:val="en-US" w:eastAsia="zh-CN"/>
              </w:rPr>
              <w:t>2.7</w:t>
            </w:r>
            <w:r>
              <w:rPr>
                <w:rFonts w:hint="eastAsia"/>
                <w:b/>
                <w:bCs w:val="0"/>
                <w:lang w:eastAsia="zh-CN"/>
              </w:rPr>
              <w:t>取水工程对依托工程的影响</w:t>
            </w:r>
          </w:p>
          <w:p>
            <w:pPr>
              <w:spacing w:line="360" w:lineRule="auto"/>
              <w:ind w:firstLine="360" w:firstLineChars="150"/>
              <w:outlineLvl w:val="3"/>
              <w:rPr>
                <w:rFonts w:hint="eastAsia" w:eastAsia="宋体"/>
                <w:lang w:eastAsia="zh-CN"/>
              </w:rPr>
            </w:pPr>
            <w:r>
              <w:rPr>
                <w:rFonts w:hint="eastAsia"/>
              </w:rPr>
              <w:t>广兴洲镇自来水厂最大取水量为0.055m</w:t>
            </w:r>
            <w:r>
              <w:rPr>
                <w:rFonts w:hint="eastAsia"/>
                <w:vertAlign w:val="superscript"/>
              </w:rPr>
              <w:t>3</w:t>
            </w:r>
            <w:r>
              <w:rPr>
                <w:rFonts w:hint="eastAsia"/>
              </w:rPr>
              <w:t>/s，许市镇自来水厂最大取水量为0.04m</w:t>
            </w:r>
            <w:r>
              <w:rPr>
                <w:rFonts w:hint="eastAsia"/>
                <w:vertAlign w:val="superscript"/>
              </w:rPr>
              <w:t>3</w:t>
            </w:r>
            <w:r>
              <w:rPr>
                <w:rFonts w:hint="eastAsia"/>
              </w:rPr>
              <w:t>/s，长江补水工程以长江干流为水源，设计最大取水流量19.54m</w:t>
            </w:r>
            <w:r>
              <w:rPr>
                <w:rFonts w:hint="eastAsia"/>
                <w:vertAlign w:val="superscript"/>
              </w:rPr>
              <w:t>3</w:t>
            </w:r>
            <w:r>
              <w:rPr>
                <w:rFonts w:hint="eastAsia"/>
              </w:rPr>
              <w:t>/s。工程河段设计最小流量为6000 m</w:t>
            </w:r>
            <w:r>
              <w:rPr>
                <w:rFonts w:hint="eastAsia"/>
                <w:vertAlign w:val="superscript"/>
              </w:rPr>
              <w:t>3</w:t>
            </w:r>
            <w:r>
              <w:rPr>
                <w:rFonts w:hint="eastAsia"/>
              </w:rPr>
              <w:t>/s；可供水量为2948 m</w:t>
            </w:r>
            <w:r>
              <w:rPr>
                <w:rFonts w:hint="eastAsia"/>
                <w:vertAlign w:val="superscript"/>
              </w:rPr>
              <w:t>3</w:t>
            </w:r>
            <w:r>
              <w:rPr>
                <w:rFonts w:hint="eastAsia"/>
              </w:rPr>
              <w:t>/s。岳阳长江补水工程设计最大取水量占取水河段设计最小流量的0.3%，占可供水量的0.7%。两个水厂最大取水流量占取水河段设计最小流量的0.00016%，占可供水量的0.00003%。说明本项目对长江补水工程的取水量没有影响。</w:t>
            </w:r>
            <w:r>
              <w:rPr>
                <w:rFonts w:hint="eastAsia"/>
                <w:lang w:eastAsia="zh-CN"/>
              </w:rPr>
              <w:t>本项目作为饮用水源取水口需划定饮用水源保护区，对该河段水质要求更高。</w:t>
            </w:r>
          </w:p>
          <w:p>
            <w:pPr>
              <w:spacing w:line="360" w:lineRule="auto"/>
              <w:ind w:firstLine="482" w:firstLineChars="200"/>
              <w:rPr>
                <w:rFonts w:hAnsi="宋体"/>
                <w:b/>
              </w:rPr>
            </w:pPr>
            <w:r>
              <w:rPr>
                <w:rFonts w:hint="eastAsia" w:hAnsi="宋体"/>
                <w:b/>
              </w:rPr>
              <w:t>三、环境管理与监测</w:t>
            </w:r>
          </w:p>
          <w:p>
            <w:pPr>
              <w:spacing w:line="360" w:lineRule="auto"/>
              <w:ind w:firstLine="482" w:firstLineChars="200"/>
              <w:rPr>
                <w:rFonts w:hAnsi="宋体"/>
                <w:b/>
                <w:bCs/>
              </w:rPr>
            </w:pPr>
            <w:r>
              <w:rPr>
                <w:rFonts w:hAnsi="宋体"/>
                <w:b/>
                <w:bCs/>
              </w:rPr>
              <w:t>3</w:t>
            </w:r>
            <w:r>
              <w:rPr>
                <w:rFonts w:hint="eastAsia" w:hAnsi="宋体"/>
                <w:b/>
                <w:bCs/>
              </w:rPr>
              <w:t>.1 环境管理</w:t>
            </w:r>
          </w:p>
          <w:p>
            <w:pPr>
              <w:spacing w:line="360" w:lineRule="auto"/>
              <w:ind w:firstLine="480" w:firstLineChars="200"/>
              <w:rPr>
                <w:rFonts w:hAnsi="宋体"/>
              </w:rPr>
            </w:pPr>
            <w:r>
              <w:rPr>
                <w:rFonts w:hint="eastAsia" w:hAnsi="宋体"/>
              </w:rPr>
              <w:t>营运单位应定期对场内设备进行检查和维护。</w:t>
            </w:r>
            <w:r>
              <w:rPr>
                <w:rFonts w:hAnsi="宋体"/>
              </w:rPr>
              <w:t xml:space="preserve"> </w:t>
            </w:r>
          </w:p>
          <w:p>
            <w:pPr>
              <w:spacing w:line="360" w:lineRule="auto"/>
              <w:ind w:firstLine="482" w:firstLineChars="200"/>
              <w:rPr>
                <w:rFonts w:hAnsi="宋体"/>
                <w:b/>
                <w:bCs/>
              </w:rPr>
            </w:pPr>
            <w:r>
              <w:rPr>
                <w:rFonts w:hAnsi="宋体"/>
                <w:b/>
                <w:bCs/>
              </w:rPr>
              <w:t>3</w:t>
            </w:r>
            <w:r>
              <w:rPr>
                <w:rFonts w:hint="eastAsia" w:hAnsi="宋体"/>
                <w:b/>
                <w:bCs/>
              </w:rPr>
              <w:t>.2 环境监测计划</w:t>
            </w:r>
          </w:p>
          <w:p>
            <w:pPr>
              <w:spacing w:line="360" w:lineRule="auto"/>
              <w:ind w:firstLine="480" w:firstLineChars="200"/>
              <w:rPr>
                <w:b/>
                <w:bCs/>
                <w:sz w:val="21"/>
                <w:szCs w:val="21"/>
              </w:rPr>
            </w:pPr>
            <w:r>
              <w:rPr>
                <w:rFonts w:hint="eastAsia" w:hAnsi="宋体"/>
              </w:rPr>
              <w:t>委托具有资质的检测单位对全厂环境进行定期监测，具体内容如下：</w:t>
            </w:r>
          </w:p>
          <w:p>
            <w:pPr>
              <w:spacing w:line="360" w:lineRule="auto"/>
              <w:jc w:val="center"/>
              <w:rPr>
                <w:b/>
                <w:bCs/>
                <w:sz w:val="21"/>
                <w:szCs w:val="21"/>
              </w:rPr>
            </w:pPr>
            <w:r>
              <w:rPr>
                <w:rFonts w:hint="eastAsia"/>
                <w:b/>
                <w:bCs/>
                <w:sz w:val="21"/>
                <w:szCs w:val="21"/>
              </w:rPr>
              <w:t>表7-</w:t>
            </w:r>
            <w:r>
              <w:rPr>
                <w:b/>
                <w:bCs/>
                <w:sz w:val="21"/>
                <w:szCs w:val="21"/>
              </w:rPr>
              <w:t xml:space="preserve">3 </w:t>
            </w:r>
            <w:r>
              <w:rPr>
                <w:rFonts w:hint="eastAsia"/>
                <w:b/>
                <w:bCs/>
                <w:sz w:val="21"/>
                <w:szCs w:val="21"/>
              </w:rPr>
              <w:t>环境监测计划工作表</w:t>
            </w:r>
          </w:p>
          <w:tbl>
            <w:tblPr>
              <w:tblStyle w:val="45"/>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880"/>
              <w:gridCol w:w="1984"/>
              <w:gridCol w:w="2942"/>
              <w:gridCol w:w="22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80" w:type="dxa"/>
                </w:tcPr>
                <w:p>
                  <w:pPr>
                    <w:spacing w:line="360" w:lineRule="auto"/>
                    <w:jc w:val="center"/>
                    <w:rPr>
                      <w:rFonts w:hAnsi="宋体"/>
                      <w:sz w:val="21"/>
                      <w:szCs w:val="21"/>
                    </w:rPr>
                  </w:pPr>
                  <w:r>
                    <w:rPr>
                      <w:rFonts w:hint="eastAsia" w:hAnsi="宋体"/>
                      <w:sz w:val="21"/>
                      <w:szCs w:val="21"/>
                    </w:rPr>
                    <w:t>监测类别</w:t>
                  </w:r>
                </w:p>
              </w:tc>
              <w:tc>
                <w:tcPr>
                  <w:tcW w:w="1984" w:type="dxa"/>
                </w:tcPr>
                <w:p>
                  <w:pPr>
                    <w:spacing w:line="360" w:lineRule="auto"/>
                    <w:jc w:val="center"/>
                    <w:rPr>
                      <w:rFonts w:hAnsi="宋体"/>
                      <w:sz w:val="21"/>
                      <w:szCs w:val="21"/>
                    </w:rPr>
                  </w:pPr>
                  <w:r>
                    <w:rPr>
                      <w:rFonts w:hint="eastAsia" w:hAnsi="宋体"/>
                      <w:sz w:val="21"/>
                      <w:szCs w:val="21"/>
                    </w:rPr>
                    <w:t>监测位置</w:t>
                  </w:r>
                </w:p>
              </w:tc>
              <w:tc>
                <w:tcPr>
                  <w:tcW w:w="2942" w:type="dxa"/>
                </w:tcPr>
                <w:p>
                  <w:pPr>
                    <w:spacing w:line="360" w:lineRule="auto"/>
                    <w:jc w:val="center"/>
                    <w:rPr>
                      <w:rFonts w:hAnsi="宋体"/>
                      <w:sz w:val="21"/>
                      <w:szCs w:val="21"/>
                    </w:rPr>
                  </w:pPr>
                  <w:r>
                    <w:rPr>
                      <w:rFonts w:hint="eastAsia" w:hAnsi="宋体"/>
                      <w:sz w:val="21"/>
                      <w:szCs w:val="21"/>
                    </w:rPr>
                    <w:t>监测项目</w:t>
                  </w:r>
                </w:p>
              </w:tc>
              <w:tc>
                <w:tcPr>
                  <w:tcW w:w="2269" w:type="dxa"/>
                </w:tcPr>
                <w:p>
                  <w:pPr>
                    <w:spacing w:line="360" w:lineRule="auto"/>
                    <w:jc w:val="center"/>
                    <w:rPr>
                      <w:rFonts w:hAnsi="宋体"/>
                      <w:sz w:val="21"/>
                      <w:szCs w:val="21"/>
                    </w:rPr>
                  </w:pPr>
                  <w:r>
                    <w:rPr>
                      <w:rFonts w:hint="eastAsia" w:hAnsi="宋体"/>
                      <w:sz w:val="21"/>
                      <w:szCs w:val="21"/>
                    </w:rPr>
                    <w:t>监测频率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80" w:type="dxa"/>
                </w:tcPr>
                <w:p>
                  <w:pPr>
                    <w:spacing w:line="360" w:lineRule="auto"/>
                    <w:jc w:val="center"/>
                    <w:rPr>
                      <w:rFonts w:hAnsi="宋体"/>
                      <w:sz w:val="21"/>
                      <w:szCs w:val="21"/>
                    </w:rPr>
                  </w:pPr>
                  <w:r>
                    <w:rPr>
                      <w:rFonts w:hint="eastAsia" w:hAnsi="宋体"/>
                      <w:sz w:val="21"/>
                      <w:szCs w:val="21"/>
                    </w:rPr>
                    <w:t>噪声</w:t>
                  </w:r>
                </w:p>
              </w:tc>
              <w:tc>
                <w:tcPr>
                  <w:tcW w:w="1984" w:type="dxa"/>
                </w:tcPr>
                <w:p>
                  <w:pPr>
                    <w:spacing w:line="360" w:lineRule="auto"/>
                    <w:jc w:val="center"/>
                    <w:rPr>
                      <w:rFonts w:hAnsi="宋体"/>
                      <w:sz w:val="21"/>
                      <w:szCs w:val="21"/>
                    </w:rPr>
                  </w:pPr>
                  <w:r>
                    <w:rPr>
                      <w:rFonts w:hint="eastAsia" w:hAnsi="宋体"/>
                      <w:sz w:val="21"/>
                      <w:szCs w:val="21"/>
                    </w:rPr>
                    <w:t>泵站、厂界</w:t>
                  </w:r>
                </w:p>
              </w:tc>
              <w:tc>
                <w:tcPr>
                  <w:tcW w:w="2942" w:type="dxa"/>
                </w:tcPr>
                <w:p>
                  <w:pPr>
                    <w:spacing w:line="360" w:lineRule="auto"/>
                    <w:jc w:val="center"/>
                    <w:rPr>
                      <w:rFonts w:hAnsi="宋体"/>
                      <w:sz w:val="21"/>
                      <w:szCs w:val="21"/>
                    </w:rPr>
                  </w:pPr>
                  <w:r>
                    <w:rPr>
                      <w:rFonts w:hint="eastAsia" w:hAnsi="宋体"/>
                      <w:sz w:val="21"/>
                      <w:szCs w:val="21"/>
                    </w:rPr>
                    <w:t>昼夜连续等效 A 声级</w:t>
                  </w:r>
                </w:p>
              </w:tc>
              <w:tc>
                <w:tcPr>
                  <w:tcW w:w="2269" w:type="dxa"/>
                </w:tcPr>
                <w:p>
                  <w:pPr>
                    <w:spacing w:line="360" w:lineRule="auto"/>
                    <w:jc w:val="center"/>
                    <w:rPr>
                      <w:rFonts w:hAnsi="宋体"/>
                      <w:sz w:val="21"/>
                      <w:szCs w:val="21"/>
                    </w:rPr>
                  </w:pPr>
                  <w:r>
                    <w:rPr>
                      <w:rFonts w:hint="eastAsia" w:hAnsi="宋体"/>
                      <w:sz w:val="21"/>
                      <w:szCs w:val="21"/>
                    </w:rPr>
                    <w:t>1 次/季度</w:t>
                  </w:r>
                </w:p>
              </w:tc>
            </w:tr>
          </w:tbl>
          <w:p>
            <w:pPr>
              <w:spacing w:line="360" w:lineRule="auto"/>
              <w:rPr>
                <w:rFonts w:hAnsi="宋体"/>
              </w:rPr>
            </w:pPr>
          </w:p>
          <w:p>
            <w:pPr>
              <w:spacing w:line="360" w:lineRule="auto"/>
              <w:ind w:firstLine="482" w:firstLineChars="200"/>
              <w:rPr>
                <w:rFonts w:hAnsi="宋体"/>
                <w:b/>
              </w:rPr>
            </w:pPr>
            <w:r>
              <w:rPr>
                <w:rFonts w:hint="eastAsia" w:hAnsi="宋体"/>
                <w:b/>
              </w:rPr>
              <w:t>四、环保投资</w:t>
            </w:r>
          </w:p>
          <w:p>
            <w:pPr>
              <w:spacing w:line="360" w:lineRule="auto"/>
              <w:ind w:firstLine="480" w:firstLineChars="200"/>
              <w:rPr>
                <w:rFonts w:hAnsi="宋体"/>
              </w:rPr>
            </w:pPr>
            <w:r>
              <w:rPr>
                <w:rFonts w:hint="eastAsia" w:hAnsi="宋体"/>
              </w:rPr>
              <w:t xml:space="preserve">本工程总投资为 200万元，环保投资为 </w:t>
            </w:r>
            <w:r>
              <w:rPr>
                <w:rFonts w:hAnsi="宋体"/>
              </w:rPr>
              <w:t>20</w:t>
            </w:r>
            <w:r>
              <w:rPr>
                <w:rFonts w:hint="eastAsia" w:hAnsi="宋体"/>
              </w:rPr>
              <w:t xml:space="preserve"> 万元，占项目总投资的</w:t>
            </w:r>
            <w:r>
              <w:rPr>
                <w:rFonts w:hAnsi="宋体"/>
              </w:rPr>
              <w:t>10</w:t>
            </w:r>
            <w:r>
              <w:rPr>
                <w:rFonts w:hint="eastAsia" w:hAnsi="宋体"/>
              </w:rPr>
              <w:t>%，环保措施投资一览表见下表。</w:t>
            </w:r>
          </w:p>
          <w:p>
            <w:pPr>
              <w:spacing w:line="360" w:lineRule="auto"/>
              <w:ind w:firstLine="482" w:firstLineChars="200"/>
              <w:jc w:val="center"/>
              <w:rPr>
                <w:rFonts w:hAnsi="宋体"/>
                <w:b/>
              </w:rPr>
            </w:pPr>
            <w:r>
              <w:rPr>
                <w:rFonts w:hint="eastAsia" w:hAnsi="宋体"/>
                <w:b/>
              </w:rPr>
              <w:t>表7-</w:t>
            </w:r>
            <w:r>
              <w:rPr>
                <w:rFonts w:hAnsi="宋体"/>
                <w:b/>
              </w:rPr>
              <w:t xml:space="preserve">4  </w:t>
            </w:r>
            <w:r>
              <w:rPr>
                <w:rFonts w:hint="eastAsia" w:hAnsi="宋体"/>
                <w:b/>
              </w:rPr>
              <w:t>环保措施投资一览表</w:t>
            </w:r>
          </w:p>
          <w:tbl>
            <w:tblPr>
              <w:tblStyle w:val="45"/>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373"/>
              <w:gridCol w:w="1037"/>
              <w:gridCol w:w="4707"/>
              <w:gridCol w:w="19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6" w:type="pct"/>
                </w:tcPr>
                <w:p>
                  <w:pPr>
                    <w:jc w:val="center"/>
                    <w:rPr>
                      <w:rFonts w:hAnsi="宋体"/>
                      <w:sz w:val="21"/>
                      <w:szCs w:val="21"/>
                    </w:rPr>
                  </w:pPr>
                  <w:r>
                    <w:rPr>
                      <w:rFonts w:hint="eastAsia" w:hAnsi="宋体"/>
                      <w:sz w:val="21"/>
                      <w:szCs w:val="21"/>
                    </w:rPr>
                    <w:t>时期</w:t>
                  </w:r>
                </w:p>
              </w:tc>
              <w:tc>
                <w:tcPr>
                  <w:tcW w:w="571" w:type="pct"/>
                </w:tcPr>
                <w:p>
                  <w:pPr>
                    <w:jc w:val="center"/>
                    <w:rPr>
                      <w:rFonts w:hAnsi="宋体"/>
                      <w:sz w:val="21"/>
                      <w:szCs w:val="21"/>
                    </w:rPr>
                  </w:pPr>
                  <w:r>
                    <w:rPr>
                      <w:rFonts w:hint="eastAsia" w:hAnsi="宋体"/>
                      <w:sz w:val="21"/>
                      <w:szCs w:val="21"/>
                    </w:rPr>
                    <w:t>项目</w:t>
                  </w:r>
                </w:p>
              </w:tc>
              <w:tc>
                <w:tcPr>
                  <w:tcW w:w="2592" w:type="pct"/>
                </w:tcPr>
                <w:p>
                  <w:pPr>
                    <w:jc w:val="center"/>
                    <w:rPr>
                      <w:rFonts w:hAnsi="宋体"/>
                      <w:sz w:val="21"/>
                      <w:szCs w:val="21"/>
                    </w:rPr>
                  </w:pPr>
                  <w:r>
                    <w:rPr>
                      <w:rFonts w:hint="eastAsia" w:hAnsi="宋体"/>
                      <w:sz w:val="21"/>
                      <w:szCs w:val="21"/>
                    </w:rPr>
                    <w:t>环保措施</w:t>
                  </w:r>
                </w:p>
              </w:tc>
              <w:tc>
                <w:tcPr>
                  <w:tcW w:w="1081" w:type="pct"/>
                </w:tcPr>
                <w:p>
                  <w:pPr>
                    <w:jc w:val="center"/>
                    <w:rPr>
                      <w:rFonts w:hAnsi="宋体"/>
                      <w:sz w:val="21"/>
                      <w:szCs w:val="21"/>
                    </w:rPr>
                  </w:pPr>
                  <w:r>
                    <w:rPr>
                      <w:rFonts w:hint="eastAsia" w:hAnsi="宋体"/>
                      <w:sz w:val="21"/>
                      <w:szCs w:val="21"/>
                    </w:rPr>
                    <w:t>投资（万元）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6" w:type="pct"/>
                  <w:vMerge w:val="restart"/>
                </w:tcPr>
                <w:p>
                  <w:pPr>
                    <w:jc w:val="center"/>
                    <w:rPr>
                      <w:rFonts w:hAnsi="宋体"/>
                      <w:sz w:val="21"/>
                      <w:szCs w:val="21"/>
                    </w:rPr>
                  </w:pPr>
                  <w:r>
                    <w:rPr>
                      <w:rFonts w:hint="eastAsia" w:hAnsi="宋体"/>
                      <w:sz w:val="21"/>
                      <w:szCs w:val="21"/>
                    </w:rPr>
                    <w:t>施工期</w:t>
                  </w:r>
                </w:p>
              </w:tc>
              <w:tc>
                <w:tcPr>
                  <w:tcW w:w="571" w:type="pct"/>
                </w:tcPr>
                <w:p>
                  <w:pPr>
                    <w:jc w:val="center"/>
                    <w:rPr>
                      <w:rFonts w:hAnsi="宋体"/>
                      <w:sz w:val="21"/>
                      <w:szCs w:val="21"/>
                    </w:rPr>
                  </w:pPr>
                  <w:r>
                    <w:rPr>
                      <w:rFonts w:hint="eastAsia" w:hAnsi="宋体"/>
                      <w:sz w:val="21"/>
                      <w:szCs w:val="21"/>
                    </w:rPr>
                    <w:t>废水</w:t>
                  </w:r>
                </w:p>
              </w:tc>
              <w:tc>
                <w:tcPr>
                  <w:tcW w:w="2592" w:type="pct"/>
                </w:tcPr>
                <w:p>
                  <w:pPr>
                    <w:jc w:val="center"/>
                    <w:rPr>
                      <w:rFonts w:hAnsi="宋体"/>
                      <w:sz w:val="21"/>
                      <w:szCs w:val="21"/>
                    </w:rPr>
                  </w:pPr>
                  <w:r>
                    <w:rPr>
                      <w:rFonts w:hint="eastAsia" w:hAnsi="宋体"/>
                      <w:sz w:val="21"/>
                      <w:szCs w:val="21"/>
                    </w:rPr>
                    <w:t>试压废水经过沉淀处理后用于施工或抑尘</w:t>
                  </w:r>
                </w:p>
              </w:tc>
              <w:tc>
                <w:tcPr>
                  <w:tcW w:w="1081" w:type="pct"/>
                </w:tcPr>
                <w:p>
                  <w:pPr>
                    <w:jc w:val="center"/>
                    <w:rPr>
                      <w:rFonts w:hAnsi="宋体"/>
                      <w:sz w:val="21"/>
                      <w:szCs w:val="21"/>
                    </w:rPr>
                  </w:pPr>
                  <w:r>
                    <w:rPr>
                      <w:rFonts w:hint="eastAsia" w:hAnsi="宋体"/>
                      <w:sz w:val="21"/>
                      <w:szCs w:val="21"/>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6" w:type="pct"/>
                  <w:vMerge w:val="continue"/>
                </w:tcPr>
                <w:p>
                  <w:pPr>
                    <w:jc w:val="center"/>
                    <w:rPr>
                      <w:rFonts w:hAnsi="宋体"/>
                      <w:sz w:val="21"/>
                      <w:szCs w:val="21"/>
                    </w:rPr>
                  </w:pPr>
                </w:p>
              </w:tc>
              <w:tc>
                <w:tcPr>
                  <w:tcW w:w="571" w:type="pct"/>
                </w:tcPr>
                <w:p>
                  <w:pPr>
                    <w:jc w:val="center"/>
                    <w:rPr>
                      <w:rFonts w:hAnsi="宋体"/>
                      <w:sz w:val="21"/>
                      <w:szCs w:val="21"/>
                    </w:rPr>
                  </w:pPr>
                  <w:r>
                    <w:rPr>
                      <w:rFonts w:hint="eastAsia" w:hAnsi="宋体"/>
                      <w:sz w:val="21"/>
                      <w:szCs w:val="21"/>
                    </w:rPr>
                    <w:t>废气</w:t>
                  </w:r>
                </w:p>
              </w:tc>
              <w:tc>
                <w:tcPr>
                  <w:tcW w:w="2592" w:type="pct"/>
                </w:tcPr>
                <w:p>
                  <w:pPr>
                    <w:jc w:val="center"/>
                    <w:rPr>
                      <w:rFonts w:hAnsi="宋体"/>
                      <w:sz w:val="21"/>
                      <w:szCs w:val="21"/>
                    </w:rPr>
                  </w:pPr>
                  <w:r>
                    <w:rPr>
                      <w:rFonts w:hint="eastAsia" w:hAnsi="宋体"/>
                      <w:sz w:val="21"/>
                      <w:szCs w:val="21"/>
                    </w:rPr>
                    <w:t>定时对表土堆场覆盖、施工便道并进行洒水降尘。</w:t>
                  </w:r>
                </w:p>
              </w:tc>
              <w:tc>
                <w:tcPr>
                  <w:tcW w:w="1081" w:type="pct"/>
                </w:tcPr>
                <w:p>
                  <w:pPr>
                    <w:jc w:val="center"/>
                    <w:rPr>
                      <w:rFonts w:hAnsi="宋体"/>
                      <w:sz w:val="21"/>
                      <w:szCs w:val="21"/>
                    </w:rPr>
                  </w:pPr>
                  <w:r>
                    <w:rPr>
                      <w:rFonts w:hint="eastAsia" w:hAnsi="宋体"/>
                      <w:sz w:val="21"/>
                      <w:szCs w:val="21"/>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6" w:type="pct"/>
                  <w:vMerge w:val="continue"/>
                </w:tcPr>
                <w:p>
                  <w:pPr>
                    <w:jc w:val="center"/>
                    <w:rPr>
                      <w:rFonts w:hAnsi="宋体"/>
                      <w:sz w:val="21"/>
                      <w:szCs w:val="21"/>
                    </w:rPr>
                  </w:pPr>
                </w:p>
              </w:tc>
              <w:tc>
                <w:tcPr>
                  <w:tcW w:w="571" w:type="pct"/>
                </w:tcPr>
                <w:p>
                  <w:pPr>
                    <w:jc w:val="center"/>
                    <w:rPr>
                      <w:rFonts w:hAnsi="宋体"/>
                      <w:sz w:val="21"/>
                      <w:szCs w:val="21"/>
                    </w:rPr>
                  </w:pPr>
                  <w:r>
                    <w:rPr>
                      <w:rFonts w:hint="eastAsia" w:hAnsi="宋体"/>
                      <w:sz w:val="21"/>
                      <w:szCs w:val="21"/>
                    </w:rPr>
                    <w:t>噪声</w:t>
                  </w:r>
                </w:p>
              </w:tc>
              <w:tc>
                <w:tcPr>
                  <w:tcW w:w="2592" w:type="pct"/>
                </w:tcPr>
                <w:p>
                  <w:pPr>
                    <w:jc w:val="center"/>
                    <w:rPr>
                      <w:rFonts w:hAnsi="宋体"/>
                      <w:sz w:val="21"/>
                      <w:szCs w:val="21"/>
                    </w:rPr>
                  </w:pPr>
                  <w:r>
                    <w:rPr>
                      <w:rFonts w:hint="eastAsia" w:hAnsi="宋体"/>
                      <w:sz w:val="21"/>
                      <w:szCs w:val="21"/>
                    </w:rPr>
                    <w:t>尽量采用低噪声机械设备；合理安排施工物料的运输时间；夜间22时至凌晨6时应禁止施工；</w:t>
                  </w:r>
                </w:p>
              </w:tc>
              <w:tc>
                <w:tcPr>
                  <w:tcW w:w="1081" w:type="pct"/>
                </w:tcPr>
                <w:p>
                  <w:pPr>
                    <w:jc w:val="center"/>
                    <w:rPr>
                      <w:rFonts w:hAnsi="宋体"/>
                      <w:sz w:val="21"/>
                      <w:szCs w:val="21"/>
                    </w:rPr>
                  </w:pPr>
                  <w:r>
                    <w:rPr>
                      <w:rFonts w:hint="eastAsia" w:hAnsi="宋体"/>
                      <w:sz w:val="21"/>
                      <w:szCs w:val="21"/>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6" w:type="pct"/>
                  <w:vMerge w:val="continue"/>
                </w:tcPr>
                <w:p>
                  <w:pPr>
                    <w:jc w:val="center"/>
                    <w:rPr>
                      <w:rFonts w:hAnsi="宋体"/>
                      <w:sz w:val="21"/>
                      <w:szCs w:val="21"/>
                    </w:rPr>
                  </w:pPr>
                </w:p>
              </w:tc>
              <w:tc>
                <w:tcPr>
                  <w:tcW w:w="571" w:type="pct"/>
                </w:tcPr>
                <w:p>
                  <w:pPr>
                    <w:jc w:val="center"/>
                    <w:rPr>
                      <w:rFonts w:hAnsi="宋体"/>
                      <w:sz w:val="21"/>
                      <w:szCs w:val="21"/>
                    </w:rPr>
                  </w:pPr>
                  <w:r>
                    <w:rPr>
                      <w:rFonts w:hint="eastAsia" w:hAnsi="宋体"/>
                      <w:sz w:val="21"/>
                      <w:szCs w:val="21"/>
                    </w:rPr>
                    <w:t>固废</w:t>
                  </w:r>
                </w:p>
              </w:tc>
              <w:tc>
                <w:tcPr>
                  <w:tcW w:w="2592" w:type="pct"/>
                </w:tcPr>
                <w:p>
                  <w:pPr>
                    <w:jc w:val="center"/>
                    <w:rPr>
                      <w:rFonts w:hint="eastAsia" w:hAnsi="宋体" w:eastAsia="宋体"/>
                      <w:sz w:val="21"/>
                      <w:szCs w:val="21"/>
                      <w:lang w:eastAsia="zh-CN"/>
                    </w:rPr>
                  </w:pPr>
                  <w:r>
                    <w:rPr>
                      <w:rFonts w:hint="eastAsia" w:hAnsi="宋体"/>
                      <w:sz w:val="21"/>
                      <w:szCs w:val="21"/>
                    </w:rPr>
                    <w:t>土方开挖后全部回填；表土临时堆存，用于后期覆土</w:t>
                  </w:r>
                  <w:r>
                    <w:rPr>
                      <w:rFonts w:hint="eastAsia" w:hAnsi="宋体"/>
                      <w:sz w:val="21"/>
                      <w:szCs w:val="21"/>
                      <w:lang w:eastAsia="zh-CN"/>
                    </w:rPr>
                    <w:t>，</w:t>
                  </w:r>
                  <w:r>
                    <w:rPr>
                      <w:rFonts w:hint="eastAsia"/>
                      <w:sz w:val="21"/>
                      <w:szCs w:val="21"/>
                      <w:lang w:eastAsia="zh-CN"/>
                    </w:rPr>
                    <w:t>废污泥运送至一般固体废物填埋场处置</w:t>
                  </w:r>
                </w:p>
              </w:tc>
              <w:tc>
                <w:tcPr>
                  <w:tcW w:w="1081" w:type="pct"/>
                </w:tcPr>
                <w:p>
                  <w:pPr>
                    <w:jc w:val="center"/>
                    <w:rPr>
                      <w:rFonts w:hAnsi="宋体"/>
                      <w:sz w:val="21"/>
                      <w:szCs w:val="21"/>
                    </w:rPr>
                  </w:pPr>
                  <w:r>
                    <w:rPr>
                      <w:rFonts w:hint="eastAsia" w:hAnsi="宋体"/>
                      <w:sz w:val="21"/>
                      <w:szCs w:val="21"/>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6" w:type="pct"/>
                  <w:vMerge w:val="continue"/>
                </w:tcPr>
                <w:p>
                  <w:pPr>
                    <w:jc w:val="center"/>
                    <w:rPr>
                      <w:rFonts w:hAnsi="宋体"/>
                      <w:sz w:val="21"/>
                      <w:szCs w:val="21"/>
                    </w:rPr>
                  </w:pPr>
                </w:p>
              </w:tc>
              <w:tc>
                <w:tcPr>
                  <w:tcW w:w="571" w:type="pct"/>
                </w:tcPr>
                <w:p>
                  <w:pPr>
                    <w:jc w:val="center"/>
                    <w:rPr>
                      <w:rFonts w:hAnsi="宋体"/>
                      <w:sz w:val="21"/>
                      <w:szCs w:val="21"/>
                    </w:rPr>
                  </w:pPr>
                  <w:r>
                    <w:rPr>
                      <w:rFonts w:hint="eastAsia" w:hAnsi="宋体"/>
                      <w:sz w:val="21"/>
                      <w:szCs w:val="21"/>
                    </w:rPr>
                    <w:t>生态影响</w:t>
                  </w:r>
                </w:p>
              </w:tc>
              <w:tc>
                <w:tcPr>
                  <w:tcW w:w="2592" w:type="pct"/>
                </w:tcPr>
                <w:p>
                  <w:pPr>
                    <w:jc w:val="center"/>
                    <w:rPr>
                      <w:rFonts w:hAnsi="宋体"/>
                      <w:sz w:val="21"/>
                      <w:szCs w:val="21"/>
                    </w:rPr>
                  </w:pPr>
                  <w:r>
                    <w:rPr>
                      <w:rFonts w:hint="eastAsia" w:hAnsi="宋体"/>
                      <w:sz w:val="21"/>
                      <w:szCs w:val="21"/>
                    </w:rPr>
                    <w:t>同时要求施工过程中严格控制占地，减少现有植被破坏，不允许捕杀野生动物。施工结束后及时进行植被恢复</w:t>
                  </w:r>
                </w:p>
              </w:tc>
              <w:tc>
                <w:tcPr>
                  <w:tcW w:w="1081" w:type="pct"/>
                </w:tcPr>
                <w:p>
                  <w:pPr>
                    <w:jc w:val="center"/>
                    <w:rPr>
                      <w:rFonts w:hAnsi="宋体"/>
                      <w:sz w:val="21"/>
                      <w:szCs w:val="21"/>
                    </w:rPr>
                  </w:pPr>
                  <w:r>
                    <w:rPr>
                      <w:rFonts w:hint="eastAsia" w:hAnsi="宋体"/>
                      <w:sz w:val="21"/>
                      <w:szCs w:val="21"/>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6" w:type="pct"/>
                  <w:vMerge w:val="restart"/>
                </w:tcPr>
                <w:p>
                  <w:pPr>
                    <w:jc w:val="center"/>
                    <w:rPr>
                      <w:rFonts w:hAnsi="宋体"/>
                      <w:sz w:val="21"/>
                      <w:szCs w:val="21"/>
                    </w:rPr>
                  </w:pPr>
                  <w:r>
                    <w:rPr>
                      <w:rFonts w:hint="eastAsia" w:hAnsi="宋体"/>
                      <w:sz w:val="21"/>
                      <w:szCs w:val="21"/>
                    </w:rPr>
                    <w:t>营运期</w:t>
                  </w:r>
                </w:p>
              </w:tc>
              <w:tc>
                <w:tcPr>
                  <w:tcW w:w="571" w:type="pct"/>
                </w:tcPr>
                <w:p>
                  <w:pPr>
                    <w:jc w:val="center"/>
                    <w:rPr>
                      <w:sz w:val="21"/>
                      <w:szCs w:val="21"/>
                    </w:rPr>
                  </w:pPr>
                  <w:r>
                    <w:rPr>
                      <w:rFonts w:hint="eastAsia"/>
                      <w:sz w:val="21"/>
                      <w:szCs w:val="21"/>
                    </w:rPr>
                    <w:t>废水</w:t>
                  </w:r>
                </w:p>
              </w:tc>
              <w:tc>
                <w:tcPr>
                  <w:tcW w:w="2592" w:type="pct"/>
                </w:tcPr>
                <w:p>
                  <w:pPr>
                    <w:jc w:val="center"/>
                    <w:rPr>
                      <w:rFonts w:hAnsi="宋体"/>
                      <w:sz w:val="21"/>
                      <w:szCs w:val="21"/>
                    </w:rPr>
                  </w:pPr>
                  <w:r>
                    <w:rPr>
                      <w:rFonts w:hint="eastAsia" w:hAnsi="宋体"/>
                      <w:sz w:val="21"/>
                      <w:szCs w:val="21"/>
                    </w:rPr>
                    <w:t>/</w:t>
                  </w:r>
                </w:p>
              </w:tc>
              <w:tc>
                <w:tcPr>
                  <w:tcW w:w="1081" w:type="pct"/>
                </w:tcPr>
                <w:p>
                  <w:pPr>
                    <w:jc w:val="center"/>
                    <w:rPr>
                      <w:rFonts w:hAnsi="宋体"/>
                      <w:sz w:val="21"/>
                      <w:szCs w:val="21"/>
                    </w:rPr>
                  </w:pPr>
                  <w:r>
                    <w:rPr>
                      <w:rFonts w:hint="eastAsia" w:hAnsi="宋体"/>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6" w:type="pct"/>
                  <w:vMerge w:val="continue"/>
                </w:tcPr>
                <w:p>
                  <w:pPr>
                    <w:jc w:val="center"/>
                    <w:rPr>
                      <w:rFonts w:hAnsi="宋体"/>
                      <w:sz w:val="21"/>
                      <w:szCs w:val="21"/>
                    </w:rPr>
                  </w:pPr>
                </w:p>
              </w:tc>
              <w:tc>
                <w:tcPr>
                  <w:tcW w:w="571" w:type="pct"/>
                </w:tcPr>
                <w:p>
                  <w:pPr>
                    <w:jc w:val="center"/>
                    <w:rPr>
                      <w:sz w:val="21"/>
                      <w:szCs w:val="21"/>
                    </w:rPr>
                  </w:pPr>
                  <w:r>
                    <w:rPr>
                      <w:rFonts w:hint="eastAsia"/>
                      <w:sz w:val="21"/>
                      <w:szCs w:val="21"/>
                    </w:rPr>
                    <w:t>废气</w:t>
                  </w:r>
                </w:p>
              </w:tc>
              <w:tc>
                <w:tcPr>
                  <w:tcW w:w="2592" w:type="pct"/>
                </w:tcPr>
                <w:p>
                  <w:pPr>
                    <w:jc w:val="center"/>
                    <w:rPr>
                      <w:rFonts w:hAnsi="宋体"/>
                      <w:sz w:val="21"/>
                      <w:szCs w:val="21"/>
                    </w:rPr>
                  </w:pPr>
                  <w:r>
                    <w:rPr>
                      <w:rFonts w:hint="eastAsia" w:hAnsi="宋体"/>
                      <w:sz w:val="21"/>
                      <w:szCs w:val="21"/>
                    </w:rPr>
                    <w:t>/</w:t>
                  </w:r>
                </w:p>
              </w:tc>
              <w:tc>
                <w:tcPr>
                  <w:tcW w:w="1081" w:type="pct"/>
                </w:tcPr>
                <w:p>
                  <w:pPr>
                    <w:jc w:val="center"/>
                    <w:rPr>
                      <w:rFonts w:hAnsi="宋体"/>
                      <w:sz w:val="21"/>
                      <w:szCs w:val="21"/>
                    </w:rPr>
                  </w:pPr>
                  <w:r>
                    <w:rPr>
                      <w:rFonts w:hint="eastAsia" w:hAnsi="宋体"/>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6" w:type="pct"/>
                  <w:vMerge w:val="continue"/>
                </w:tcPr>
                <w:p>
                  <w:pPr>
                    <w:jc w:val="center"/>
                    <w:rPr>
                      <w:rFonts w:hAnsi="宋体"/>
                      <w:sz w:val="21"/>
                      <w:szCs w:val="21"/>
                    </w:rPr>
                  </w:pPr>
                </w:p>
              </w:tc>
              <w:tc>
                <w:tcPr>
                  <w:tcW w:w="571" w:type="pct"/>
                </w:tcPr>
                <w:p>
                  <w:pPr>
                    <w:jc w:val="center"/>
                    <w:rPr>
                      <w:sz w:val="21"/>
                      <w:szCs w:val="21"/>
                    </w:rPr>
                  </w:pPr>
                  <w:r>
                    <w:rPr>
                      <w:rFonts w:hint="eastAsia"/>
                      <w:sz w:val="21"/>
                      <w:szCs w:val="21"/>
                    </w:rPr>
                    <w:t>噪声</w:t>
                  </w:r>
                </w:p>
              </w:tc>
              <w:tc>
                <w:tcPr>
                  <w:tcW w:w="2592" w:type="pct"/>
                </w:tcPr>
                <w:p>
                  <w:pPr>
                    <w:jc w:val="center"/>
                    <w:rPr>
                      <w:rFonts w:hAnsi="宋体"/>
                      <w:sz w:val="21"/>
                      <w:szCs w:val="21"/>
                    </w:rPr>
                  </w:pPr>
                  <w:r>
                    <w:rPr>
                      <w:rFonts w:hint="eastAsia" w:hAnsi="宋体"/>
                      <w:sz w:val="21"/>
                      <w:szCs w:val="21"/>
                    </w:rPr>
                    <w:t>设备选型上应选用先进的、噪音低、振动小的生产设备；定期对设备进行</w:t>
                  </w:r>
                </w:p>
                <w:p>
                  <w:pPr>
                    <w:jc w:val="center"/>
                    <w:rPr>
                      <w:rFonts w:hAnsi="宋体"/>
                      <w:sz w:val="21"/>
                      <w:szCs w:val="21"/>
                    </w:rPr>
                  </w:pPr>
                  <w:r>
                    <w:rPr>
                      <w:rFonts w:hint="eastAsia" w:hAnsi="宋体"/>
                      <w:sz w:val="21"/>
                      <w:szCs w:val="21"/>
                    </w:rPr>
                    <w:t>维护和保养，保证水泵高效、稳定运行。</w:t>
                  </w:r>
                </w:p>
              </w:tc>
              <w:tc>
                <w:tcPr>
                  <w:tcW w:w="1081" w:type="pct"/>
                </w:tcPr>
                <w:p>
                  <w:pPr>
                    <w:jc w:val="center"/>
                    <w:rPr>
                      <w:rFonts w:hint="eastAsia" w:hAnsi="宋体" w:eastAsia="宋体"/>
                      <w:sz w:val="21"/>
                      <w:szCs w:val="21"/>
                      <w:lang w:eastAsia="zh-CN"/>
                    </w:rPr>
                  </w:pPr>
                  <w:r>
                    <w:rPr>
                      <w:rFonts w:hint="eastAsia" w:hAnsi="宋体"/>
                      <w:sz w:val="21"/>
                      <w:szCs w:val="21"/>
                      <w:lang w:val="en-US" w:eastAsia="zh-CN"/>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6" w:type="pct"/>
                  <w:vMerge w:val="continue"/>
                </w:tcPr>
                <w:p>
                  <w:pPr>
                    <w:jc w:val="center"/>
                    <w:rPr>
                      <w:rFonts w:hAnsi="宋体"/>
                      <w:sz w:val="21"/>
                      <w:szCs w:val="21"/>
                    </w:rPr>
                  </w:pPr>
                </w:p>
              </w:tc>
              <w:tc>
                <w:tcPr>
                  <w:tcW w:w="571" w:type="pct"/>
                </w:tcPr>
                <w:p>
                  <w:pPr>
                    <w:jc w:val="center"/>
                    <w:rPr>
                      <w:sz w:val="21"/>
                      <w:szCs w:val="21"/>
                    </w:rPr>
                  </w:pPr>
                  <w:r>
                    <w:rPr>
                      <w:rFonts w:hint="eastAsia"/>
                      <w:sz w:val="21"/>
                      <w:szCs w:val="21"/>
                    </w:rPr>
                    <w:t>固废</w:t>
                  </w:r>
                </w:p>
              </w:tc>
              <w:tc>
                <w:tcPr>
                  <w:tcW w:w="2592" w:type="pct"/>
                </w:tcPr>
                <w:p>
                  <w:pPr>
                    <w:jc w:val="center"/>
                    <w:rPr>
                      <w:rFonts w:hint="eastAsia" w:hAnsi="宋体" w:eastAsia="宋体"/>
                      <w:sz w:val="21"/>
                      <w:szCs w:val="21"/>
                      <w:lang w:eastAsia="zh-CN"/>
                    </w:rPr>
                  </w:pPr>
                  <w:r>
                    <w:rPr>
                      <w:rFonts w:hint="eastAsia" w:hAnsi="宋体"/>
                      <w:sz w:val="21"/>
                      <w:szCs w:val="21"/>
                      <w:lang w:eastAsia="zh-CN"/>
                    </w:rPr>
                    <w:t>泵站维修产生废机油，由维修人员带走</w:t>
                  </w:r>
                </w:p>
              </w:tc>
              <w:tc>
                <w:tcPr>
                  <w:tcW w:w="1081" w:type="pct"/>
                </w:tcPr>
                <w:p>
                  <w:pPr>
                    <w:jc w:val="center"/>
                    <w:rPr>
                      <w:rFonts w:hint="eastAsia" w:hAnsi="宋体" w:eastAsia="宋体"/>
                      <w:sz w:val="21"/>
                      <w:szCs w:val="21"/>
                      <w:lang w:eastAsia="zh-CN"/>
                    </w:rPr>
                  </w:pPr>
                  <w:r>
                    <w:rPr>
                      <w:rFonts w:hint="eastAsia" w:hAnsi="宋体"/>
                      <w:sz w:val="21"/>
                      <w:szCs w:val="21"/>
                      <w:lang w:val="en-US" w:eastAsia="zh-CN"/>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6" w:type="pct"/>
                  <w:vMerge w:val="continue"/>
                </w:tcPr>
                <w:p>
                  <w:pPr>
                    <w:jc w:val="center"/>
                    <w:rPr>
                      <w:rFonts w:hAnsi="宋体"/>
                      <w:sz w:val="21"/>
                      <w:szCs w:val="21"/>
                    </w:rPr>
                  </w:pPr>
                </w:p>
              </w:tc>
              <w:tc>
                <w:tcPr>
                  <w:tcW w:w="571" w:type="pct"/>
                </w:tcPr>
                <w:p>
                  <w:pPr>
                    <w:jc w:val="center"/>
                    <w:rPr>
                      <w:sz w:val="21"/>
                      <w:szCs w:val="21"/>
                    </w:rPr>
                  </w:pPr>
                  <w:r>
                    <w:rPr>
                      <w:rFonts w:hint="eastAsia"/>
                      <w:sz w:val="21"/>
                      <w:szCs w:val="21"/>
                    </w:rPr>
                    <w:t>生态影响</w:t>
                  </w:r>
                </w:p>
              </w:tc>
              <w:tc>
                <w:tcPr>
                  <w:tcW w:w="2592" w:type="pct"/>
                </w:tcPr>
                <w:p>
                  <w:pPr>
                    <w:jc w:val="center"/>
                    <w:rPr>
                      <w:rFonts w:hAnsi="宋体"/>
                      <w:sz w:val="21"/>
                      <w:szCs w:val="21"/>
                    </w:rPr>
                  </w:pPr>
                  <w:r>
                    <w:rPr>
                      <w:rFonts w:hint="eastAsia" w:hAnsi="宋体"/>
                      <w:sz w:val="21"/>
                      <w:szCs w:val="21"/>
                    </w:rPr>
                    <w:t>/</w:t>
                  </w:r>
                </w:p>
              </w:tc>
              <w:tc>
                <w:tcPr>
                  <w:tcW w:w="1081" w:type="pct"/>
                </w:tcPr>
                <w:p>
                  <w:pPr>
                    <w:jc w:val="center"/>
                    <w:rPr>
                      <w:rFonts w:hAnsi="宋体"/>
                      <w:sz w:val="21"/>
                      <w:szCs w:val="21"/>
                    </w:rPr>
                  </w:pPr>
                  <w:r>
                    <w:rPr>
                      <w:rFonts w:hint="eastAsia" w:hAnsi="宋体"/>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6" w:type="pct"/>
                  <w:vMerge w:val="continue"/>
                </w:tcPr>
                <w:p>
                  <w:pPr>
                    <w:jc w:val="center"/>
                    <w:rPr>
                      <w:rFonts w:hAnsi="宋体"/>
                      <w:sz w:val="21"/>
                      <w:szCs w:val="21"/>
                    </w:rPr>
                  </w:pPr>
                </w:p>
              </w:tc>
              <w:tc>
                <w:tcPr>
                  <w:tcW w:w="571" w:type="pct"/>
                </w:tcPr>
                <w:p>
                  <w:pPr>
                    <w:jc w:val="center"/>
                    <w:rPr>
                      <w:sz w:val="21"/>
                      <w:szCs w:val="21"/>
                    </w:rPr>
                  </w:pPr>
                  <w:r>
                    <w:rPr>
                      <w:rFonts w:hint="eastAsia"/>
                      <w:sz w:val="21"/>
                      <w:szCs w:val="21"/>
                    </w:rPr>
                    <w:t>环境管理</w:t>
                  </w:r>
                </w:p>
              </w:tc>
              <w:tc>
                <w:tcPr>
                  <w:tcW w:w="2592" w:type="pct"/>
                </w:tcPr>
                <w:p>
                  <w:pPr>
                    <w:jc w:val="center"/>
                    <w:rPr>
                      <w:rFonts w:hAnsi="宋体"/>
                      <w:sz w:val="21"/>
                      <w:szCs w:val="21"/>
                    </w:rPr>
                  </w:pPr>
                  <w:r>
                    <w:rPr>
                      <w:rFonts w:hint="eastAsia" w:hAnsi="宋体"/>
                      <w:sz w:val="21"/>
                      <w:szCs w:val="21"/>
                    </w:rPr>
                    <w:t>定期对场内设备进行检查和维护</w:t>
                  </w:r>
                </w:p>
                <w:p>
                  <w:pPr>
                    <w:jc w:val="center"/>
                    <w:rPr>
                      <w:rFonts w:hAnsi="宋体"/>
                      <w:sz w:val="21"/>
                      <w:szCs w:val="21"/>
                    </w:rPr>
                  </w:pPr>
                </w:p>
              </w:tc>
              <w:tc>
                <w:tcPr>
                  <w:tcW w:w="1081" w:type="pct"/>
                </w:tcPr>
                <w:p>
                  <w:pPr>
                    <w:jc w:val="center"/>
                    <w:rPr>
                      <w:rFonts w:hAnsi="宋体"/>
                      <w:sz w:val="21"/>
                      <w:szCs w:val="21"/>
                    </w:rPr>
                  </w:pPr>
                  <w:r>
                    <w:rPr>
                      <w:rFonts w:hint="eastAsia" w:hAnsi="宋体"/>
                      <w:sz w:val="21"/>
                      <w:szCs w:val="21"/>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6" w:type="pct"/>
                  <w:vMerge w:val="continue"/>
                </w:tcPr>
                <w:p>
                  <w:pPr>
                    <w:jc w:val="center"/>
                    <w:rPr>
                      <w:rFonts w:hAnsi="宋体"/>
                      <w:sz w:val="21"/>
                      <w:szCs w:val="21"/>
                    </w:rPr>
                  </w:pPr>
                </w:p>
              </w:tc>
              <w:tc>
                <w:tcPr>
                  <w:tcW w:w="571" w:type="pct"/>
                </w:tcPr>
                <w:p>
                  <w:pPr>
                    <w:jc w:val="center"/>
                    <w:rPr>
                      <w:sz w:val="21"/>
                      <w:szCs w:val="21"/>
                    </w:rPr>
                  </w:pPr>
                  <w:r>
                    <w:rPr>
                      <w:rFonts w:hint="eastAsia"/>
                      <w:sz w:val="21"/>
                      <w:szCs w:val="21"/>
                    </w:rPr>
                    <w:t>环境监测</w:t>
                  </w:r>
                </w:p>
              </w:tc>
              <w:tc>
                <w:tcPr>
                  <w:tcW w:w="2592" w:type="pct"/>
                </w:tcPr>
                <w:p>
                  <w:pPr>
                    <w:jc w:val="center"/>
                    <w:rPr>
                      <w:rFonts w:hAnsi="宋体"/>
                      <w:sz w:val="21"/>
                      <w:szCs w:val="21"/>
                    </w:rPr>
                  </w:pPr>
                  <w:r>
                    <w:rPr>
                      <w:rFonts w:hint="eastAsia" w:hAnsi="宋体"/>
                      <w:sz w:val="21"/>
                      <w:szCs w:val="21"/>
                    </w:rPr>
                    <w:t>委托具有资质的检测单位对全厂环境进行定期监测</w:t>
                  </w:r>
                </w:p>
              </w:tc>
              <w:tc>
                <w:tcPr>
                  <w:tcW w:w="1081" w:type="pct"/>
                </w:tcPr>
                <w:p>
                  <w:pPr>
                    <w:jc w:val="center"/>
                    <w:rPr>
                      <w:rFonts w:hAnsi="宋体"/>
                      <w:sz w:val="21"/>
                      <w:szCs w:val="21"/>
                    </w:rPr>
                  </w:pPr>
                  <w:r>
                    <w:rPr>
                      <w:rFonts w:hAnsi="宋体"/>
                      <w:sz w:val="21"/>
                      <w:szCs w:val="21"/>
                    </w:rPr>
                    <w:t>2</w:t>
                  </w:r>
                </w:p>
              </w:tc>
            </w:tr>
          </w:tbl>
          <w:p>
            <w:pPr>
              <w:spacing w:line="360" w:lineRule="auto"/>
              <w:rPr>
                <w:rFonts w:hAnsi="宋体"/>
              </w:rPr>
            </w:pPr>
          </w:p>
          <w:p>
            <w:pPr>
              <w:spacing w:line="360" w:lineRule="auto"/>
              <w:ind w:firstLine="482" w:firstLineChars="200"/>
              <w:rPr>
                <w:rFonts w:hAnsi="宋体"/>
                <w:b/>
              </w:rPr>
            </w:pPr>
            <w:r>
              <w:rPr>
                <w:rFonts w:hint="eastAsia" w:hAnsi="宋体"/>
                <w:b/>
              </w:rPr>
              <w:t>五、竣工验收</w:t>
            </w:r>
          </w:p>
          <w:p>
            <w:pPr>
              <w:spacing w:line="360" w:lineRule="auto"/>
              <w:ind w:firstLine="480" w:firstLineChars="200"/>
              <w:rPr>
                <w:rFonts w:hAnsi="宋体"/>
              </w:rPr>
            </w:pPr>
            <w:r>
              <w:rPr>
                <w:rFonts w:hint="eastAsia" w:hAnsi="宋体"/>
              </w:rPr>
              <w:t>根据《建设项目环境保护管理条例》中“第十七条 编制环境影响报告书、环境影响报告表的建设项目竣工后，建设单位应当按照国务院环境保护行政主管部门规定的标准和程序，对配套建设的环境保护设施进行验收，编制验收报告。”和“第十九条编制环境影响报告书、环境影响报告表的建设项目，其配套建设的环境保护设施经验收合格，方可投入生产或者使用；未经验收或者验收不合格的，不得投入生产或者使用。”</w:t>
            </w:r>
          </w:p>
          <w:p>
            <w:pPr>
              <w:spacing w:line="360" w:lineRule="auto"/>
              <w:ind w:firstLine="480" w:firstLineChars="200"/>
              <w:rPr>
                <w:rFonts w:hAnsi="宋体"/>
              </w:rPr>
            </w:pPr>
            <w:r>
              <w:rPr>
                <w:rFonts w:hint="eastAsia" w:hAnsi="宋体"/>
              </w:rPr>
              <w:t>根据《建设项目竣工环境保护验收暂行办法》（国环规环评[2017]4 号），水污染防治设施、大气污染防治设施和噪声污染防治设施由建设单位自主验收。新《中华人民共和国固体废物污染环境防治法》修改完成前应依法由环境保护部门对建设项目固体废物污染防治设施进行验收。</w:t>
            </w:r>
          </w:p>
          <w:p>
            <w:pPr>
              <w:jc w:val="center"/>
              <w:rPr>
                <w:b/>
              </w:rPr>
            </w:pPr>
            <w:r>
              <w:rPr>
                <w:rFonts w:hint="eastAsia"/>
                <w:b/>
              </w:rPr>
              <w:t>表7-</w:t>
            </w:r>
            <w:r>
              <w:rPr>
                <w:b/>
              </w:rPr>
              <w:t>5</w:t>
            </w:r>
            <w:r>
              <w:rPr>
                <w:rFonts w:hint="eastAsia"/>
                <w:b/>
              </w:rPr>
              <w:t>项目验收一览表</w:t>
            </w:r>
          </w:p>
          <w:tbl>
            <w:tblPr>
              <w:tblStyle w:val="45"/>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171"/>
              <w:gridCol w:w="1985"/>
              <w:gridCol w:w="3826"/>
              <w:gridCol w:w="209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5" w:type="pct"/>
                </w:tcPr>
                <w:p>
                  <w:pPr>
                    <w:rPr>
                      <w:sz w:val="21"/>
                      <w:szCs w:val="21"/>
                    </w:rPr>
                  </w:pPr>
                  <w:r>
                    <w:rPr>
                      <w:rFonts w:hint="eastAsia"/>
                      <w:sz w:val="21"/>
                      <w:szCs w:val="21"/>
                    </w:rPr>
                    <w:t>时段</w:t>
                  </w:r>
                </w:p>
              </w:tc>
              <w:tc>
                <w:tcPr>
                  <w:tcW w:w="1093" w:type="pct"/>
                </w:tcPr>
                <w:p>
                  <w:pPr>
                    <w:rPr>
                      <w:sz w:val="21"/>
                      <w:szCs w:val="21"/>
                    </w:rPr>
                  </w:pPr>
                  <w:r>
                    <w:rPr>
                      <w:rFonts w:hint="eastAsia"/>
                      <w:sz w:val="21"/>
                      <w:szCs w:val="21"/>
                    </w:rPr>
                    <w:t>项目</w:t>
                  </w:r>
                </w:p>
              </w:tc>
              <w:tc>
                <w:tcPr>
                  <w:tcW w:w="2107" w:type="pct"/>
                </w:tcPr>
                <w:p>
                  <w:pPr>
                    <w:rPr>
                      <w:sz w:val="21"/>
                      <w:szCs w:val="21"/>
                    </w:rPr>
                  </w:pPr>
                  <w:r>
                    <w:rPr>
                      <w:rFonts w:hint="eastAsia"/>
                      <w:sz w:val="21"/>
                      <w:szCs w:val="21"/>
                    </w:rPr>
                    <w:t>环保措施</w:t>
                  </w:r>
                </w:p>
              </w:tc>
              <w:tc>
                <w:tcPr>
                  <w:tcW w:w="1155" w:type="pct"/>
                </w:tcPr>
                <w:p>
                  <w:pPr>
                    <w:rPr>
                      <w:sz w:val="21"/>
                      <w:szCs w:val="21"/>
                    </w:rPr>
                  </w:pPr>
                  <w:r>
                    <w:rPr>
                      <w:rFonts w:hint="eastAsia"/>
                      <w:sz w:val="21"/>
                      <w:szCs w:val="21"/>
                    </w:rPr>
                    <w:t>验收标准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5" w:type="pct"/>
                  <w:vMerge w:val="restart"/>
                </w:tcPr>
                <w:p>
                  <w:pPr>
                    <w:rPr>
                      <w:sz w:val="21"/>
                      <w:szCs w:val="21"/>
                    </w:rPr>
                  </w:pPr>
                  <w:r>
                    <w:rPr>
                      <w:rFonts w:hint="eastAsia"/>
                      <w:sz w:val="21"/>
                      <w:szCs w:val="21"/>
                    </w:rPr>
                    <w:t>施工期</w:t>
                  </w:r>
                </w:p>
              </w:tc>
              <w:tc>
                <w:tcPr>
                  <w:tcW w:w="1093" w:type="pct"/>
                </w:tcPr>
                <w:p>
                  <w:pPr>
                    <w:ind w:right="319" w:rightChars="133"/>
                    <w:rPr>
                      <w:sz w:val="21"/>
                      <w:szCs w:val="21"/>
                    </w:rPr>
                  </w:pPr>
                  <w:r>
                    <w:rPr>
                      <w:rFonts w:hint="eastAsia"/>
                      <w:sz w:val="21"/>
                      <w:szCs w:val="21"/>
                    </w:rPr>
                    <w:t>废水处理</w:t>
                  </w:r>
                </w:p>
              </w:tc>
              <w:tc>
                <w:tcPr>
                  <w:tcW w:w="2107" w:type="pct"/>
                </w:tcPr>
                <w:p>
                  <w:pPr>
                    <w:rPr>
                      <w:sz w:val="21"/>
                      <w:szCs w:val="21"/>
                    </w:rPr>
                  </w:pPr>
                  <w:r>
                    <w:rPr>
                      <w:rFonts w:hint="eastAsia"/>
                      <w:sz w:val="21"/>
                      <w:szCs w:val="21"/>
                    </w:rPr>
                    <w:t xml:space="preserve">试压废水经过沉淀处理后用于施工或抑尘 </w:t>
                  </w:r>
                </w:p>
              </w:tc>
              <w:tc>
                <w:tcPr>
                  <w:tcW w:w="1155" w:type="pct"/>
                </w:tcPr>
                <w:p>
                  <w:pP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5" w:type="pct"/>
                  <w:vMerge w:val="continue"/>
                </w:tcPr>
                <w:p>
                  <w:pPr>
                    <w:rPr>
                      <w:sz w:val="21"/>
                      <w:szCs w:val="21"/>
                    </w:rPr>
                  </w:pPr>
                </w:p>
              </w:tc>
              <w:tc>
                <w:tcPr>
                  <w:tcW w:w="1093" w:type="pct"/>
                </w:tcPr>
                <w:p>
                  <w:pPr>
                    <w:rPr>
                      <w:sz w:val="21"/>
                      <w:szCs w:val="21"/>
                    </w:rPr>
                  </w:pPr>
                  <w:r>
                    <w:rPr>
                      <w:rFonts w:hint="eastAsia"/>
                      <w:sz w:val="21"/>
                      <w:szCs w:val="21"/>
                    </w:rPr>
                    <w:t>废气处理</w:t>
                  </w:r>
                </w:p>
              </w:tc>
              <w:tc>
                <w:tcPr>
                  <w:tcW w:w="2107" w:type="pct"/>
                </w:tcPr>
                <w:p>
                  <w:pPr>
                    <w:rPr>
                      <w:sz w:val="21"/>
                      <w:szCs w:val="21"/>
                    </w:rPr>
                  </w:pPr>
                  <w:r>
                    <w:rPr>
                      <w:rFonts w:hint="eastAsia"/>
                      <w:sz w:val="21"/>
                      <w:szCs w:val="21"/>
                    </w:rPr>
                    <w:t>定时对表土堆场覆 盖、施工便道并进行洒水降尘</w:t>
                  </w:r>
                </w:p>
              </w:tc>
              <w:tc>
                <w:tcPr>
                  <w:tcW w:w="1155" w:type="pct"/>
                </w:tcPr>
                <w:p>
                  <w:pP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5" w:type="pct"/>
                  <w:vMerge w:val="continue"/>
                </w:tcPr>
                <w:p>
                  <w:pPr>
                    <w:rPr>
                      <w:sz w:val="21"/>
                      <w:szCs w:val="21"/>
                    </w:rPr>
                  </w:pPr>
                </w:p>
              </w:tc>
              <w:tc>
                <w:tcPr>
                  <w:tcW w:w="1093" w:type="pct"/>
                </w:tcPr>
                <w:p>
                  <w:pPr>
                    <w:rPr>
                      <w:sz w:val="21"/>
                      <w:szCs w:val="21"/>
                    </w:rPr>
                  </w:pPr>
                  <w:r>
                    <w:rPr>
                      <w:rFonts w:hint="eastAsia"/>
                      <w:sz w:val="21"/>
                      <w:szCs w:val="21"/>
                    </w:rPr>
                    <w:t>固废处理</w:t>
                  </w:r>
                </w:p>
              </w:tc>
              <w:tc>
                <w:tcPr>
                  <w:tcW w:w="2107" w:type="pct"/>
                </w:tcPr>
                <w:p>
                  <w:pPr>
                    <w:rPr>
                      <w:rFonts w:hint="eastAsia" w:eastAsia="宋体"/>
                      <w:sz w:val="21"/>
                      <w:szCs w:val="21"/>
                      <w:lang w:eastAsia="zh-CN"/>
                    </w:rPr>
                  </w:pPr>
                  <w:r>
                    <w:rPr>
                      <w:rFonts w:hint="eastAsia"/>
                      <w:sz w:val="21"/>
                      <w:szCs w:val="21"/>
                    </w:rPr>
                    <w:t>弃方用于修筑施工便道；表土临时堆存，用于后期 覆土；建筑垃圾集中收集，尽量回收，不能回收的 运至建渣场处理；</w:t>
                  </w:r>
                  <w:r>
                    <w:rPr>
                      <w:rFonts w:hint="eastAsia"/>
                      <w:sz w:val="21"/>
                      <w:szCs w:val="21"/>
                      <w:lang w:eastAsia="zh-CN"/>
                    </w:rPr>
                    <w:t>废污泥运送至一般固体废物填埋场处置</w:t>
                  </w:r>
                </w:p>
              </w:tc>
              <w:tc>
                <w:tcPr>
                  <w:tcW w:w="1155" w:type="pct"/>
                </w:tcPr>
                <w:p>
                  <w:pP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5" w:type="pct"/>
                  <w:vMerge w:val="continue"/>
                </w:tcPr>
                <w:p>
                  <w:pPr>
                    <w:rPr>
                      <w:sz w:val="21"/>
                      <w:szCs w:val="21"/>
                    </w:rPr>
                  </w:pPr>
                </w:p>
              </w:tc>
              <w:tc>
                <w:tcPr>
                  <w:tcW w:w="1093" w:type="pct"/>
                </w:tcPr>
                <w:p>
                  <w:pPr>
                    <w:rPr>
                      <w:sz w:val="21"/>
                      <w:szCs w:val="21"/>
                    </w:rPr>
                  </w:pPr>
                  <w:r>
                    <w:rPr>
                      <w:rFonts w:hint="eastAsia"/>
                      <w:sz w:val="21"/>
                      <w:szCs w:val="21"/>
                    </w:rPr>
                    <w:t>噪声防治</w:t>
                  </w:r>
                </w:p>
              </w:tc>
              <w:tc>
                <w:tcPr>
                  <w:tcW w:w="2107" w:type="pct"/>
                </w:tcPr>
                <w:p>
                  <w:pPr>
                    <w:rPr>
                      <w:sz w:val="21"/>
                      <w:szCs w:val="21"/>
                    </w:rPr>
                  </w:pPr>
                  <w:r>
                    <w:rPr>
                      <w:rFonts w:hint="eastAsia"/>
                      <w:sz w:val="21"/>
                      <w:szCs w:val="21"/>
                    </w:rPr>
                    <w:t>尽量采用低噪声机械设备；打围施工；合理安排施 工物料的运输时间；夜间 22 时至凌晨 6 时应禁止施 工；</w:t>
                  </w:r>
                </w:p>
              </w:tc>
              <w:tc>
                <w:tcPr>
                  <w:tcW w:w="1155" w:type="pct"/>
                </w:tcPr>
                <w:p>
                  <w:pPr>
                    <w:rPr>
                      <w:sz w:val="21"/>
                      <w:szCs w:val="21"/>
                    </w:rPr>
                  </w:pPr>
                  <w:r>
                    <w:rPr>
                      <w:rFonts w:hint="eastAsia"/>
                      <w:sz w:val="21"/>
                      <w:szCs w:val="21"/>
                    </w:rPr>
                    <w:t>《建筑施工场界 环境噪声排放标 准》</w:t>
                  </w:r>
                </w:p>
                <w:p>
                  <w:pPr>
                    <w:rPr>
                      <w:sz w:val="21"/>
                      <w:szCs w:val="21"/>
                    </w:rPr>
                  </w:pPr>
                  <w:r>
                    <w:rPr>
                      <w:rFonts w:hint="eastAsia"/>
                      <w:sz w:val="21"/>
                      <w:szCs w:val="21"/>
                    </w:rPr>
                    <w:t>（GB12523- 2011）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5" w:type="pct"/>
                  <w:vMerge w:val="continue"/>
                </w:tcPr>
                <w:p>
                  <w:pPr>
                    <w:rPr>
                      <w:sz w:val="21"/>
                      <w:szCs w:val="21"/>
                    </w:rPr>
                  </w:pPr>
                </w:p>
              </w:tc>
              <w:tc>
                <w:tcPr>
                  <w:tcW w:w="1093" w:type="pct"/>
                </w:tcPr>
                <w:p>
                  <w:pPr>
                    <w:rPr>
                      <w:sz w:val="21"/>
                      <w:szCs w:val="21"/>
                    </w:rPr>
                  </w:pPr>
                  <w:r>
                    <w:rPr>
                      <w:rFonts w:hint="eastAsia"/>
                      <w:sz w:val="21"/>
                      <w:szCs w:val="21"/>
                    </w:rPr>
                    <w:t>生态环境</w:t>
                  </w:r>
                </w:p>
              </w:tc>
              <w:tc>
                <w:tcPr>
                  <w:tcW w:w="2107" w:type="pct"/>
                </w:tcPr>
                <w:p>
                  <w:pPr>
                    <w:rPr>
                      <w:sz w:val="21"/>
                      <w:szCs w:val="21"/>
                    </w:rPr>
                  </w:pPr>
                  <w:r>
                    <w:rPr>
                      <w:rFonts w:hint="eastAsia"/>
                      <w:sz w:val="21"/>
                      <w:szCs w:val="21"/>
                    </w:rPr>
                    <w:t>要求施工过程中严格控制占地，减 少现有植被破坏，不允许捕杀野生动物。施工结束 后及时进行植被恢复或复垦和场内的绿化</w:t>
                  </w:r>
                </w:p>
              </w:tc>
              <w:tc>
                <w:tcPr>
                  <w:tcW w:w="1155" w:type="pct"/>
                </w:tcPr>
                <w:p>
                  <w:pP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5" w:type="pct"/>
                  <w:vMerge w:val="restart"/>
                </w:tcPr>
                <w:p>
                  <w:pPr>
                    <w:rPr>
                      <w:sz w:val="21"/>
                      <w:szCs w:val="21"/>
                    </w:rPr>
                  </w:pPr>
                  <w:r>
                    <w:rPr>
                      <w:rFonts w:hint="eastAsia"/>
                      <w:sz w:val="21"/>
                      <w:szCs w:val="21"/>
                    </w:rPr>
                    <w:t>营运期</w:t>
                  </w:r>
                </w:p>
              </w:tc>
              <w:tc>
                <w:tcPr>
                  <w:tcW w:w="1093" w:type="pct"/>
                </w:tcPr>
                <w:p>
                  <w:pPr>
                    <w:rPr>
                      <w:sz w:val="21"/>
                      <w:szCs w:val="21"/>
                    </w:rPr>
                  </w:pPr>
                  <w:r>
                    <w:rPr>
                      <w:rFonts w:hint="eastAsia"/>
                      <w:sz w:val="21"/>
                      <w:szCs w:val="21"/>
                    </w:rPr>
                    <w:t>废水处理</w:t>
                  </w:r>
                </w:p>
              </w:tc>
              <w:tc>
                <w:tcPr>
                  <w:tcW w:w="2107" w:type="pct"/>
                </w:tcPr>
                <w:p>
                  <w:pPr>
                    <w:rPr>
                      <w:sz w:val="21"/>
                      <w:szCs w:val="21"/>
                    </w:rPr>
                  </w:pPr>
                  <w:r>
                    <w:rPr>
                      <w:rFonts w:hint="eastAsia"/>
                      <w:sz w:val="21"/>
                      <w:szCs w:val="21"/>
                    </w:rPr>
                    <w:t>无</w:t>
                  </w:r>
                </w:p>
              </w:tc>
              <w:tc>
                <w:tcPr>
                  <w:tcW w:w="1155" w:type="pct"/>
                </w:tcPr>
                <w:p>
                  <w:pP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5" w:type="pct"/>
                  <w:vMerge w:val="continue"/>
                </w:tcPr>
                <w:p>
                  <w:pPr>
                    <w:rPr>
                      <w:sz w:val="21"/>
                      <w:szCs w:val="21"/>
                    </w:rPr>
                  </w:pPr>
                </w:p>
              </w:tc>
              <w:tc>
                <w:tcPr>
                  <w:tcW w:w="1093" w:type="pct"/>
                </w:tcPr>
                <w:p>
                  <w:pPr>
                    <w:rPr>
                      <w:sz w:val="21"/>
                      <w:szCs w:val="21"/>
                    </w:rPr>
                  </w:pPr>
                  <w:r>
                    <w:rPr>
                      <w:rFonts w:hint="eastAsia"/>
                      <w:sz w:val="21"/>
                      <w:szCs w:val="21"/>
                    </w:rPr>
                    <w:t>废气处理</w:t>
                  </w:r>
                </w:p>
              </w:tc>
              <w:tc>
                <w:tcPr>
                  <w:tcW w:w="2107" w:type="pct"/>
                </w:tcPr>
                <w:p>
                  <w:pPr>
                    <w:rPr>
                      <w:sz w:val="21"/>
                      <w:szCs w:val="21"/>
                    </w:rPr>
                  </w:pPr>
                  <w:r>
                    <w:rPr>
                      <w:rFonts w:hint="eastAsia"/>
                      <w:sz w:val="21"/>
                      <w:szCs w:val="21"/>
                    </w:rPr>
                    <w:t>无</w:t>
                  </w:r>
                </w:p>
              </w:tc>
              <w:tc>
                <w:tcPr>
                  <w:tcW w:w="1155" w:type="pct"/>
                </w:tcPr>
                <w:p>
                  <w:pP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5" w:type="pct"/>
                  <w:vMerge w:val="continue"/>
                </w:tcPr>
                <w:p>
                  <w:pPr>
                    <w:rPr>
                      <w:sz w:val="21"/>
                      <w:szCs w:val="21"/>
                    </w:rPr>
                  </w:pPr>
                </w:p>
              </w:tc>
              <w:tc>
                <w:tcPr>
                  <w:tcW w:w="1093" w:type="pct"/>
                </w:tcPr>
                <w:p>
                  <w:pPr>
                    <w:rPr>
                      <w:sz w:val="21"/>
                      <w:szCs w:val="21"/>
                    </w:rPr>
                  </w:pPr>
                  <w:r>
                    <w:rPr>
                      <w:rFonts w:hint="eastAsia"/>
                      <w:sz w:val="21"/>
                      <w:szCs w:val="21"/>
                    </w:rPr>
                    <w:t>固废处理</w:t>
                  </w:r>
                </w:p>
              </w:tc>
              <w:tc>
                <w:tcPr>
                  <w:tcW w:w="2107" w:type="pct"/>
                </w:tcPr>
                <w:p>
                  <w:pPr>
                    <w:rPr>
                      <w:rFonts w:hint="eastAsia" w:eastAsia="宋体"/>
                      <w:sz w:val="21"/>
                      <w:szCs w:val="21"/>
                      <w:highlight w:val="none"/>
                      <w:lang w:eastAsia="zh-CN"/>
                    </w:rPr>
                  </w:pPr>
                  <w:r>
                    <w:rPr>
                      <w:rFonts w:hint="eastAsia"/>
                      <w:sz w:val="21"/>
                      <w:szCs w:val="21"/>
                      <w:highlight w:val="none"/>
                      <w:lang w:eastAsia="zh-CN"/>
                    </w:rPr>
                    <w:t>泵站维修产生废机油由维修人员带走</w:t>
                  </w:r>
                </w:p>
              </w:tc>
              <w:tc>
                <w:tcPr>
                  <w:tcW w:w="1155" w:type="pct"/>
                </w:tcPr>
                <w:p>
                  <w:pPr>
                    <w:rPr>
                      <w:sz w:val="21"/>
                      <w:szCs w:val="21"/>
                    </w:rPr>
                  </w:pPr>
                  <w:r>
                    <w:rPr>
                      <w:rFonts w:hint="eastAsia"/>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5" w:type="pct"/>
                  <w:vMerge w:val="continue"/>
                </w:tcPr>
                <w:p>
                  <w:pPr>
                    <w:rPr>
                      <w:sz w:val="21"/>
                      <w:szCs w:val="21"/>
                    </w:rPr>
                  </w:pPr>
                </w:p>
              </w:tc>
              <w:tc>
                <w:tcPr>
                  <w:tcW w:w="1093" w:type="pct"/>
                </w:tcPr>
                <w:p>
                  <w:pPr>
                    <w:rPr>
                      <w:sz w:val="21"/>
                      <w:szCs w:val="21"/>
                    </w:rPr>
                  </w:pPr>
                  <w:r>
                    <w:rPr>
                      <w:rFonts w:hint="eastAsia"/>
                      <w:sz w:val="21"/>
                      <w:szCs w:val="21"/>
                    </w:rPr>
                    <w:t>噪声防治</w:t>
                  </w:r>
                </w:p>
              </w:tc>
              <w:tc>
                <w:tcPr>
                  <w:tcW w:w="2107" w:type="pct"/>
                </w:tcPr>
                <w:p>
                  <w:pPr>
                    <w:rPr>
                      <w:sz w:val="21"/>
                      <w:szCs w:val="21"/>
                    </w:rPr>
                  </w:pPr>
                  <w:r>
                    <w:rPr>
                      <w:rFonts w:hint="eastAsia"/>
                      <w:sz w:val="21"/>
                      <w:szCs w:val="21"/>
                    </w:rPr>
                    <w:t>（1）设备选型上应选用先进的、噪音低、振动小的 生产设备；（</w:t>
                  </w:r>
                  <w:r>
                    <w:rPr>
                      <w:sz w:val="21"/>
                      <w:szCs w:val="21"/>
                    </w:rPr>
                    <w:t>2</w:t>
                  </w:r>
                  <w:r>
                    <w:rPr>
                      <w:rFonts w:hint="eastAsia"/>
                      <w:sz w:val="21"/>
                      <w:szCs w:val="21"/>
                    </w:rPr>
                    <w:t>）定期对设备进行维护 和保养，保证水泵高效、稳定运行。</w:t>
                  </w:r>
                </w:p>
              </w:tc>
              <w:tc>
                <w:tcPr>
                  <w:tcW w:w="1155" w:type="pct"/>
                </w:tcPr>
                <w:p>
                  <w:pPr>
                    <w:rPr>
                      <w:sz w:val="21"/>
                      <w:szCs w:val="21"/>
                    </w:rPr>
                  </w:pPr>
                  <w:r>
                    <w:rPr>
                      <w:rFonts w:hint="eastAsia"/>
                      <w:sz w:val="21"/>
                      <w:szCs w:val="21"/>
                    </w:rPr>
                    <w:t>《工业企业厂界 环境噪声排放标 准》</w:t>
                  </w:r>
                </w:p>
                <w:p>
                  <w:pPr>
                    <w:rPr>
                      <w:sz w:val="21"/>
                      <w:szCs w:val="21"/>
                    </w:rPr>
                  </w:pPr>
                  <w:r>
                    <w:rPr>
                      <w:rFonts w:hint="eastAsia"/>
                      <w:sz w:val="21"/>
                      <w:szCs w:val="21"/>
                    </w:rPr>
                    <w:t>（GB12348-</w:t>
                  </w:r>
                </w:p>
                <w:p>
                  <w:pPr>
                    <w:rPr>
                      <w:sz w:val="21"/>
                      <w:szCs w:val="21"/>
                    </w:rPr>
                  </w:pPr>
                  <w:r>
                    <w:rPr>
                      <w:rFonts w:hint="eastAsia"/>
                      <w:sz w:val="21"/>
                      <w:szCs w:val="21"/>
                    </w:rPr>
                    <w:t>2008）的 2 类</w:t>
                  </w:r>
                </w:p>
              </w:tc>
            </w:tr>
          </w:tbl>
          <w:p/>
        </w:tc>
      </w:tr>
    </w:tbl>
    <w:p>
      <w:pPr>
        <w:spacing w:line="360" w:lineRule="auto"/>
        <w:rPr>
          <w:b/>
          <w:color w:val="000000" w:themeColor="text1"/>
          <w:sz w:val="30"/>
          <w14:textFill>
            <w14:solidFill>
              <w14:schemeClr w14:val="tx1"/>
            </w14:solidFill>
          </w14:textFill>
        </w:rPr>
        <w:sectPr>
          <w:pgSz w:w="11906" w:h="16838"/>
          <w:pgMar w:top="1304" w:right="1418" w:bottom="1304" w:left="1418" w:header="851" w:footer="992" w:gutter="0"/>
          <w:cols w:space="425" w:num="1"/>
          <w:docGrid w:type="lines" w:linePitch="326" w:charSpace="0"/>
        </w:sectPr>
      </w:pPr>
    </w:p>
    <w:p>
      <w:pPr>
        <w:snapToGrid w:val="0"/>
        <w:spacing w:line="276" w:lineRule="auto"/>
        <w:outlineLvl w:val="0"/>
        <w:rPr>
          <w:b/>
          <w:color w:val="000000" w:themeColor="text1"/>
          <w:sz w:val="30"/>
          <w14:textFill>
            <w14:solidFill>
              <w14:schemeClr w14:val="tx1"/>
            </w14:solidFill>
          </w14:textFill>
        </w:rPr>
      </w:pPr>
      <w:bookmarkStart w:id="25" w:name="_Toc523322731"/>
      <w:r>
        <w:rPr>
          <w:b/>
          <w:color w:val="000000" w:themeColor="text1"/>
          <w:sz w:val="30"/>
          <w14:textFill>
            <w14:solidFill>
              <w14:schemeClr w14:val="tx1"/>
            </w14:solidFill>
          </w14:textFill>
        </w:rPr>
        <w:t>八、建设项目拟采取的防治措施及预期治理效果</w:t>
      </w:r>
      <w:bookmarkEnd w:id="25"/>
    </w:p>
    <w:tbl>
      <w:tblPr>
        <w:tblStyle w:val="44"/>
        <w:tblW w:w="9427"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46"/>
        <w:gridCol w:w="1151"/>
        <w:gridCol w:w="1087"/>
        <w:gridCol w:w="1463"/>
        <w:gridCol w:w="2737"/>
        <w:gridCol w:w="214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846" w:type="dxa"/>
            <w:tcBorders>
              <w:tl2br w:val="single" w:color="auto" w:sz="6" w:space="0"/>
            </w:tcBorders>
          </w:tcPr>
          <w:p>
            <w:pPr>
              <w:pStyle w:val="60"/>
              <w:rPr>
                <w:b/>
                <w:color w:val="000000" w:themeColor="text1"/>
                <w:sz w:val="24"/>
                <w14:textFill>
                  <w14:solidFill>
                    <w14:schemeClr w14:val="tx1"/>
                  </w14:solidFill>
                </w14:textFill>
              </w:rPr>
            </w:pPr>
            <w:r>
              <w:rPr>
                <w:b/>
                <w:color w:val="000000" w:themeColor="text1"/>
                <w:sz w:val="24"/>
                <w14:textFill>
                  <w14:solidFill>
                    <w14:schemeClr w14:val="tx1"/>
                  </w14:solidFill>
                </w14:textFill>
              </w:rPr>
              <w:t>内容</w:t>
            </w:r>
          </w:p>
          <w:p>
            <w:pPr>
              <w:pStyle w:val="60"/>
              <w:jc w:val="both"/>
              <w:rPr>
                <w:b/>
                <w:color w:val="000000" w:themeColor="text1"/>
                <w:sz w:val="24"/>
                <w14:textFill>
                  <w14:solidFill>
                    <w14:schemeClr w14:val="tx1"/>
                  </w14:solidFill>
                </w14:textFill>
              </w:rPr>
            </w:pPr>
            <w:r>
              <w:rPr>
                <w:b/>
                <w:color w:val="000000" w:themeColor="text1"/>
                <w:sz w:val="24"/>
                <w14:textFill>
                  <w14:solidFill>
                    <w14:schemeClr w14:val="tx1"/>
                  </w14:solidFill>
                </w14:textFill>
              </w:rPr>
              <w:t>类型</w:t>
            </w:r>
          </w:p>
        </w:tc>
        <w:tc>
          <w:tcPr>
            <w:tcW w:w="2238" w:type="dxa"/>
            <w:gridSpan w:val="2"/>
            <w:vAlign w:val="center"/>
          </w:tcPr>
          <w:p>
            <w:pPr>
              <w:pStyle w:val="60"/>
              <w:rPr>
                <w:b/>
                <w:color w:val="000000" w:themeColor="text1"/>
                <w:sz w:val="24"/>
                <w14:textFill>
                  <w14:solidFill>
                    <w14:schemeClr w14:val="tx1"/>
                  </w14:solidFill>
                </w14:textFill>
              </w:rPr>
            </w:pPr>
            <w:r>
              <w:rPr>
                <w:b/>
                <w:color w:val="000000" w:themeColor="text1"/>
                <w:sz w:val="24"/>
                <w14:textFill>
                  <w14:solidFill>
                    <w14:schemeClr w14:val="tx1"/>
                  </w14:solidFill>
                </w14:textFill>
              </w:rPr>
              <w:t>排放源</w:t>
            </w:r>
          </w:p>
          <w:p>
            <w:pPr>
              <w:pStyle w:val="60"/>
              <w:rPr>
                <w:b/>
                <w:color w:val="000000" w:themeColor="text1"/>
                <w:sz w:val="24"/>
                <w14:textFill>
                  <w14:solidFill>
                    <w14:schemeClr w14:val="tx1"/>
                  </w14:solidFill>
                </w14:textFill>
              </w:rPr>
            </w:pPr>
            <w:r>
              <w:rPr>
                <w:b/>
                <w:color w:val="000000" w:themeColor="text1"/>
                <w:sz w:val="24"/>
                <w14:textFill>
                  <w14:solidFill>
                    <w14:schemeClr w14:val="tx1"/>
                  </w14:solidFill>
                </w14:textFill>
              </w:rPr>
              <w:t>(编号)</w:t>
            </w:r>
          </w:p>
        </w:tc>
        <w:tc>
          <w:tcPr>
            <w:tcW w:w="1463" w:type="dxa"/>
            <w:vAlign w:val="center"/>
          </w:tcPr>
          <w:p>
            <w:pPr>
              <w:pStyle w:val="60"/>
              <w:rPr>
                <w:b/>
                <w:color w:val="000000" w:themeColor="text1"/>
                <w:sz w:val="24"/>
                <w14:textFill>
                  <w14:solidFill>
                    <w14:schemeClr w14:val="tx1"/>
                  </w14:solidFill>
                </w14:textFill>
              </w:rPr>
            </w:pPr>
            <w:r>
              <w:rPr>
                <w:b/>
                <w:color w:val="000000" w:themeColor="text1"/>
                <w:sz w:val="24"/>
                <w14:textFill>
                  <w14:solidFill>
                    <w14:schemeClr w14:val="tx1"/>
                  </w14:solidFill>
                </w14:textFill>
              </w:rPr>
              <w:t>污染物名称</w:t>
            </w:r>
          </w:p>
        </w:tc>
        <w:tc>
          <w:tcPr>
            <w:tcW w:w="2737" w:type="dxa"/>
            <w:vAlign w:val="center"/>
          </w:tcPr>
          <w:p>
            <w:pPr>
              <w:pStyle w:val="60"/>
              <w:rPr>
                <w:b/>
                <w:color w:val="000000" w:themeColor="text1"/>
                <w:sz w:val="24"/>
                <w14:textFill>
                  <w14:solidFill>
                    <w14:schemeClr w14:val="tx1"/>
                  </w14:solidFill>
                </w14:textFill>
              </w:rPr>
            </w:pPr>
            <w:r>
              <w:rPr>
                <w:b/>
                <w:color w:val="000000" w:themeColor="text1"/>
                <w:sz w:val="24"/>
                <w14:textFill>
                  <w14:solidFill>
                    <w14:schemeClr w14:val="tx1"/>
                  </w14:solidFill>
                </w14:textFill>
              </w:rPr>
              <w:t>防治措施</w:t>
            </w:r>
          </w:p>
        </w:tc>
        <w:tc>
          <w:tcPr>
            <w:tcW w:w="2143" w:type="dxa"/>
            <w:vAlign w:val="center"/>
          </w:tcPr>
          <w:p>
            <w:pPr>
              <w:pStyle w:val="60"/>
              <w:rPr>
                <w:b/>
                <w:color w:val="000000" w:themeColor="text1"/>
                <w:sz w:val="24"/>
                <w14:textFill>
                  <w14:solidFill>
                    <w14:schemeClr w14:val="tx1"/>
                  </w14:solidFill>
                </w14:textFill>
              </w:rPr>
            </w:pPr>
            <w:r>
              <w:rPr>
                <w:b/>
                <w:color w:val="000000" w:themeColor="text1"/>
                <w:sz w:val="24"/>
                <w14:textFill>
                  <w14:solidFill>
                    <w14:schemeClr w14:val="tx1"/>
                  </w14:solidFill>
                </w14:textFill>
              </w:rPr>
              <w:t>预期治理效果</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9" w:hRule="atLeast"/>
        </w:trPr>
        <w:tc>
          <w:tcPr>
            <w:tcW w:w="846" w:type="dxa"/>
            <w:vMerge w:val="restart"/>
            <w:vAlign w:val="center"/>
          </w:tcPr>
          <w:p>
            <w:pPr>
              <w:pStyle w:val="60"/>
              <w:rPr>
                <w:b/>
                <w:color w:val="000000" w:themeColor="text1"/>
                <w:sz w:val="24"/>
                <w14:textFill>
                  <w14:solidFill>
                    <w14:schemeClr w14:val="tx1"/>
                  </w14:solidFill>
                </w14:textFill>
              </w:rPr>
            </w:pPr>
            <w:r>
              <w:rPr>
                <w:b/>
                <w:color w:val="000000" w:themeColor="text1"/>
                <w:sz w:val="24"/>
                <w14:textFill>
                  <w14:solidFill>
                    <w14:schemeClr w14:val="tx1"/>
                  </w14:solidFill>
                </w14:textFill>
              </w:rPr>
              <w:t>水</w:t>
            </w:r>
            <w:r>
              <w:rPr>
                <w:rFonts w:hint="eastAsia"/>
                <w:b/>
                <w:color w:val="000000" w:themeColor="text1"/>
                <w:sz w:val="24"/>
                <w14:textFill>
                  <w14:solidFill>
                    <w14:schemeClr w14:val="tx1"/>
                  </w14:solidFill>
                </w14:textFill>
              </w:rPr>
              <w:t>污</w:t>
            </w:r>
          </w:p>
          <w:p>
            <w:pPr>
              <w:pStyle w:val="60"/>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染物</w:t>
            </w:r>
          </w:p>
        </w:tc>
        <w:tc>
          <w:tcPr>
            <w:tcW w:w="1151" w:type="dxa"/>
            <w:vMerge w:val="restart"/>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施工期</w:t>
            </w:r>
          </w:p>
        </w:tc>
        <w:tc>
          <w:tcPr>
            <w:tcW w:w="1087" w:type="dxa"/>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施工废水</w:t>
            </w:r>
          </w:p>
        </w:tc>
        <w:tc>
          <w:tcPr>
            <w:tcW w:w="1463" w:type="dxa"/>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SS</w:t>
            </w:r>
          </w:p>
        </w:tc>
        <w:tc>
          <w:tcPr>
            <w:tcW w:w="2737" w:type="dxa"/>
            <w:tcBorders>
              <w:bottom w:val="single" w:color="auto" w:sz="4" w:space="0"/>
            </w:tcBorders>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由于水分大部分蒸发和土壤吸收，基本无废水产生</w:t>
            </w:r>
          </w:p>
        </w:tc>
        <w:tc>
          <w:tcPr>
            <w:tcW w:w="2143" w:type="dxa"/>
            <w:vMerge w:val="restart"/>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对环境影响小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8" w:hRule="atLeast"/>
        </w:trPr>
        <w:tc>
          <w:tcPr>
            <w:tcW w:w="846" w:type="dxa"/>
            <w:vMerge w:val="continue"/>
            <w:vAlign w:val="center"/>
          </w:tcPr>
          <w:p>
            <w:pPr>
              <w:pStyle w:val="60"/>
              <w:rPr>
                <w:b/>
                <w:color w:val="000000" w:themeColor="text1"/>
                <w:sz w:val="24"/>
                <w14:textFill>
                  <w14:solidFill>
                    <w14:schemeClr w14:val="tx1"/>
                  </w14:solidFill>
                </w14:textFill>
              </w:rPr>
            </w:pPr>
          </w:p>
        </w:tc>
        <w:tc>
          <w:tcPr>
            <w:tcW w:w="1151" w:type="dxa"/>
            <w:vMerge w:val="continue"/>
            <w:vAlign w:val="center"/>
          </w:tcPr>
          <w:p>
            <w:pPr>
              <w:pStyle w:val="60"/>
            </w:pPr>
          </w:p>
        </w:tc>
        <w:tc>
          <w:tcPr>
            <w:tcW w:w="1087" w:type="dxa"/>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试压废水</w:t>
            </w:r>
          </w:p>
        </w:tc>
        <w:tc>
          <w:tcPr>
            <w:tcW w:w="1463" w:type="dxa"/>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S</w:t>
            </w:r>
            <w:r>
              <w:rPr>
                <w:color w:val="000000" w:themeColor="text1"/>
                <w:sz w:val="21"/>
                <w:szCs w:val="21"/>
                <w14:textFill>
                  <w14:solidFill>
                    <w14:schemeClr w14:val="tx1"/>
                  </w14:solidFill>
                </w14:textFill>
              </w:rPr>
              <w:t>S</w:t>
            </w:r>
          </w:p>
        </w:tc>
        <w:tc>
          <w:tcPr>
            <w:tcW w:w="2737" w:type="dxa"/>
            <w:tcBorders>
              <w:bottom w:val="single" w:color="auto" w:sz="4" w:space="0"/>
            </w:tcBorders>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经沉淀处理后用于施工抑尘</w:t>
            </w:r>
          </w:p>
        </w:tc>
        <w:tc>
          <w:tcPr>
            <w:tcW w:w="2143" w:type="dxa"/>
            <w:vMerge w:val="continue"/>
            <w:tcBorders>
              <w:bottom w:val="single" w:color="auto" w:sz="4" w:space="0"/>
            </w:tcBorders>
            <w:vAlign w:val="center"/>
          </w:tcPr>
          <w:p>
            <w:pPr>
              <w:pStyle w:val="60"/>
              <w:rPr>
                <w:color w:val="000000" w:themeColor="text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4" w:hRule="atLeast"/>
        </w:trPr>
        <w:tc>
          <w:tcPr>
            <w:tcW w:w="846" w:type="dxa"/>
            <w:vMerge w:val="continue"/>
            <w:vAlign w:val="center"/>
          </w:tcPr>
          <w:p>
            <w:pPr>
              <w:pStyle w:val="60"/>
              <w:rPr>
                <w:b/>
                <w:color w:val="000000" w:themeColor="text1"/>
                <w:sz w:val="24"/>
                <w14:textFill>
                  <w14:solidFill>
                    <w14:schemeClr w14:val="tx1"/>
                  </w14:solidFill>
                </w14:textFill>
              </w:rPr>
            </w:pPr>
          </w:p>
        </w:tc>
        <w:tc>
          <w:tcPr>
            <w:tcW w:w="1151" w:type="dxa"/>
            <w:vAlign w:val="center"/>
          </w:tcPr>
          <w:p>
            <w:pPr>
              <w:pStyle w:val="60"/>
            </w:pPr>
            <w:r>
              <w:rPr>
                <w:rFonts w:hint="eastAsia"/>
              </w:rPr>
              <w:t>营运期</w:t>
            </w:r>
          </w:p>
        </w:tc>
        <w:tc>
          <w:tcPr>
            <w:tcW w:w="1087" w:type="dxa"/>
            <w:vAlign w:val="center"/>
          </w:tcPr>
          <w:p>
            <w:pPr>
              <w:pStyle w:val="60"/>
            </w:pPr>
            <w:r>
              <w:rPr>
                <w:rFonts w:hint="eastAsia"/>
              </w:rPr>
              <w:t>无</w:t>
            </w:r>
          </w:p>
        </w:tc>
        <w:tc>
          <w:tcPr>
            <w:tcW w:w="1463" w:type="dxa"/>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w:t>
            </w:r>
          </w:p>
        </w:tc>
        <w:tc>
          <w:tcPr>
            <w:tcW w:w="2737" w:type="dxa"/>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p>
        </w:tc>
        <w:tc>
          <w:tcPr>
            <w:tcW w:w="2143" w:type="dxa"/>
            <w:tcBorders>
              <w:bottom w:val="single" w:color="auto" w:sz="4" w:space="0"/>
            </w:tcBorders>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26" w:hRule="atLeast"/>
        </w:trPr>
        <w:tc>
          <w:tcPr>
            <w:tcW w:w="846" w:type="dxa"/>
            <w:vMerge w:val="restart"/>
            <w:vAlign w:val="center"/>
          </w:tcPr>
          <w:p>
            <w:pPr>
              <w:pStyle w:val="60"/>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大</w:t>
            </w:r>
          </w:p>
          <w:p>
            <w:pPr>
              <w:pStyle w:val="60"/>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气</w:t>
            </w:r>
          </w:p>
          <w:p>
            <w:pPr>
              <w:pStyle w:val="60"/>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污</w:t>
            </w:r>
          </w:p>
          <w:p>
            <w:pPr>
              <w:pStyle w:val="60"/>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染</w:t>
            </w:r>
          </w:p>
          <w:p>
            <w:pPr>
              <w:pStyle w:val="60"/>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物</w:t>
            </w:r>
          </w:p>
        </w:tc>
        <w:tc>
          <w:tcPr>
            <w:tcW w:w="1151" w:type="dxa"/>
            <w:vMerge w:val="restart"/>
            <w:vAlign w:val="center"/>
          </w:tcPr>
          <w:p>
            <w:pPr>
              <w:pStyle w:val="60"/>
            </w:pPr>
            <w:r>
              <w:rPr>
                <w:rFonts w:hint="eastAsia"/>
              </w:rPr>
              <w:t>施工期</w:t>
            </w:r>
          </w:p>
        </w:tc>
        <w:tc>
          <w:tcPr>
            <w:tcW w:w="1087" w:type="dxa"/>
            <w:vAlign w:val="center"/>
          </w:tcPr>
          <w:p>
            <w:pPr>
              <w:pStyle w:val="60"/>
            </w:pPr>
            <w:r>
              <w:rPr>
                <w:rFonts w:hint="eastAsia"/>
              </w:rPr>
              <w:t>机械燃油废气</w:t>
            </w:r>
          </w:p>
        </w:tc>
        <w:tc>
          <w:tcPr>
            <w:tcW w:w="1463" w:type="dxa"/>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NO</w:t>
            </w:r>
            <w:r>
              <w:rPr>
                <w:rFonts w:hint="eastAsia"/>
                <w:color w:val="000000" w:themeColor="text1"/>
                <w:sz w:val="21"/>
                <w:szCs w:val="21"/>
                <w:vertAlign w:val="subscript"/>
                <w14:textFill>
                  <w14:solidFill>
                    <w14:schemeClr w14:val="tx1"/>
                  </w14:solidFill>
                </w14:textFill>
              </w:rPr>
              <w:t>X</w:t>
            </w:r>
            <w:r>
              <w:rPr>
                <w:rFonts w:hint="eastAsia"/>
                <w:color w:val="000000" w:themeColor="text1"/>
                <w:sz w:val="21"/>
                <w:szCs w:val="21"/>
                <w14:textFill>
                  <w14:solidFill>
                    <w14:schemeClr w14:val="tx1"/>
                  </w14:solidFill>
                </w14:textFill>
              </w:rPr>
              <w:t>、CO、THC</w:t>
            </w:r>
          </w:p>
        </w:tc>
        <w:tc>
          <w:tcPr>
            <w:tcW w:w="2737" w:type="dxa"/>
            <w:tcBorders>
              <w:bottom w:val="single" w:color="auto" w:sz="4" w:space="0"/>
            </w:tcBorders>
            <w:vAlign w:val="center"/>
          </w:tcPr>
          <w:p>
            <w:pPr>
              <w:pStyle w:val="60"/>
              <w:jc w:val="both"/>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采用合格油品；定期对设进</w:t>
            </w:r>
          </w:p>
          <w:p>
            <w:pPr>
              <w:pStyle w:val="60"/>
              <w:jc w:val="both"/>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行维护</w:t>
            </w:r>
          </w:p>
        </w:tc>
        <w:tc>
          <w:tcPr>
            <w:tcW w:w="2143" w:type="dxa"/>
            <w:vMerge w:val="restart"/>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对环境影响小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4" w:hRule="atLeast"/>
        </w:trPr>
        <w:tc>
          <w:tcPr>
            <w:tcW w:w="846" w:type="dxa"/>
            <w:vMerge w:val="continue"/>
            <w:vAlign w:val="center"/>
          </w:tcPr>
          <w:p>
            <w:pPr>
              <w:pStyle w:val="60"/>
              <w:rPr>
                <w:b/>
                <w:color w:val="000000" w:themeColor="text1"/>
                <w:sz w:val="24"/>
                <w14:textFill>
                  <w14:solidFill>
                    <w14:schemeClr w14:val="tx1"/>
                  </w14:solidFill>
                </w14:textFill>
              </w:rPr>
            </w:pPr>
          </w:p>
        </w:tc>
        <w:tc>
          <w:tcPr>
            <w:tcW w:w="1151" w:type="dxa"/>
            <w:vMerge w:val="continue"/>
            <w:vAlign w:val="center"/>
          </w:tcPr>
          <w:p>
            <w:pPr>
              <w:pStyle w:val="60"/>
            </w:pPr>
          </w:p>
        </w:tc>
        <w:tc>
          <w:tcPr>
            <w:tcW w:w="1087" w:type="dxa"/>
            <w:vAlign w:val="center"/>
          </w:tcPr>
          <w:p>
            <w:pPr>
              <w:pStyle w:val="60"/>
            </w:pPr>
            <w:r>
              <w:rPr>
                <w:rFonts w:hint="eastAsia"/>
              </w:rPr>
              <w:t>施工扬尘</w:t>
            </w:r>
          </w:p>
        </w:tc>
        <w:tc>
          <w:tcPr>
            <w:tcW w:w="1463" w:type="dxa"/>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TSP</w:t>
            </w:r>
          </w:p>
        </w:tc>
        <w:tc>
          <w:tcPr>
            <w:tcW w:w="2737" w:type="dxa"/>
            <w:tcBorders>
              <w:bottom w:val="single" w:color="auto" w:sz="4" w:space="0"/>
            </w:tcBorders>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实际清运弃料、定期道路水</w:t>
            </w:r>
          </w:p>
        </w:tc>
        <w:tc>
          <w:tcPr>
            <w:tcW w:w="2143" w:type="dxa"/>
            <w:vMerge w:val="continue"/>
            <w:tcBorders>
              <w:bottom w:val="single" w:color="auto" w:sz="4" w:space="0"/>
            </w:tcBorders>
            <w:vAlign w:val="center"/>
          </w:tcPr>
          <w:p>
            <w:pPr>
              <w:pStyle w:val="60"/>
              <w:rPr>
                <w:color w:val="000000" w:themeColor="text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5" w:hRule="atLeast"/>
        </w:trPr>
        <w:tc>
          <w:tcPr>
            <w:tcW w:w="846" w:type="dxa"/>
            <w:vMerge w:val="continue"/>
            <w:vAlign w:val="center"/>
          </w:tcPr>
          <w:p>
            <w:pPr>
              <w:pStyle w:val="60"/>
              <w:rPr>
                <w:b/>
                <w:color w:val="000000" w:themeColor="text1"/>
                <w:sz w:val="24"/>
                <w14:textFill>
                  <w14:solidFill>
                    <w14:schemeClr w14:val="tx1"/>
                  </w14:solidFill>
                </w14:textFill>
              </w:rPr>
            </w:pPr>
          </w:p>
        </w:tc>
        <w:tc>
          <w:tcPr>
            <w:tcW w:w="1151" w:type="dxa"/>
            <w:tcBorders>
              <w:top w:val="single" w:color="auto" w:sz="4" w:space="0"/>
            </w:tcBorders>
            <w:vAlign w:val="center"/>
          </w:tcPr>
          <w:p>
            <w:pPr>
              <w:pStyle w:val="91"/>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营运期</w:t>
            </w:r>
          </w:p>
        </w:tc>
        <w:tc>
          <w:tcPr>
            <w:tcW w:w="1087" w:type="dxa"/>
            <w:tcBorders>
              <w:top w:val="single" w:color="auto" w:sz="4" w:space="0"/>
            </w:tcBorders>
            <w:vAlign w:val="center"/>
          </w:tcPr>
          <w:p>
            <w:pPr>
              <w:pStyle w:val="91"/>
              <w:rPr>
                <w:color w:val="000000" w:themeColor="text1"/>
                <w14:textFill>
                  <w14:solidFill>
                    <w14:schemeClr w14:val="tx1"/>
                  </w14:solidFill>
                </w14:textFill>
              </w:rPr>
            </w:pPr>
            <w:r>
              <w:rPr>
                <w:rFonts w:hint="eastAsia"/>
                <w:color w:val="000000" w:themeColor="text1"/>
                <w14:textFill>
                  <w14:solidFill>
                    <w14:schemeClr w14:val="tx1"/>
                  </w14:solidFill>
                </w14:textFill>
              </w:rPr>
              <w:t>无</w:t>
            </w:r>
          </w:p>
        </w:tc>
        <w:tc>
          <w:tcPr>
            <w:tcW w:w="1463" w:type="dxa"/>
            <w:tcBorders>
              <w:top w:val="single" w:color="auto" w:sz="4" w:space="0"/>
            </w:tcBorders>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p>
        </w:tc>
        <w:tc>
          <w:tcPr>
            <w:tcW w:w="2737" w:type="dxa"/>
            <w:tcBorders>
              <w:top w:val="single" w:color="auto" w:sz="4" w:space="0"/>
            </w:tcBorders>
            <w:vAlign w:val="center"/>
          </w:tcPr>
          <w:p>
            <w:pPr>
              <w:pStyle w:val="91"/>
              <w:rPr>
                <w:color w:val="000000" w:themeColor="text1"/>
                <w14:textFill>
                  <w14:solidFill>
                    <w14:schemeClr w14:val="tx1"/>
                  </w14:solidFill>
                </w14:textFill>
              </w:rPr>
            </w:pPr>
            <w:r>
              <w:rPr>
                <w:rFonts w:hint="eastAsia"/>
                <w:color w:val="000000" w:themeColor="text1"/>
                <w:szCs w:val="21"/>
                <w14:textFill>
                  <w14:solidFill>
                    <w14:schemeClr w14:val="tx1"/>
                  </w14:solidFill>
                </w14:textFill>
              </w:rPr>
              <w:t>/</w:t>
            </w:r>
          </w:p>
        </w:tc>
        <w:tc>
          <w:tcPr>
            <w:tcW w:w="2143" w:type="dxa"/>
            <w:tcBorders>
              <w:top w:val="single" w:color="auto" w:sz="4" w:space="0"/>
            </w:tcBorders>
            <w:vAlign w:val="center"/>
          </w:tcPr>
          <w:p>
            <w:pPr>
              <w:pStyle w:val="91"/>
              <w:rPr>
                <w:color w:val="000000" w:themeColor="text1"/>
                <w14:textFill>
                  <w14:solidFill>
                    <w14:schemeClr w14:val="tx1"/>
                  </w14:solidFill>
                </w14:textFill>
              </w:rPr>
            </w:pPr>
            <w:r>
              <w:rPr>
                <w:rFonts w:hint="eastAsia"/>
                <w:color w:val="000000" w:themeColor="text1"/>
                <w:szCs w:val="21"/>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07" w:hRule="atLeast"/>
        </w:trPr>
        <w:tc>
          <w:tcPr>
            <w:tcW w:w="846" w:type="dxa"/>
            <w:vMerge w:val="restart"/>
            <w:vAlign w:val="center"/>
          </w:tcPr>
          <w:p>
            <w:pPr>
              <w:pStyle w:val="60"/>
              <w:rPr>
                <w:b/>
                <w:color w:val="000000" w:themeColor="text1"/>
                <w:sz w:val="24"/>
                <w14:textFill>
                  <w14:solidFill>
                    <w14:schemeClr w14:val="tx1"/>
                  </w14:solidFill>
                </w14:textFill>
              </w:rPr>
            </w:pPr>
            <w:r>
              <w:rPr>
                <w:b/>
                <w:color w:val="000000" w:themeColor="text1"/>
                <w:sz w:val="24"/>
                <w14:textFill>
                  <w14:solidFill>
                    <w14:schemeClr w14:val="tx1"/>
                  </w14:solidFill>
                </w14:textFill>
              </w:rPr>
              <w:t>固</w:t>
            </w:r>
          </w:p>
          <w:p>
            <w:pPr>
              <w:pStyle w:val="60"/>
              <w:rPr>
                <w:b/>
                <w:color w:val="000000" w:themeColor="text1"/>
                <w:sz w:val="24"/>
                <w14:textFill>
                  <w14:solidFill>
                    <w14:schemeClr w14:val="tx1"/>
                  </w14:solidFill>
                </w14:textFill>
              </w:rPr>
            </w:pPr>
            <w:r>
              <w:rPr>
                <w:b/>
                <w:color w:val="000000" w:themeColor="text1"/>
                <w:sz w:val="24"/>
                <w14:textFill>
                  <w14:solidFill>
                    <w14:schemeClr w14:val="tx1"/>
                  </w14:solidFill>
                </w14:textFill>
              </w:rPr>
              <w:t>体</w:t>
            </w:r>
          </w:p>
          <w:p>
            <w:pPr>
              <w:pStyle w:val="60"/>
              <w:rPr>
                <w:b/>
                <w:color w:val="000000" w:themeColor="text1"/>
                <w:sz w:val="24"/>
                <w14:textFill>
                  <w14:solidFill>
                    <w14:schemeClr w14:val="tx1"/>
                  </w14:solidFill>
                </w14:textFill>
              </w:rPr>
            </w:pPr>
            <w:r>
              <w:rPr>
                <w:b/>
                <w:color w:val="000000" w:themeColor="text1"/>
                <w:sz w:val="24"/>
                <w14:textFill>
                  <w14:solidFill>
                    <w14:schemeClr w14:val="tx1"/>
                  </w14:solidFill>
                </w14:textFill>
              </w:rPr>
              <w:t>废</w:t>
            </w:r>
          </w:p>
          <w:p>
            <w:pPr>
              <w:pStyle w:val="60"/>
              <w:rPr>
                <w:b/>
                <w:color w:val="000000" w:themeColor="text1"/>
                <w:sz w:val="24"/>
                <w14:textFill>
                  <w14:solidFill>
                    <w14:schemeClr w14:val="tx1"/>
                  </w14:solidFill>
                </w14:textFill>
              </w:rPr>
            </w:pPr>
            <w:r>
              <w:rPr>
                <w:b/>
                <w:color w:val="000000" w:themeColor="text1"/>
                <w:sz w:val="24"/>
                <w14:textFill>
                  <w14:solidFill>
                    <w14:schemeClr w14:val="tx1"/>
                  </w14:solidFill>
                </w14:textFill>
              </w:rPr>
              <w:t>物</w:t>
            </w:r>
          </w:p>
        </w:tc>
        <w:tc>
          <w:tcPr>
            <w:tcW w:w="1151" w:type="dxa"/>
            <w:vMerge w:val="restart"/>
            <w:tcBorders>
              <w:top w:val="single" w:color="auto" w:sz="4" w:space="0"/>
            </w:tcBorders>
            <w:vAlign w:val="center"/>
          </w:tcPr>
          <w:p>
            <w:pPr>
              <w:pStyle w:val="91"/>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施工期</w:t>
            </w:r>
          </w:p>
        </w:tc>
        <w:tc>
          <w:tcPr>
            <w:tcW w:w="1087" w:type="dxa"/>
            <w:tcBorders>
              <w:top w:val="single" w:color="auto" w:sz="4" w:space="0"/>
            </w:tcBorders>
            <w:vAlign w:val="center"/>
          </w:tcPr>
          <w:p>
            <w:pPr>
              <w:pStyle w:val="91"/>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土方</w:t>
            </w:r>
          </w:p>
        </w:tc>
        <w:tc>
          <w:tcPr>
            <w:tcW w:w="1463" w:type="dxa"/>
            <w:tcBorders>
              <w:top w:val="single" w:color="auto" w:sz="4" w:space="0"/>
            </w:tcBorders>
            <w:vAlign w:val="center"/>
          </w:tcPr>
          <w:p>
            <w:pPr>
              <w:pStyle w:val="6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表土、临时堆积土方</w:t>
            </w:r>
          </w:p>
        </w:tc>
        <w:tc>
          <w:tcPr>
            <w:tcW w:w="2737" w:type="dxa"/>
            <w:tcBorders>
              <w:top w:val="single" w:color="auto" w:sz="4" w:space="0"/>
            </w:tcBorders>
            <w:vAlign w:val="center"/>
          </w:tcPr>
          <w:p>
            <w:pPr>
              <w:pStyle w:val="91"/>
              <w:rPr>
                <w:color w:val="000000" w:themeColor="text1"/>
                <w14:textFill>
                  <w14:solidFill>
                    <w14:schemeClr w14:val="tx1"/>
                  </w14:solidFill>
                </w14:textFill>
              </w:rPr>
            </w:pPr>
            <w:r>
              <w:rPr>
                <w:rFonts w:hint="eastAsia"/>
                <w:color w:val="000000" w:themeColor="text1"/>
                <w14:textFill>
                  <w14:solidFill>
                    <w14:schemeClr w14:val="tx1"/>
                  </w14:solidFill>
                </w14:textFill>
              </w:rPr>
              <w:t>施工完成后全部回填</w:t>
            </w:r>
          </w:p>
        </w:tc>
        <w:tc>
          <w:tcPr>
            <w:tcW w:w="2143" w:type="dxa"/>
            <w:tcBorders>
              <w:top w:val="single" w:color="auto" w:sz="4" w:space="0"/>
            </w:tcBorders>
            <w:vAlign w:val="center"/>
          </w:tcPr>
          <w:p>
            <w:pPr>
              <w:pStyle w:val="91"/>
              <w:rPr>
                <w:szCs w:val="21"/>
              </w:rPr>
            </w:pPr>
            <w:r>
              <w:rPr>
                <w:rFonts w:hint="eastAsia"/>
                <w:szCs w:val="21"/>
              </w:rPr>
              <w:t>对环境影响小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07" w:hRule="atLeast"/>
        </w:trPr>
        <w:tc>
          <w:tcPr>
            <w:tcW w:w="846" w:type="dxa"/>
            <w:vMerge w:val="continue"/>
            <w:vAlign w:val="center"/>
          </w:tcPr>
          <w:p>
            <w:pPr>
              <w:pStyle w:val="60"/>
              <w:rPr>
                <w:b/>
                <w:color w:val="000000" w:themeColor="text1"/>
                <w:sz w:val="24"/>
                <w14:textFill>
                  <w14:solidFill>
                    <w14:schemeClr w14:val="tx1"/>
                  </w14:solidFill>
                </w14:textFill>
              </w:rPr>
            </w:pPr>
          </w:p>
        </w:tc>
        <w:tc>
          <w:tcPr>
            <w:tcW w:w="1151" w:type="dxa"/>
            <w:vMerge w:val="continue"/>
            <w:vAlign w:val="center"/>
          </w:tcPr>
          <w:p>
            <w:pPr>
              <w:pStyle w:val="91"/>
              <w:rPr>
                <w:rFonts w:hint="eastAsia"/>
                <w:color w:val="000000" w:themeColor="text1"/>
                <w:szCs w:val="21"/>
                <w14:textFill>
                  <w14:solidFill>
                    <w14:schemeClr w14:val="tx1"/>
                  </w14:solidFill>
                </w14:textFill>
              </w:rPr>
            </w:pPr>
          </w:p>
        </w:tc>
        <w:tc>
          <w:tcPr>
            <w:tcW w:w="1087" w:type="dxa"/>
            <w:tcBorders>
              <w:top w:val="single" w:color="auto" w:sz="4" w:space="0"/>
            </w:tcBorders>
            <w:vAlign w:val="center"/>
          </w:tcPr>
          <w:p>
            <w:pPr>
              <w:pStyle w:val="91"/>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eastAsia="zh-CN"/>
                <w14:textFill>
                  <w14:solidFill>
                    <w14:schemeClr w14:val="tx1"/>
                  </w14:solidFill>
                </w14:textFill>
              </w:rPr>
              <w:t>顶管施工</w:t>
            </w:r>
          </w:p>
        </w:tc>
        <w:tc>
          <w:tcPr>
            <w:tcW w:w="1463" w:type="dxa"/>
            <w:tcBorders>
              <w:top w:val="single" w:color="auto" w:sz="4" w:space="0"/>
            </w:tcBorders>
            <w:vAlign w:val="center"/>
          </w:tcPr>
          <w:p>
            <w:pPr>
              <w:pStyle w:val="60"/>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eastAsia="zh-CN"/>
                <w14:textFill>
                  <w14:solidFill>
                    <w14:schemeClr w14:val="tx1"/>
                  </w14:solidFill>
                </w14:textFill>
              </w:rPr>
              <w:t>废污泥</w:t>
            </w:r>
          </w:p>
        </w:tc>
        <w:tc>
          <w:tcPr>
            <w:tcW w:w="2737" w:type="dxa"/>
            <w:tcBorders>
              <w:top w:val="single" w:color="auto" w:sz="4" w:space="0"/>
            </w:tcBorders>
            <w:vAlign w:val="center"/>
          </w:tcPr>
          <w:p>
            <w:pPr>
              <w:pStyle w:val="91"/>
              <w:rPr>
                <w:rFonts w:hint="eastAsia" w:eastAsia="宋体"/>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施工结束后剩余泥浆送至一般工业固体废物填埋场处置</w:t>
            </w:r>
          </w:p>
        </w:tc>
        <w:tc>
          <w:tcPr>
            <w:tcW w:w="2143" w:type="dxa"/>
            <w:tcBorders>
              <w:top w:val="single" w:color="auto" w:sz="4" w:space="0"/>
            </w:tcBorders>
            <w:vAlign w:val="center"/>
          </w:tcPr>
          <w:p>
            <w:pPr>
              <w:pStyle w:val="91"/>
              <w:rPr>
                <w:rFonts w:hint="eastAsia" w:eastAsia="宋体"/>
                <w:szCs w:val="21"/>
                <w:lang w:eastAsia="zh-CN"/>
              </w:rPr>
            </w:pPr>
            <w:r>
              <w:rPr>
                <w:rFonts w:hint="eastAsia"/>
                <w:szCs w:val="21"/>
                <w:lang w:eastAsia="zh-CN"/>
              </w:rPr>
              <w:t>不外排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6" w:type="dxa"/>
            <w:vMerge w:val="continue"/>
            <w:vAlign w:val="center"/>
          </w:tcPr>
          <w:p>
            <w:pPr>
              <w:pStyle w:val="60"/>
              <w:rPr>
                <w:b/>
                <w:color w:val="000000" w:themeColor="text1"/>
                <w:sz w:val="24"/>
                <w14:textFill>
                  <w14:solidFill>
                    <w14:schemeClr w14:val="tx1"/>
                  </w14:solidFill>
                </w14:textFill>
              </w:rPr>
            </w:pPr>
          </w:p>
        </w:tc>
        <w:tc>
          <w:tcPr>
            <w:tcW w:w="1151" w:type="dxa"/>
            <w:tcBorders>
              <w:top w:val="single" w:color="auto" w:sz="4" w:space="0"/>
            </w:tcBorders>
            <w:vAlign w:val="center"/>
          </w:tcPr>
          <w:p>
            <w:pPr>
              <w:pStyle w:val="15"/>
              <w:spacing w:before="0" w:after="0" w:line="240" w:lineRule="auto"/>
              <w:jc w:val="center"/>
              <w:rPr>
                <w:rFonts w:hint="default" w:ascii="Times New Roman" w:hAnsi="宋体" w:cs="Times New Roman"/>
                <w:color w:val="000000"/>
                <w:sz w:val="21"/>
                <w:szCs w:val="21"/>
              </w:rPr>
            </w:pPr>
            <w:r>
              <w:rPr>
                <w:rFonts w:ascii="Times New Roman" w:hAnsi="宋体" w:cs="Times New Roman"/>
                <w:color w:val="000000"/>
                <w:sz w:val="21"/>
                <w:szCs w:val="21"/>
              </w:rPr>
              <w:t>营运期</w:t>
            </w:r>
          </w:p>
        </w:tc>
        <w:tc>
          <w:tcPr>
            <w:tcW w:w="1087" w:type="dxa"/>
            <w:tcBorders>
              <w:top w:val="single" w:color="auto" w:sz="4" w:space="0"/>
            </w:tcBorders>
            <w:vAlign w:val="center"/>
          </w:tcPr>
          <w:p>
            <w:pPr>
              <w:pStyle w:val="15"/>
              <w:spacing w:before="0" w:after="0" w:line="240" w:lineRule="auto"/>
              <w:jc w:val="center"/>
              <w:rPr>
                <w:rFonts w:hint="default"/>
                <w:color w:val="000000" w:themeColor="text1"/>
                <w:szCs w:val="21"/>
                <w14:textFill>
                  <w14:solidFill>
                    <w14:schemeClr w14:val="tx1"/>
                  </w14:solidFill>
                </w14:textFill>
              </w:rPr>
            </w:pPr>
            <w:r>
              <w:rPr>
                <w:color w:val="000000" w:themeColor="text1"/>
                <w:szCs w:val="21"/>
                <w14:textFill>
                  <w14:solidFill>
                    <w14:schemeClr w14:val="tx1"/>
                  </w14:solidFill>
                </w14:textFill>
              </w:rPr>
              <w:t>泵站维修</w:t>
            </w:r>
          </w:p>
        </w:tc>
        <w:tc>
          <w:tcPr>
            <w:tcW w:w="1463" w:type="dxa"/>
            <w:tcBorders>
              <w:top w:val="single" w:color="auto" w:sz="4" w:space="0"/>
            </w:tcBorders>
            <w:vAlign w:val="center"/>
          </w:tcPr>
          <w:p>
            <w:pPr>
              <w:pStyle w:val="15"/>
              <w:spacing w:before="0" w:after="0" w:line="240" w:lineRule="auto"/>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废机油</w:t>
            </w:r>
          </w:p>
        </w:tc>
        <w:tc>
          <w:tcPr>
            <w:tcW w:w="2737" w:type="dxa"/>
            <w:tcBorders>
              <w:top w:val="single" w:color="auto" w:sz="4" w:space="0"/>
            </w:tcBorders>
            <w:vAlign w:val="center"/>
          </w:tcPr>
          <w:p>
            <w:pPr>
              <w:pStyle w:val="91"/>
              <w:rPr>
                <w:color w:val="000000" w:themeColor="text1"/>
                <w14:textFill>
                  <w14:solidFill>
                    <w14:schemeClr w14:val="tx1"/>
                  </w14:solidFill>
                </w14:textFill>
              </w:rPr>
            </w:pPr>
            <w:r>
              <w:rPr>
                <w:rFonts w:hint="eastAsia"/>
                <w:color w:val="000000" w:themeColor="text1"/>
                <w14:textFill>
                  <w14:solidFill>
                    <w14:schemeClr w14:val="tx1"/>
                  </w14:solidFill>
                </w14:textFill>
              </w:rPr>
              <w:t>由维修人员带走处置</w:t>
            </w:r>
          </w:p>
        </w:tc>
        <w:tc>
          <w:tcPr>
            <w:tcW w:w="2143" w:type="dxa"/>
            <w:tcBorders>
              <w:top w:val="single" w:color="auto" w:sz="4" w:space="0"/>
            </w:tcBorders>
            <w:vAlign w:val="center"/>
          </w:tcPr>
          <w:p>
            <w:pPr>
              <w:pStyle w:val="91"/>
              <w:rPr>
                <w:szCs w:val="21"/>
              </w:rPr>
            </w:pPr>
            <w:r>
              <w:rPr>
                <w:rFonts w:hint="eastAsia"/>
                <w:szCs w:val="21"/>
              </w:rPr>
              <w:t>不外排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64" w:hRule="atLeast"/>
        </w:trPr>
        <w:tc>
          <w:tcPr>
            <w:tcW w:w="846" w:type="dxa"/>
            <w:vMerge w:val="restart"/>
            <w:vAlign w:val="center"/>
          </w:tcPr>
          <w:p>
            <w:pPr>
              <w:pStyle w:val="60"/>
              <w:rPr>
                <w:b/>
                <w:color w:val="000000" w:themeColor="text1"/>
                <w:sz w:val="24"/>
                <w14:textFill>
                  <w14:solidFill>
                    <w14:schemeClr w14:val="tx1"/>
                  </w14:solidFill>
                </w14:textFill>
              </w:rPr>
            </w:pPr>
            <w:r>
              <w:rPr>
                <w:b/>
                <w:color w:val="000000" w:themeColor="text1"/>
                <w:sz w:val="24"/>
                <w14:textFill>
                  <w14:solidFill>
                    <w14:schemeClr w14:val="tx1"/>
                  </w14:solidFill>
                </w14:textFill>
              </w:rPr>
              <w:t>噪</w:t>
            </w:r>
          </w:p>
          <w:p>
            <w:pPr>
              <w:pStyle w:val="60"/>
              <w:rPr>
                <w:b/>
                <w:color w:val="000000" w:themeColor="text1"/>
                <w:sz w:val="24"/>
                <w14:textFill>
                  <w14:solidFill>
                    <w14:schemeClr w14:val="tx1"/>
                  </w14:solidFill>
                </w14:textFill>
              </w:rPr>
            </w:pPr>
            <w:r>
              <w:rPr>
                <w:b/>
                <w:color w:val="000000" w:themeColor="text1"/>
                <w:sz w:val="24"/>
                <w14:textFill>
                  <w14:solidFill>
                    <w14:schemeClr w14:val="tx1"/>
                  </w14:solidFill>
                </w14:textFill>
              </w:rPr>
              <w:t>声</w:t>
            </w:r>
          </w:p>
        </w:tc>
        <w:tc>
          <w:tcPr>
            <w:tcW w:w="1151" w:type="dxa"/>
            <w:tcBorders>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施工期</w:t>
            </w:r>
          </w:p>
        </w:tc>
        <w:tc>
          <w:tcPr>
            <w:tcW w:w="1087" w:type="dxa"/>
            <w:tcBorders>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建筑机 械、建材 运输</w:t>
            </w:r>
          </w:p>
        </w:tc>
        <w:tc>
          <w:tcPr>
            <w:tcW w:w="1463" w:type="dxa"/>
            <w:tcBorders>
              <w:left w:val="single" w:color="auto" w:sz="4" w:space="0"/>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施工机械 及车辆运输 噪声</w:t>
            </w:r>
          </w:p>
        </w:tc>
        <w:tc>
          <w:tcPr>
            <w:tcW w:w="2737" w:type="dxa"/>
            <w:tcBorders>
              <w:left w:val="single" w:color="auto" w:sz="4" w:space="0"/>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尽量采用低噪声机械设备</w:t>
            </w:r>
          </w:p>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；合理安排施工物料的 运输时间；夜间 22 时至凌晨 6 时应禁止施工；</w:t>
            </w:r>
          </w:p>
        </w:tc>
        <w:tc>
          <w:tcPr>
            <w:tcW w:w="2143" w:type="dxa"/>
            <w:tcBorders>
              <w:left w:val="single" w:color="auto" w:sz="4" w:space="0"/>
            </w:tcBorders>
            <w:vAlign w:val="center"/>
          </w:tcPr>
          <w:p>
            <w:pPr>
              <w:pStyle w:val="81"/>
              <w:snapToGrid/>
              <w:spacing w:line="240" w:lineRule="auto"/>
              <w:ind w:left="0" w:firstLine="0"/>
              <w:rPr>
                <w:rFonts w:ascii="Times New Roman" w:hAnsi="Times New Roman" w:cs="Times New Roman"/>
                <w:i w:val="0"/>
                <w:color w:val="000000" w:themeColor="text1"/>
                <w:sz w:val="21"/>
                <w:szCs w:val="21"/>
                <w14:textFill>
                  <w14:solidFill>
                    <w14:schemeClr w14:val="tx1"/>
                  </w14:solidFill>
                </w14:textFill>
              </w:rPr>
            </w:pPr>
            <w:r>
              <w:rPr>
                <w:rFonts w:hint="eastAsia" w:ascii="Times New Roman" w:hAnsi="Times New Roman" w:cs="Times New Roman"/>
                <w:i w:val="0"/>
                <w:color w:val="000000" w:themeColor="text1"/>
                <w:sz w:val="21"/>
                <w:szCs w:val="21"/>
                <w14:textFill>
                  <w14:solidFill>
                    <w14:schemeClr w14:val="tx1"/>
                  </w14:solidFill>
                </w14:textFill>
              </w:rPr>
              <w:t>满足《建筑施工场</w:t>
            </w:r>
          </w:p>
          <w:p>
            <w:pPr>
              <w:pStyle w:val="81"/>
              <w:snapToGrid/>
              <w:spacing w:line="240" w:lineRule="auto"/>
              <w:ind w:left="0" w:firstLine="0"/>
              <w:rPr>
                <w:rFonts w:ascii="Times New Roman" w:hAnsi="Times New Roman" w:cs="Times New Roman"/>
                <w:i w:val="0"/>
                <w:color w:val="000000" w:themeColor="text1"/>
                <w:sz w:val="21"/>
                <w:szCs w:val="21"/>
                <w14:textFill>
                  <w14:solidFill>
                    <w14:schemeClr w14:val="tx1"/>
                  </w14:solidFill>
                </w14:textFill>
              </w:rPr>
            </w:pPr>
            <w:r>
              <w:rPr>
                <w:rFonts w:hint="eastAsia" w:ascii="Times New Roman" w:hAnsi="Times New Roman" w:cs="Times New Roman"/>
                <w:i w:val="0"/>
                <w:color w:val="000000" w:themeColor="text1"/>
                <w:sz w:val="21"/>
                <w:szCs w:val="21"/>
                <w14:textFill>
                  <w14:solidFill>
                    <w14:schemeClr w14:val="tx1"/>
                  </w14:solidFill>
                </w14:textFill>
              </w:rPr>
              <w:t>界环境噪声排放标 准》（GB12523- 2011）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64" w:hRule="atLeast"/>
        </w:trPr>
        <w:tc>
          <w:tcPr>
            <w:tcW w:w="846" w:type="dxa"/>
            <w:vMerge w:val="continue"/>
            <w:vAlign w:val="center"/>
          </w:tcPr>
          <w:p>
            <w:pPr>
              <w:pStyle w:val="60"/>
              <w:rPr>
                <w:b/>
                <w:color w:val="000000" w:themeColor="text1"/>
                <w:sz w:val="24"/>
                <w14:textFill>
                  <w14:solidFill>
                    <w14:schemeClr w14:val="tx1"/>
                  </w14:solidFill>
                </w14:textFill>
              </w:rPr>
            </w:pPr>
          </w:p>
        </w:tc>
        <w:tc>
          <w:tcPr>
            <w:tcW w:w="1151" w:type="dxa"/>
            <w:tcBorders>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营运期</w:t>
            </w:r>
          </w:p>
        </w:tc>
        <w:tc>
          <w:tcPr>
            <w:tcW w:w="1087" w:type="dxa"/>
            <w:tcBorders>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设备</w:t>
            </w:r>
          </w:p>
        </w:tc>
        <w:tc>
          <w:tcPr>
            <w:tcW w:w="1463" w:type="dxa"/>
            <w:tcBorders>
              <w:left w:val="single" w:color="auto" w:sz="4" w:space="0"/>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机械设备噪 声</w:t>
            </w:r>
          </w:p>
        </w:tc>
        <w:tc>
          <w:tcPr>
            <w:tcW w:w="2737" w:type="dxa"/>
            <w:tcBorders>
              <w:left w:val="single" w:color="auto" w:sz="4" w:space="0"/>
              <w:right w:val="single" w:color="auto" w:sz="4" w:space="0"/>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减振装置、定期维护保养</w:t>
            </w:r>
          </w:p>
        </w:tc>
        <w:tc>
          <w:tcPr>
            <w:tcW w:w="2143" w:type="dxa"/>
            <w:tcBorders>
              <w:left w:val="single" w:color="auto" w:sz="4" w:space="0"/>
            </w:tcBorders>
            <w:vAlign w:val="center"/>
          </w:tcPr>
          <w:p>
            <w:pPr>
              <w:pStyle w:val="81"/>
              <w:snapToGrid/>
              <w:spacing w:line="240" w:lineRule="auto"/>
              <w:ind w:left="0" w:firstLine="0"/>
              <w:rPr>
                <w:rFonts w:ascii="Times New Roman" w:hAnsi="Times New Roman" w:cs="Times New Roman"/>
                <w:i w:val="0"/>
                <w:color w:val="000000" w:themeColor="text1"/>
                <w:sz w:val="21"/>
                <w:szCs w:val="21"/>
                <w14:textFill>
                  <w14:solidFill>
                    <w14:schemeClr w14:val="tx1"/>
                  </w14:solidFill>
                </w14:textFill>
              </w:rPr>
            </w:pPr>
            <w:r>
              <w:rPr>
                <w:rFonts w:hint="eastAsia" w:ascii="Times New Roman" w:hAnsi="Times New Roman" w:cs="Times New Roman"/>
                <w:i w:val="0"/>
                <w:color w:val="000000" w:themeColor="text1"/>
                <w:sz w:val="21"/>
                <w:szCs w:val="21"/>
                <w14:textFill>
                  <w14:solidFill>
                    <w14:schemeClr w14:val="tx1"/>
                  </w14:solidFill>
                </w14:textFill>
              </w:rPr>
              <w:t>满足《工业企业厂</w:t>
            </w:r>
          </w:p>
          <w:p>
            <w:pPr>
              <w:pStyle w:val="81"/>
              <w:snapToGrid/>
              <w:spacing w:line="240" w:lineRule="auto"/>
              <w:ind w:left="0" w:firstLine="0"/>
              <w:rPr>
                <w:rFonts w:ascii="Times New Roman" w:hAnsi="Times New Roman" w:cs="Times New Roman"/>
                <w:i w:val="0"/>
                <w:color w:val="000000" w:themeColor="text1"/>
                <w:sz w:val="21"/>
                <w:szCs w:val="21"/>
                <w14:textFill>
                  <w14:solidFill>
                    <w14:schemeClr w14:val="tx1"/>
                  </w14:solidFill>
                </w14:textFill>
              </w:rPr>
            </w:pPr>
            <w:r>
              <w:rPr>
                <w:rFonts w:hint="eastAsia" w:ascii="Times New Roman" w:hAnsi="Times New Roman" w:cs="Times New Roman"/>
                <w:i w:val="0"/>
                <w:color w:val="000000" w:themeColor="text1"/>
                <w:sz w:val="21"/>
                <w:szCs w:val="21"/>
                <w14:textFill>
                  <w14:solidFill>
                    <w14:schemeClr w14:val="tx1"/>
                  </w14:solidFill>
                </w14:textFill>
              </w:rPr>
              <w:t>界环境噪声排放标</w:t>
            </w:r>
          </w:p>
          <w:p>
            <w:pPr>
              <w:pStyle w:val="81"/>
              <w:snapToGrid/>
              <w:spacing w:line="240" w:lineRule="auto"/>
              <w:ind w:left="0" w:firstLine="0"/>
              <w:rPr>
                <w:rFonts w:ascii="Times New Roman" w:hAnsi="Times New Roman" w:cs="Times New Roman"/>
                <w:i w:val="0"/>
                <w:color w:val="000000" w:themeColor="text1"/>
                <w:sz w:val="21"/>
                <w:szCs w:val="21"/>
                <w14:textFill>
                  <w14:solidFill>
                    <w14:schemeClr w14:val="tx1"/>
                  </w14:solidFill>
                </w14:textFill>
              </w:rPr>
            </w:pPr>
            <w:r>
              <w:rPr>
                <w:rFonts w:hint="eastAsia" w:ascii="Times New Roman" w:hAnsi="Times New Roman" w:cs="Times New Roman"/>
                <w:i w:val="0"/>
                <w:color w:val="000000" w:themeColor="text1"/>
                <w:sz w:val="21"/>
                <w:szCs w:val="21"/>
                <w14:textFill>
                  <w14:solidFill>
                    <w14:schemeClr w14:val="tx1"/>
                  </w14:solidFill>
                </w14:textFill>
              </w:rPr>
              <w:t>准》（GB12348-</w:t>
            </w:r>
          </w:p>
          <w:p>
            <w:pPr>
              <w:pStyle w:val="81"/>
              <w:snapToGrid/>
              <w:spacing w:line="240" w:lineRule="auto"/>
              <w:ind w:left="0" w:firstLine="0"/>
              <w:rPr>
                <w:rFonts w:ascii="Times New Roman" w:hAnsi="Times New Roman" w:cs="Times New Roman"/>
                <w:i w:val="0"/>
                <w:color w:val="000000" w:themeColor="text1"/>
                <w:sz w:val="21"/>
                <w:szCs w:val="21"/>
                <w14:textFill>
                  <w14:solidFill>
                    <w14:schemeClr w14:val="tx1"/>
                  </w14:solidFill>
                </w14:textFill>
              </w:rPr>
            </w:pPr>
            <w:r>
              <w:rPr>
                <w:rFonts w:hint="eastAsia" w:ascii="Times New Roman" w:hAnsi="Times New Roman" w:cs="Times New Roman"/>
                <w:i w:val="0"/>
                <w:color w:val="000000" w:themeColor="text1"/>
                <w:sz w:val="21"/>
                <w:szCs w:val="21"/>
                <w14:textFill>
                  <w14:solidFill>
                    <w14:schemeClr w14:val="tx1"/>
                  </w14:solidFill>
                </w14:textFill>
              </w:rPr>
              <w:t>2008）中 2 类标</w:t>
            </w:r>
          </w:p>
          <w:p>
            <w:pPr>
              <w:pStyle w:val="81"/>
              <w:snapToGrid/>
              <w:spacing w:line="240" w:lineRule="auto"/>
              <w:ind w:left="0" w:firstLine="0"/>
              <w:rPr>
                <w:rFonts w:ascii="Times New Roman" w:hAnsi="Times New Roman" w:cs="Times New Roman"/>
                <w:i w:val="0"/>
                <w:color w:val="000000" w:themeColor="text1"/>
                <w:sz w:val="21"/>
                <w:szCs w:val="21"/>
                <w14:textFill>
                  <w14:solidFill>
                    <w14:schemeClr w14:val="tx1"/>
                  </w14:solidFill>
                </w14:textFill>
              </w:rPr>
            </w:pPr>
            <w:r>
              <w:rPr>
                <w:rFonts w:hint="eastAsia" w:ascii="Times New Roman" w:hAnsi="Times New Roman" w:cs="Times New Roman"/>
                <w:i w:val="0"/>
                <w:color w:val="000000" w:themeColor="text1"/>
                <w:sz w:val="21"/>
                <w:szCs w:val="21"/>
                <w14:textFill>
                  <w14:solidFill>
                    <w14:schemeClr w14:val="tx1"/>
                  </w14:solidFill>
                </w14:textFill>
              </w:rPr>
              <w:t>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789" w:hRule="atLeast"/>
        </w:trPr>
        <w:tc>
          <w:tcPr>
            <w:tcW w:w="846" w:type="dxa"/>
          </w:tcPr>
          <w:p>
            <w:pPr>
              <w:ind w:firstLine="480" w:firstLineChars="200"/>
            </w:pPr>
          </w:p>
        </w:tc>
        <w:tc>
          <w:tcPr>
            <w:tcW w:w="8581" w:type="dxa"/>
            <w:gridSpan w:val="5"/>
          </w:tcPr>
          <w:p>
            <w:pPr>
              <w:pStyle w:val="31"/>
              <w:adjustRightInd w:val="0"/>
              <w:snapToGrid w:val="0"/>
              <w:ind w:firstLine="0" w:firstLineChars="0"/>
              <w:rPr>
                <w:b/>
                <w:bCs w:val="0"/>
              </w:rPr>
            </w:pPr>
            <w:r>
              <w:rPr>
                <w:b/>
                <w:bCs w:val="0"/>
              </w:rPr>
              <w:t>生态保护措施及预期效果</w:t>
            </w:r>
          </w:p>
          <w:p>
            <w:pPr>
              <w:spacing w:line="360" w:lineRule="auto"/>
              <w:ind w:firstLine="480" w:firstLineChars="200"/>
            </w:pPr>
            <w:r>
              <w:rPr>
                <w:rFonts w:hint="eastAsia"/>
              </w:rPr>
              <w:t>本项目不设置临时施工营地，经现场踏勘，评价区域植被种类较单一，野生动物稀少，未发现珍稀保护野生动植物。</w:t>
            </w:r>
          </w:p>
          <w:p>
            <w:pPr>
              <w:spacing w:line="360" w:lineRule="auto"/>
              <w:ind w:firstLine="480" w:firstLineChars="200"/>
            </w:pPr>
            <w:r>
              <w:rPr>
                <w:rFonts w:hint="eastAsia"/>
              </w:rPr>
              <w:t>项目施工占地面积较少，在采取减少施工面积，避让当地原生植被，对临时堆土场采取修筑排水边渠，可减少水土流失量和植被的破坏面积，施工期结束后，采取绿化措施。</w:t>
            </w:r>
          </w:p>
          <w:p>
            <w:pPr>
              <w:spacing w:line="360" w:lineRule="auto"/>
              <w:ind w:firstLine="480" w:firstLineChars="200"/>
            </w:pPr>
            <w:r>
              <w:rPr>
                <w:rFonts w:hint="eastAsia"/>
              </w:rPr>
              <w:t>综上所述，本项目的建设对周边生态环境影响很小。</w:t>
            </w:r>
          </w:p>
          <w:p/>
        </w:tc>
      </w:tr>
    </w:tbl>
    <w:p>
      <w:pPr>
        <w:snapToGrid w:val="0"/>
        <w:spacing w:line="276" w:lineRule="auto"/>
        <w:outlineLvl w:val="0"/>
        <w:rPr>
          <w:b/>
          <w:color w:val="000000" w:themeColor="text1"/>
          <w:sz w:val="30"/>
          <w14:textFill>
            <w14:solidFill>
              <w14:schemeClr w14:val="tx1"/>
            </w14:solidFill>
          </w14:textFill>
        </w:rPr>
      </w:pPr>
      <w:r>
        <w:rPr>
          <w:color w:val="000000" w:themeColor="text1"/>
          <w:sz w:val="28"/>
          <w14:textFill>
            <w14:solidFill>
              <w14:schemeClr w14:val="tx1"/>
            </w14:solidFill>
          </w14:textFill>
        </w:rPr>
        <w:br w:type="page"/>
      </w:r>
      <w:bookmarkStart w:id="26" w:name="_Toc523322732"/>
      <w:r>
        <w:rPr>
          <w:b/>
          <w:color w:val="000000" w:themeColor="text1"/>
          <w:sz w:val="28"/>
          <w14:textFill>
            <w14:solidFill>
              <w14:schemeClr w14:val="tx1"/>
            </w14:solidFill>
          </w14:textFill>
        </w:rPr>
        <w:t>九、</w:t>
      </w:r>
      <w:r>
        <w:rPr>
          <w:b/>
          <w:color w:val="000000" w:themeColor="text1"/>
          <w:sz w:val="30"/>
          <w14:textFill>
            <w14:solidFill>
              <w14:schemeClr w14:val="tx1"/>
            </w14:solidFill>
          </w14:textFill>
        </w:rPr>
        <w:t>结论与建议</w:t>
      </w:r>
      <w:bookmarkEnd w:id="26"/>
    </w:p>
    <w:tbl>
      <w:tblPr>
        <w:tblStyle w:val="44"/>
        <w:tblW w:w="8647" w:type="dxa"/>
        <w:tblInd w:w="108"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8647"/>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2445" w:hRule="atLeast"/>
        </w:trPr>
        <w:tc>
          <w:tcPr>
            <w:tcW w:w="8647" w:type="dxa"/>
          </w:tcPr>
          <w:p>
            <w:pPr>
              <w:pStyle w:val="31"/>
              <w:ind w:firstLine="0" w:firstLineChars="0"/>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一、结论</w:t>
            </w:r>
          </w:p>
          <w:p>
            <w:pPr>
              <w:spacing w:line="360" w:lineRule="auto"/>
              <w:ind w:firstLine="482" w:firstLineChars="200"/>
              <w:rPr>
                <w:rFonts w:eastAsiaTheme="minorEastAsia"/>
                <w:bCs/>
                <w:color w:val="000000" w:themeColor="text1"/>
                <w14:textFill>
                  <w14:solidFill>
                    <w14:schemeClr w14:val="tx1"/>
                  </w14:solidFill>
                </w14:textFill>
              </w:rPr>
            </w:pPr>
            <w:r>
              <w:rPr>
                <w:rFonts w:eastAsiaTheme="minorEastAsia"/>
                <w:b/>
                <w:bCs w:val="0"/>
                <w:color w:val="000000" w:themeColor="text1"/>
                <w14:textFill>
                  <w14:solidFill>
                    <w14:schemeClr w14:val="tx1"/>
                  </w14:solidFill>
                </w14:textFill>
              </w:rPr>
              <w:t>1、项目概况</w:t>
            </w:r>
          </w:p>
          <w:p>
            <w:pPr>
              <w:spacing w:line="360" w:lineRule="auto"/>
              <w:ind w:firstLine="480" w:firstLineChars="200"/>
              <w:rPr>
                <w:rFonts w:hint="eastAsia"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谭子坑饮用水源取水口迁移工程建设内容为：依托洪水港取水泵站，新增2台90KW泵机，2根DN500取水管，新敷设输水管道，其中广兴洲镇输水管道2.6km，沿西干渠铺设，在二支渠交汇处与原输水管道相连（坐标112°54'05.61"，29°35'11.20"）。许市镇输水管道2.2km ，西干渠铺设，在长号居民点沿线支渠交汇处与原输水管道相连（坐标112°54'14.26"，29°35'51.91"）。总用地面积 4160m2。取水水源仍为长江，取水口坐标为：112°54'24.93"，纬度 29°36'33.59"。洪水港泵站设计流量为19.54m3/s，设计扬程为11.5m，装机为630kw*5，出水钢管为6根DN1400mm压力钢管。新增2根压力钢管DN500接入新铺设的广兴洲镇输水管道，许市输水管道。新建输水管道与原有输水干管相连，进入广兴洲镇自来水厂和许市镇自来水厂。</w:t>
            </w:r>
          </w:p>
          <w:p>
            <w:pPr>
              <w:spacing w:line="360" w:lineRule="auto"/>
              <w:ind w:firstLine="482" w:firstLineChars="200"/>
              <w:rPr>
                <w:rFonts w:eastAsiaTheme="minorEastAsia"/>
                <w:b/>
                <w:bCs w:val="0"/>
                <w:color w:val="000000" w:themeColor="text1"/>
                <w14:textFill>
                  <w14:solidFill>
                    <w14:schemeClr w14:val="tx1"/>
                  </w14:solidFill>
                </w14:textFill>
              </w:rPr>
            </w:pPr>
            <w:r>
              <w:rPr>
                <w:rFonts w:eastAsiaTheme="minorEastAsia"/>
                <w:b/>
                <w:bCs w:val="0"/>
                <w:color w:val="000000" w:themeColor="text1"/>
                <w14:textFill>
                  <w14:solidFill>
                    <w14:schemeClr w14:val="tx1"/>
                  </w14:solidFill>
                </w14:textFill>
              </w:rPr>
              <w:t>2、产业政策符合性</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根据 2017 年国民经济行业分类，本项目属于“E4821 水源及供水设施工程建 筑”，根据《产业结构调整指导目录（2011 年本）（2013 修正）》，本项目属于鼓励 类“二十二、城市基础设施”中“7、城镇安全饮水工程”</w:t>
            </w:r>
            <w:r>
              <w:rPr>
                <w:rFonts w:hint="eastAsia" w:eastAsiaTheme="minorEastAsia"/>
                <w:bCs/>
                <w:color w:val="000000" w:themeColor="text1"/>
                <w14:textFill>
                  <w14:solidFill>
                    <w14:schemeClr w14:val="tx1"/>
                  </w14:solidFill>
                </w14:textFill>
              </w:rPr>
              <w:t>。</w:t>
            </w:r>
            <w:r>
              <w:rPr>
                <w:rFonts w:eastAsiaTheme="minorEastAsia"/>
                <w:bCs/>
                <w:color w:val="000000" w:themeColor="text1"/>
                <w14:textFill>
                  <w14:solidFill>
                    <w14:schemeClr w14:val="tx1"/>
                  </w14:solidFill>
                </w14:textFill>
              </w:rPr>
              <w:t xml:space="preserve"> </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因此，本项目符合产业政策要求。</w:t>
            </w:r>
          </w:p>
          <w:p>
            <w:pPr>
              <w:spacing w:line="360" w:lineRule="auto"/>
              <w:ind w:firstLine="482" w:firstLineChars="200"/>
              <w:rPr>
                <w:rFonts w:eastAsiaTheme="minorEastAsia"/>
                <w:bCs/>
                <w:color w:val="000000" w:themeColor="text1"/>
                <w14:textFill>
                  <w14:solidFill>
                    <w14:schemeClr w14:val="tx1"/>
                  </w14:solidFill>
                </w14:textFill>
              </w:rPr>
            </w:pPr>
            <w:r>
              <w:rPr>
                <w:rFonts w:eastAsiaTheme="minorEastAsia"/>
                <w:b/>
                <w:bCs w:val="0"/>
                <w:color w:val="000000" w:themeColor="text1"/>
                <w14:textFill>
                  <w14:solidFill>
                    <w14:schemeClr w14:val="tx1"/>
                  </w14:solidFill>
                </w14:textFill>
              </w:rPr>
              <w:t>3</w:t>
            </w:r>
            <w:r>
              <w:rPr>
                <w:rFonts w:hint="eastAsia" w:eastAsiaTheme="minorEastAsia"/>
                <w:b/>
                <w:bCs w:val="0"/>
                <w:color w:val="000000" w:themeColor="text1"/>
                <w14:textFill>
                  <w14:solidFill>
                    <w14:schemeClr w14:val="tx1"/>
                  </w14:solidFill>
                </w14:textFill>
              </w:rPr>
              <w:t>、项目选址合理性及外环境相容性分析</w:t>
            </w:r>
          </w:p>
          <w:p>
            <w:pPr>
              <w:spacing w:line="360" w:lineRule="auto"/>
              <w:ind w:firstLine="480" w:firstLineChars="200"/>
              <w:rPr>
                <w:rFonts w:hint="eastAsia"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（1）取水口合理性分析</w:t>
            </w:r>
          </w:p>
          <w:p>
            <w:pPr>
              <w:spacing w:line="360" w:lineRule="auto"/>
              <w:ind w:firstLine="480" w:firstLineChars="200"/>
              <w:rPr>
                <w:rFonts w:hint="eastAsia"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根据《三峡后续工作长江中下游影响处理湖南段一期河道整治工程初步设计报告》河道演变形式可知，本次拟迁移站址在K34+774处，河岸附近未出现岸坡崩挫和近岸河床险情，因此，站址选择从河道演变分析上看是合理的。取水口设置在长江桩号34+774，距离上游桩号31+403华容小荆湖排污口3.371Km，大于3Km，取水水质较好。因此，岳阳市长江补水工程从君山区建设垸洪水港取水口处取水选择是合理的，能保证取水枢纽安全可靠，能满足君山区农田灌溉用水和生态环境用水。</w:t>
            </w:r>
          </w:p>
          <w:p>
            <w:pPr>
              <w:spacing w:line="360" w:lineRule="auto"/>
              <w:ind w:firstLine="480" w:firstLineChars="200"/>
              <w:rPr>
                <w:rFonts w:hint="eastAsia"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（2）饮用水源取水口与长江补水工程相容性分析</w:t>
            </w:r>
          </w:p>
          <w:p>
            <w:pPr>
              <w:spacing w:line="360" w:lineRule="auto"/>
              <w:ind w:firstLine="480" w:firstLineChars="200"/>
              <w:rPr>
                <w:rFonts w:hint="eastAsia"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长江补水工程以长江干流为水源，设计最大取水流量19.54m3/s。工程河段设计最小流量为6000 m3/s；可供水量为2948 m3/s。岳阳长江补水工程设计最大取水量占取水河段设计最小流量的0.3%，占可供水量的0.7%。广兴洲镇自来水厂最大取水量为0.055m3/s，许市镇自来水厂最大取水量为0.04m3/s，两个水厂最大取水流量占取水河段设计最小流量的0.00016%，占可供水量的0.00003%。说明本项目对长江补水工程的取水量没有影响。</w:t>
            </w:r>
          </w:p>
          <w:p>
            <w:pPr>
              <w:spacing w:line="360" w:lineRule="auto"/>
              <w:ind w:firstLine="480" w:firstLineChars="200"/>
              <w:rPr>
                <w:rFonts w:hint="eastAsia"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（3）输水管线外环境关系</w:t>
            </w:r>
          </w:p>
          <w:p>
            <w:pPr>
              <w:spacing w:line="360" w:lineRule="auto"/>
              <w:ind w:firstLine="480" w:firstLineChars="200"/>
              <w:rPr>
                <w:rFonts w:hint="eastAsia"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项目输水管道广兴洲镇水厂管道铺设2.6km，许市镇水厂管道铺设2.2km，两个水厂输水管道平行铺设，间距500m。管道穿过防洪大堤沿建设院西干渠铺设。从泵站起点，长度在230~300m东西两侧分布有黑渔胡子居民点3户，从泵站为起点，长度在1303m东西两侧分布有长号居民点，3户。从泵站为起点，长度在2268m东侧分布下台子居民点1户。</w:t>
            </w:r>
          </w:p>
          <w:p>
            <w:pPr>
              <w:spacing w:line="360" w:lineRule="auto"/>
              <w:ind w:firstLine="480" w:firstLineChars="200"/>
              <w:rPr>
                <w:rFonts w:hint="eastAsia"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项目新铺设管道沿农灌渠铺设，周边为农田和灌丛，污染相对较小，许市镇水厂输水管道在沿西干渠2.2km处与原有管道连接，广兴洲镇水厂输水管道在沿西干渠2.6km处与原有管道连接。</w:t>
            </w:r>
          </w:p>
          <w:p>
            <w:pPr>
              <w:spacing w:line="360" w:lineRule="auto"/>
              <w:ind w:firstLine="480" w:firstLineChars="200"/>
              <w:rPr>
                <w:rFonts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综上所述，本项目选址合理，与周边环境相容。</w:t>
            </w:r>
          </w:p>
          <w:p>
            <w:pPr>
              <w:spacing w:line="360" w:lineRule="auto"/>
              <w:ind w:firstLine="482" w:firstLineChars="200"/>
              <w:rPr>
                <w:rFonts w:eastAsiaTheme="minorEastAsia"/>
                <w:b/>
                <w:bCs w:val="0"/>
                <w:color w:val="000000" w:themeColor="text1"/>
                <w14:textFill>
                  <w14:solidFill>
                    <w14:schemeClr w14:val="tx1"/>
                  </w14:solidFill>
                </w14:textFill>
              </w:rPr>
            </w:pPr>
            <w:r>
              <w:rPr>
                <w:rFonts w:hint="eastAsia" w:eastAsiaTheme="minorEastAsia"/>
                <w:b/>
                <w:bCs w:val="0"/>
                <w:color w:val="000000" w:themeColor="text1"/>
                <w14:textFill>
                  <w14:solidFill>
                    <w14:schemeClr w14:val="tx1"/>
                  </w14:solidFill>
                </w14:textFill>
              </w:rPr>
              <w:t>4、平面布置合理性分析</w:t>
            </w:r>
          </w:p>
          <w:p>
            <w:pPr>
              <w:spacing w:line="360" w:lineRule="auto"/>
              <w:ind w:firstLine="480" w:firstLineChars="200"/>
              <w:rPr>
                <w:rFonts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本项目选址于君山区广兴洲镇洪市村。工程依托洪水港取水泵站，新铺设两条输水管分别为2.2km，2.6km。项目新铺设管道沿农灌渠铺设，周边为农田和灌丛，污染相对较小，许市镇水厂输水管道在沿西干渠2.2km处与原有管道连接，广兴洲镇水厂输水管道在沿西干渠2.6km处与原有管道连接。</w:t>
            </w:r>
          </w:p>
          <w:p>
            <w:pPr>
              <w:spacing w:line="360" w:lineRule="auto"/>
              <w:ind w:firstLine="480" w:firstLineChars="200"/>
              <w:rPr>
                <w:rFonts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综上所述，本项目平面布置合理。</w:t>
            </w:r>
          </w:p>
          <w:p>
            <w:pPr>
              <w:spacing w:line="360" w:lineRule="auto"/>
              <w:ind w:firstLine="482" w:firstLineChars="200"/>
              <w:rPr>
                <w:rFonts w:eastAsiaTheme="minorEastAsia"/>
                <w:b/>
                <w:bCs w:val="0"/>
                <w:color w:val="000000" w:themeColor="text1"/>
                <w14:textFill>
                  <w14:solidFill>
                    <w14:schemeClr w14:val="tx1"/>
                  </w14:solidFill>
                </w14:textFill>
              </w:rPr>
            </w:pPr>
            <w:r>
              <w:rPr>
                <w:rFonts w:eastAsiaTheme="minorEastAsia"/>
                <w:b/>
                <w:bCs w:val="0"/>
                <w:color w:val="000000" w:themeColor="text1"/>
                <w14:textFill>
                  <w14:solidFill>
                    <w14:schemeClr w14:val="tx1"/>
                  </w14:solidFill>
                </w14:textFill>
              </w:rPr>
              <w:t>5、区域环境质量现状</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（1）地表水</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 xml:space="preserve">地表水评价引用 </w:t>
            </w:r>
            <w:r>
              <w:rPr>
                <w:rFonts w:hint="eastAsia" w:eastAsiaTheme="minorEastAsia"/>
                <w:bCs/>
                <w:color w:val="000000" w:themeColor="text1"/>
                <w14:textFill>
                  <w14:solidFill>
                    <w14:schemeClr w14:val="tx1"/>
                  </w14:solidFill>
                </w14:textFill>
              </w:rPr>
              <w:t>2</w:t>
            </w:r>
            <w:r>
              <w:rPr>
                <w:rFonts w:eastAsiaTheme="minorEastAsia"/>
                <w:bCs/>
                <w:color w:val="000000" w:themeColor="text1"/>
                <w14:textFill>
                  <w14:solidFill>
                    <w14:schemeClr w14:val="tx1"/>
                  </w14:solidFill>
                </w14:textFill>
              </w:rPr>
              <w:t>018</w:t>
            </w:r>
            <w:r>
              <w:rPr>
                <w:rFonts w:hint="eastAsia" w:eastAsiaTheme="minorEastAsia"/>
                <w:bCs/>
                <w:color w:val="000000" w:themeColor="text1"/>
                <w14:textFill>
                  <w14:solidFill>
                    <w14:schemeClr w14:val="tx1"/>
                  </w14:solidFill>
                </w14:textFill>
              </w:rPr>
              <w:t>年1</w:t>
            </w:r>
            <w:r>
              <w:rPr>
                <w:rFonts w:eastAsiaTheme="minorEastAsia"/>
                <w:bCs/>
                <w:color w:val="000000" w:themeColor="text1"/>
                <w14:textFill>
                  <w14:solidFill>
                    <w14:schemeClr w14:val="tx1"/>
                  </w14:solidFill>
                </w14:textFill>
              </w:rPr>
              <w:t>2</w:t>
            </w:r>
            <w:r>
              <w:rPr>
                <w:rFonts w:hint="eastAsia" w:eastAsiaTheme="minorEastAsia"/>
                <w:bCs/>
                <w:color w:val="000000" w:themeColor="text1"/>
                <w14:textFill>
                  <w14:solidFill>
                    <w14:schemeClr w14:val="tx1"/>
                  </w14:solidFill>
                </w14:textFill>
              </w:rPr>
              <w:t>月2</w:t>
            </w:r>
            <w:r>
              <w:rPr>
                <w:rFonts w:eastAsiaTheme="minorEastAsia"/>
                <w:bCs/>
                <w:color w:val="000000" w:themeColor="text1"/>
                <w14:textFill>
                  <w14:solidFill>
                    <w14:schemeClr w14:val="tx1"/>
                  </w14:solidFill>
                </w14:textFill>
              </w:rPr>
              <w:t>6</w:t>
            </w:r>
            <w:r>
              <w:rPr>
                <w:rFonts w:hint="eastAsia" w:eastAsiaTheme="minorEastAsia"/>
                <w:bCs/>
                <w:color w:val="000000" w:themeColor="text1"/>
                <w14:textFill>
                  <w14:solidFill>
                    <w14:schemeClr w14:val="tx1"/>
                  </w14:solidFill>
                </w14:textFill>
              </w:rPr>
              <w:t>日（枯水期）潭子坑取水口河道的水质</w:t>
            </w:r>
            <w:r>
              <w:rPr>
                <w:rFonts w:eastAsiaTheme="minorEastAsia"/>
                <w:bCs/>
                <w:color w:val="000000" w:themeColor="text1"/>
                <w14:textFill>
                  <w14:solidFill>
                    <w14:schemeClr w14:val="tx1"/>
                  </w14:solidFill>
                </w14:textFill>
              </w:rPr>
              <w:t>检测结果表明：本项目</w:t>
            </w:r>
            <w:r>
              <w:rPr>
                <w:rFonts w:hint="eastAsia" w:eastAsiaTheme="minorEastAsia"/>
                <w:bCs/>
                <w:color w:val="000000" w:themeColor="text1"/>
                <w14:textFill>
                  <w14:solidFill>
                    <w14:schemeClr w14:val="tx1"/>
                  </w14:solidFill>
                </w14:textFill>
              </w:rPr>
              <w:t>洪水港取水口长江河道</w:t>
            </w:r>
            <w:r>
              <w:rPr>
                <w:rFonts w:eastAsiaTheme="minorEastAsia"/>
                <w:bCs/>
                <w:color w:val="000000" w:themeColor="text1"/>
                <w14:textFill>
                  <w14:solidFill>
                    <w14:schemeClr w14:val="tx1"/>
                  </w14:solidFill>
                </w14:textFill>
              </w:rPr>
              <w:t>评价范围水质能够满足《地表水环境质量标准》（GB 3838-2002）III 类标准要求。</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（2）环境空气</w:t>
            </w:r>
          </w:p>
          <w:p>
            <w:pPr>
              <w:spacing w:line="360" w:lineRule="auto"/>
              <w:ind w:firstLine="480" w:firstLineChars="200"/>
              <w:rPr>
                <w:rFonts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根据2018年度君山区常规监测点统计数据</w:t>
            </w:r>
            <w:r>
              <w:rPr>
                <w:rFonts w:eastAsiaTheme="minorEastAsia"/>
                <w:bCs/>
                <w:color w:val="000000" w:themeColor="text1"/>
                <w14:textFill>
                  <w14:solidFill>
                    <w14:schemeClr w14:val="tx1"/>
                  </w14:solidFill>
                </w14:textFill>
              </w:rPr>
              <w:t>。</w:t>
            </w:r>
            <w:r>
              <w:rPr>
                <w:rFonts w:hint="eastAsia" w:eastAsiaTheme="minorEastAsia"/>
                <w:bCs/>
                <w:color w:val="000000" w:themeColor="text1"/>
                <w14:textFill>
                  <w14:solidFill>
                    <w14:schemeClr w14:val="tx1"/>
                  </w14:solidFill>
                </w14:textFill>
              </w:rPr>
              <w:t>2018年度君山区环境空气质量除PM10不能达到《环境空气质量标准》（GB3095-2012）二级标准，其它各项因子均达标。综上，君山区属于不达标区。</w:t>
            </w:r>
          </w:p>
          <w:p>
            <w:pPr>
              <w:spacing w:line="360" w:lineRule="auto"/>
              <w:ind w:firstLine="480" w:firstLineChars="200"/>
              <w:rPr>
                <w:rFonts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项目取水工程位于湖南东洞庭湖国家级自然保护区内，上述区段所在区域属于大气环境功能一类区，环境空气评价执行GB3095-2012《环境空气质量标准》一级标准；为弄清拟建工程区域的环境空气质量现状，项目引用《岳阳市长江补水工程（一期工程）环境影响报告书》中湖南永蓝检测技术股份有限公司在项目区域进行的环境空气质量现状监测。本项目监测点（A1洪市村）位于湖南东洞庭湖国家级自然保护区内，上述段区域属于大气环境功能一类区，环境空气质量执行《环境空气质量标准》(GB3095-2012)一级标准，A1点位（洪市村）各项指标能够满足《环境空气质量标准》(GB3095-2012)一级标准，区域环境空气质量较好。</w:t>
            </w:r>
          </w:p>
          <w:p>
            <w:pPr>
              <w:spacing w:line="360" w:lineRule="auto"/>
              <w:ind w:firstLine="480" w:firstLineChars="200"/>
              <w:rPr>
                <w:rFonts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（3）</w:t>
            </w:r>
            <w:r>
              <w:rPr>
                <w:rFonts w:eastAsiaTheme="minorEastAsia"/>
                <w:bCs/>
                <w:color w:val="000000" w:themeColor="text1"/>
                <w14:textFill>
                  <w14:solidFill>
                    <w14:schemeClr w14:val="tx1"/>
                  </w14:solidFill>
                </w14:textFill>
              </w:rPr>
              <w:t xml:space="preserve">声环境 </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声环境现状评价结果表明：监测期间，各监测点位昼间及夜间监测值均能达到《声环境质量标准》（GB3096-2008）中 2 类标准限值（昼间 60dB(A)、夜间 50dB(A)）要 求，表明项目所在地声环境质量良好。</w:t>
            </w:r>
          </w:p>
          <w:p>
            <w:pPr>
              <w:numPr>
                <w:ilvl w:val="0"/>
                <w:numId w:val="1"/>
              </w:numPr>
              <w:spacing w:line="360" w:lineRule="auto"/>
              <w:ind w:firstLine="480" w:firstLineChars="200"/>
              <w:rPr>
                <w:rFonts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 xml:space="preserve">地下水 </w:t>
            </w:r>
            <w:r>
              <w:rPr>
                <w:rFonts w:eastAsiaTheme="minorEastAsia"/>
                <w:bCs/>
                <w:color w:val="000000" w:themeColor="text1"/>
                <w14:textFill>
                  <w14:solidFill>
                    <w14:schemeClr w14:val="tx1"/>
                  </w14:solidFill>
                </w14:textFill>
              </w:rPr>
              <w:t xml:space="preserve"> </w:t>
            </w:r>
          </w:p>
          <w:p>
            <w:pPr>
              <w:spacing w:line="360" w:lineRule="auto"/>
              <w:ind w:firstLine="480" w:firstLineChars="200"/>
              <w:rPr>
                <w:rFonts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本项目新迁取水泵站位于洪水港取水泵站，与《岳阳市长江补水工程（一期工程）环境影响报告书》中的取水泵站为同一取水泵站，因此本项目引用该项目中的地下水现状监测数据。本项目地下水监测点主要选在洪水港取水泵站附近的居民点，监测结果表明，该项目区域地下水质良好。</w:t>
            </w:r>
          </w:p>
          <w:p>
            <w:pPr>
              <w:numPr>
                <w:ilvl w:val="0"/>
                <w:numId w:val="1"/>
              </w:numPr>
              <w:spacing w:line="480" w:lineRule="exact"/>
              <w:ind w:firstLine="480" w:firstLineChars="200"/>
              <w:rPr>
                <w:rFonts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 xml:space="preserve">底泥及土壤 </w:t>
            </w:r>
            <w:r>
              <w:rPr>
                <w:rFonts w:eastAsiaTheme="minorEastAsia"/>
                <w:bCs/>
                <w:color w:val="000000" w:themeColor="text1"/>
                <w14:textFill>
                  <w14:solidFill>
                    <w14:schemeClr w14:val="tx1"/>
                  </w14:solidFill>
                </w14:textFill>
              </w:rPr>
              <w:t xml:space="preserve"> </w:t>
            </w:r>
          </w:p>
          <w:p>
            <w:pPr>
              <w:spacing w:line="480" w:lineRule="exact"/>
              <w:ind w:firstLine="480" w:firstLineChars="200"/>
            </w:pPr>
            <w:r>
              <w:rPr>
                <w:rFonts w:hint="eastAsia"/>
              </w:rPr>
              <w:t>工程范围内的土壤环境和水域内的底泥各项监测因子均符合《土壤环境质量 农用地土壤污染风险管控标准（试行）》（GB 15618-2018）标准要求，区域土壤和底泥环境质量较好。</w:t>
            </w:r>
          </w:p>
          <w:p>
            <w:pPr>
              <w:numPr>
                <w:ilvl w:val="0"/>
                <w:numId w:val="1"/>
              </w:numPr>
              <w:spacing w:line="360" w:lineRule="auto"/>
              <w:ind w:firstLine="480" w:firstLineChars="200"/>
              <w:rPr>
                <w:rFonts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 xml:space="preserve">生态环境 </w:t>
            </w:r>
            <w:r>
              <w:rPr>
                <w:rFonts w:eastAsiaTheme="minorEastAsia"/>
                <w:bCs/>
                <w:color w:val="000000" w:themeColor="text1"/>
                <w14:textFill>
                  <w14:solidFill>
                    <w14:schemeClr w14:val="tx1"/>
                  </w14:solidFill>
                </w14:textFill>
              </w:rPr>
              <w:t xml:space="preserve"> </w:t>
            </w:r>
          </w:p>
          <w:p>
            <w:pPr>
              <w:spacing w:line="360" w:lineRule="auto"/>
              <w:ind w:firstLine="480" w:firstLineChars="200"/>
              <w:rPr>
                <w:rFonts w:eastAsiaTheme="minorEastAsia"/>
                <w:bCs/>
                <w:color w:val="000000" w:themeColor="text1"/>
                <w14:textFill>
                  <w14:solidFill>
                    <w14:schemeClr w14:val="tx1"/>
                  </w14:solidFill>
                </w14:textFill>
              </w:rPr>
            </w:pPr>
            <w:r>
              <w:rPr>
                <w:rFonts w:hint="eastAsia" w:eastAsiaTheme="minorEastAsia"/>
                <w:bCs/>
                <w:color w:val="000000" w:themeColor="text1"/>
                <w14:textFill>
                  <w14:solidFill>
                    <w14:schemeClr w14:val="tx1"/>
                  </w14:solidFill>
                </w14:textFill>
              </w:rPr>
              <w:t>本工程位于东洞庭湖自然保护区实验区，紧邻保护区的边界，离核心区最近距离约13.5km，离缓冲区最近距离约12.56km，远离东洞庭湖国家级保护区重要物种栖息地，且相对远离洞庭湖湿地，工程周边人类活动频繁且历史悠长，现以农业、城市生态系统和水生生态系统为特征。</w:t>
            </w:r>
          </w:p>
          <w:p>
            <w:pPr>
              <w:numPr>
                <w:ilvl w:val="0"/>
                <w:numId w:val="0"/>
              </w:numPr>
              <w:spacing w:line="360" w:lineRule="auto"/>
              <w:ind w:firstLine="482" w:firstLineChars="200"/>
              <w:rPr>
                <w:rFonts w:eastAsiaTheme="minorEastAsia"/>
                <w:b/>
                <w:bCs w:val="0"/>
                <w:color w:val="000000" w:themeColor="text1"/>
                <w14:textFill>
                  <w14:solidFill>
                    <w14:schemeClr w14:val="tx1"/>
                  </w14:solidFill>
                </w14:textFill>
              </w:rPr>
            </w:pPr>
            <w:r>
              <w:rPr>
                <w:rFonts w:hint="eastAsia" w:eastAsiaTheme="minorEastAsia"/>
                <w:b/>
                <w:bCs w:val="0"/>
                <w:color w:val="000000" w:themeColor="text1"/>
                <w:lang w:val="en-US" w:eastAsia="zh-CN"/>
                <w14:textFill>
                  <w14:solidFill>
                    <w14:schemeClr w14:val="tx1"/>
                  </w14:solidFill>
                </w14:textFill>
              </w:rPr>
              <w:t>6、</w:t>
            </w:r>
            <w:r>
              <w:rPr>
                <w:rFonts w:eastAsiaTheme="minorEastAsia"/>
                <w:b/>
                <w:bCs w:val="0"/>
                <w:color w:val="000000" w:themeColor="text1"/>
                <w14:textFill>
                  <w14:solidFill>
                    <w14:schemeClr w14:val="tx1"/>
                  </w14:solidFill>
                </w14:textFill>
              </w:rPr>
              <w:t>环境影响及污染物治理措施</w:t>
            </w:r>
          </w:p>
          <w:p>
            <w:pPr>
              <w:spacing w:line="360" w:lineRule="auto"/>
              <w:ind w:firstLine="480" w:firstLineChars="200"/>
              <w:rPr>
                <w:rFonts w:eastAsiaTheme="minorEastAsia"/>
                <w:b/>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 xml:space="preserve"> </w:t>
            </w:r>
            <w:r>
              <w:rPr>
                <w:rFonts w:eastAsiaTheme="minorEastAsia"/>
                <w:b/>
                <w:bCs/>
                <w:color w:val="000000" w:themeColor="text1"/>
                <w14:textFill>
                  <w14:solidFill>
                    <w14:schemeClr w14:val="tx1"/>
                  </w14:solidFill>
                </w14:textFill>
              </w:rPr>
              <w:t>施工期</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 xml:space="preserve">（1）废水 </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施工废水</w:t>
            </w:r>
            <w:r>
              <w:rPr>
                <w:rFonts w:hint="eastAsia" w:eastAsiaTheme="minorEastAsia"/>
                <w:bCs/>
                <w:color w:val="000000" w:themeColor="text1"/>
                <w14:textFill>
                  <w14:solidFill>
                    <w14:schemeClr w14:val="tx1"/>
                  </w14:solidFill>
                </w14:textFill>
              </w:rPr>
              <w:t>通过洒水抑尘蒸发、试压废水</w:t>
            </w:r>
            <w:r>
              <w:rPr>
                <w:rFonts w:eastAsiaTheme="minorEastAsia"/>
                <w:bCs/>
                <w:color w:val="000000" w:themeColor="text1"/>
                <w14:textFill>
                  <w14:solidFill>
                    <w14:schemeClr w14:val="tx1"/>
                  </w14:solidFill>
                </w14:textFill>
              </w:rPr>
              <w:t>沉淀处理后回用</w:t>
            </w:r>
            <w:r>
              <w:rPr>
                <w:rFonts w:hint="eastAsia" w:eastAsiaTheme="minorEastAsia"/>
                <w:bCs/>
                <w:color w:val="000000" w:themeColor="text1"/>
                <w14:textFill>
                  <w14:solidFill>
                    <w14:schemeClr w14:val="tx1"/>
                  </w14:solidFill>
                </w14:textFill>
              </w:rPr>
              <w:t>施工抑尘。</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 xml:space="preserve">（2）废气 </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施工扬尘：采取严格落实建设施工工地扬尘整治管理制度。定期洒水抑尘。燃油废气采用合格油品；定期对设备进行维护。</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 xml:space="preserve">（3）噪声 </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施工期尽量采用低噪声机械设备合理安排施工物料的运输时间；夜间 22 时至凌晨 6 时应禁止施工。</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 xml:space="preserve">（4）固废 </w:t>
            </w:r>
          </w:p>
          <w:p>
            <w:pPr>
              <w:spacing w:line="360" w:lineRule="auto"/>
              <w:ind w:firstLine="480" w:firstLineChars="200"/>
              <w:rPr>
                <w:rFonts w:hint="eastAsia" w:eastAsiaTheme="minorEastAsia"/>
                <w:bCs/>
                <w:color w:val="000000" w:themeColor="text1"/>
                <w:highlight w:val="none"/>
                <w:lang w:eastAsia="zh-CN"/>
                <w14:textFill>
                  <w14:solidFill>
                    <w14:schemeClr w14:val="tx1"/>
                  </w14:solidFill>
                </w14:textFill>
              </w:rPr>
            </w:pPr>
            <w:r>
              <w:rPr>
                <w:rFonts w:hint="eastAsia" w:eastAsiaTheme="minorEastAsia"/>
                <w:bCs/>
                <w:color w:val="000000" w:themeColor="text1"/>
                <w:highlight w:val="none"/>
                <w14:textFill>
                  <w14:solidFill>
                    <w14:schemeClr w14:val="tx1"/>
                  </w14:solidFill>
                </w14:textFill>
              </w:rPr>
              <w:t>土方全部回填</w:t>
            </w:r>
            <w:r>
              <w:rPr>
                <w:rFonts w:eastAsiaTheme="minorEastAsia"/>
                <w:bCs/>
                <w:color w:val="000000" w:themeColor="text1"/>
                <w:highlight w:val="none"/>
                <w14:textFill>
                  <w14:solidFill>
                    <w14:schemeClr w14:val="tx1"/>
                  </w14:solidFill>
                </w14:textFill>
              </w:rPr>
              <w:t>；表土临时堆存，用于后期覆土</w:t>
            </w:r>
            <w:r>
              <w:rPr>
                <w:rFonts w:hint="eastAsia" w:eastAsiaTheme="minorEastAsia"/>
                <w:bCs/>
                <w:color w:val="000000" w:themeColor="text1"/>
                <w:highlight w:val="none"/>
                <w14:textFill>
                  <w14:solidFill>
                    <w14:schemeClr w14:val="tx1"/>
                  </w14:solidFill>
                </w14:textFill>
              </w:rPr>
              <w:t>。</w:t>
            </w:r>
            <w:r>
              <w:rPr>
                <w:rFonts w:hint="eastAsia" w:eastAsiaTheme="minorEastAsia"/>
                <w:bCs/>
                <w:color w:val="000000" w:themeColor="text1"/>
                <w:highlight w:val="none"/>
                <w:lang w:eastAsia="zh-CN"/>
                <w14:textFill>
                  <w14:solidFill>
                    <w14:schemeClr w14:val="tx1"/>
                  </w14:solidFill>
                </w14:textFill>
              </w:rPr>
              <w:t>顶管施工废污泥，施工结束后剩余污泥运送至一般工业固体废物填埋场处置。</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 xml:space="preserve">（5）生态影响 </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本项目不设置临时施工营地，经现场踏勘，评价区域植被种类较单一，野生动物稀少，未发现珍稀保护野生动植物。要求施工过程中严格控制占地，减少现有植被破坏，不允许捕杀野生动物。施工结束后及时进行植被恢复或复垦和场内的绿化。</w:t>
            </w:r>
          </w:p>
          <w:p>
            <w:pPr>
              <w:spacing w:line="360" w:lineRule="auto"/>
              <w:ind w:firstLine="482" w:firstLineChars="200"/>
              <w:rPr>
                <w:rFonts w:eastAsiaTheme="minorEastAsia"/>
                <w:b/>
                <w:bCs/>
                <w:color w:val="000000" w:themeColor="text1"/>
                <w14:textFill>
                  <w14:solidFill>
                    <w14:schemeClr w14:val="tx1"/>
                  </w14:solidFill>
                </w14:textFill>
              </w:rPr>
            </w:pPr>
            <w:r>
              <w:rPr>
                <w:rFonts w:eastAsiaTheme="minorEastAsia"/>
                <w:b/>
                <w:bCs/>
                <w:color w:val="000000" w:themeColor="text1"/>
                <w14:textFill>
                  <w14:solidFill>
                    <w14:schemeClr w14:val="tx1"/>
                  </w14:solidFill>
                </w14:textFill>
              </w:rPr>
              <w:t xml:space="preserve">营运期 </w:t>
            </w:r>
          </w:p>
          <w:p>
            <w:pPr>
              <w:spacing w:line="360" w:lineRule="auto"/>
              <w:ind w:firstLine="480" w:firstLineChars="200"/>
              <w:rPr>
                <w:rFonts w:hint="eastAsia" w:eastAsiaTheme="minorEastAsia"/>
                <w:bCs/>
                <w:color w:val="000000" w:themeColor="text1"/>
                <w:highlight w:val="none"/>
                <w:lang w:eastAsia="zh-CN"/>
                <w14:textFill>
                  <w14:solidFill>
                    <w14:schemeClr w14:val="tx1"/>
                  </w14:solidFill>
                </w14:textFill>
              </w:rPr>
            </w:pPr>
            <w:r>
              <w:rPr>
                <w:rFonts w:hint="eastAsia" w:eastAsiaTheme="minorEastAsia"/>
                <w:bCs/>
                <w:color w:val="000000" w:themeColor="text1"/>
                <w:highlight w:val="none"/>
                <w:lang w:eastAsia="zh-CN"/>
                <w14:textFill>
                  <w14:solidFill>
                    <w14:schemeClr w14:val="tx1"/>
                  </w14:solidFill>
                </w14:textFill>
              </w:rPr>
              <w:t>（</w:t>
            </w:r>
            <w:r>
              <w:rPr>
                <w:rFonts w:hint="eastAsia" w:eastAsiaTheme="minorEastAsia"/>
                <w:bCs/>
                <w:color w:val="000000" w:themeColor="text1"/>
                <w:highlight w:val="none"/>
                <w:lang w:val="en-US" w:eastAsia="zh-CN"/>
                <w14:textFill>
                  <w14:solidFill>
                    <w14:schemeClr w14:val="tx1"/>
                  </w14:solidFill>
                </w14:textFill>
              </w:rPr>
              <w:t>1</w:t>
            </w:r>
            <w:r>
              <w:rPr>
                <w:rFonts w:hint="eastAsia" w:eastAsiaTheme="minorEastAsia"/>
                <w:bCs/>
                <w:color w:val="000000" w:themeColor="text1"/>
                <w:highlight w:val="none"/>
                <w:lang w:eastAsia="zh-CN"/>
                <w14:textFill>
                  <w14:solidFill>
                    <w14:schemeClr w14:val="tx1"/>
                  </w14:solidFill>
                </w14:textFill>
              </w:rPr>
              <w:t>）项目营运期无废水、废气污染。</w:t>
            </w:r>
          </w:p>
          <w:p>
            <w:pPr>
              <w:spacing w:line="360" w:lineRule="auto"/>
              <w:ind w:firstLine="480" w:firstLineChars="200"/>
              <w:rPr>
                <w:rFonts w:eastAsiaTheme="minorEastAsia"/>
                <w:bCs/>
                <w:color w:val="000000" w:themeColor="text1"/>
                <w:highlight w:val="none"/>
                <w14:textFill>
                  <w14:solidFill>
                    <w14:schemeClr w14:val="tx1"/>
                  </w14:solidFill>
                </w14:textFill>
              </w:rPr>
            </w:pPr>
            <w:r>
              <w:rPr>
                <w:rFonts w:hint="eastAsia" w:eastAsiaTheme="minorEastAsia"/>
                <w:bCs/>
                <w:color w:val="000000" w:themeColor="text1"/>
                <w:highlight w:val="none"/>
                <w:lang w:eastAsia="zh-CN"/>
                <w14:textFill>
                  <w14:solidFill>
                    <w14:schemeClr w14:val="tx1"/>
                  </w14:solidFill>
                </w14:textFill>
              </w:rPr>
              <w:t>（</w:t>
            </w:r>
            <w:r>
              <w:rPr>
                <w:rFonts w:hint="eastAsia" w:eastAsiaTheme="minorEastAsia"/>
                <w:bCs/>
                <w:color w:val="000000" w:themeColor="text1"/>
                <w:highlight w:val="none"/>
                <w:lang w:val="en-US" w:eastAsia="zh-CN"/>
                <w14:textFill>
                  <w14:solidFill>
                    <w14:schemeClr w14:val="tx1"/>
                  </w14:solidFill>
                </w14:textFill>
              </w:rPr>
              <w:t>2</w:t>
            </w:r>
            <w:r>
              <w:rPr>
                <w:rFonts w:hint="eastAsia" w:eastAsiaTheme="minorEastAsia"/>
                <w:bCs/>
                <w:color w:val="000000" w:themeColor="text1"/>
                <w:highlight w:val="none"/>
                <w:lang w:eastAsia="zh-CN"/>
                <w14:textFill>
                  <w14:solidFill>
                    <w14:schemeClr w14:val="tx1"/>
                  </w14:solidFill>
                </w14:textFill>
              </w:rPr>
              <w:t>）</w:t>
            </w:r>
            <w:r>
              <w:rPr>
                <w:rFonts w:eastAsiaTheme="minorEastAsia"/>
                <w:bCs/>
                <w:color w:val="000000" w:themeColor="text1"/>
                <w:highlight w:val="none"/>
                <w14:textFill>
                  <w14:solidFill>
                    <w14:schemeClr w14:val="tx1"/>
                  </w14:solidFill>
                </w14:textFill>
              </w:rPr>
              <w:t>项目营运期主要为噪声污染。噪声治理采取：</w:t>
            </w:r>
          </w:p>
          <w:p>
            <w:pPr>
              <w:numPr>
                <w:ilvl w:val="0"/>
                <w:numId w:val="0"/>
              </w:numPr>
              <w:spacing w:line="360" w:lineRule="auto"/>
              <w:ind w:firstLine="480" w:firstLineChars="200"/>
              <w:rPr>
                <w:highlight w:val="none"/>
              </w:rPr>
            </w:pPr>
            <w:r>
              <w:rPr>
                <w:rFonts w:eastAsiaTheme="minorEastAsia"/>
                <w:bCs/>
                <w:color w:val="000000" w:themeColor="text1"/>
                <w:highlight w:val="none"/>
                <w14:textFill>
                  <w14:solidFill>
                    <w14:schemeClr w14:val="tx1"/>
                  </w14:solidFill>
                </w14:textFill>
              </w:rPr>
              <w:t>设备选型上应选用先进的、噪音低、振动小的生产设备；定期对设备进行维护和保养，保证水泵高效、稳定运行。</w:t>
            </w:r>
          </w:p>
          <w:p>
            <w:pPr>
              <w:spacing w:line="360" w:lineRule="auto"/>
              <w:rPr>
                <w:rFonts w:hint="eastAsia" w:eastAsiaTheme="minorEastAsia"/>
                <w:b w:val="0"/>
                <w:bCs w:val="0"/>
                <w:color w:val="000000" w:themeColor="text1"/>
                <w:highlight w:val="none"/>
                <w:lang w:val="en-US" w:eastAsia="zh-CN"/>
                <w14:textFill>
                  <w14:solidFill>
                    <w14:schemeClr w14:val="tx1"/>
                  </w14:solidFill>
                </w14:textFill>
              </w:rPr>
            </w:pPr>
            <w:r>
              <w:rPr>
                <w:rFonts w:hint="eastAsia" w:eastAsiaTheme="minorEastAsia"/>
                <w:b/>
                <w:bCs/>
                <w:color w:val="000000" w:themeColor="text1"/>
                <w:highlight w:val="none"/>
                <w:lang w:val="en-US" w:eastAsia="zh-CN"/>
                <w14:textFill>
                  <w14:solidFill>
                    <w14:schemeClr w14:val="tx1"/>
                  </w14:solidFill>
                </w14:textFill>
              </w:rPr>
              <w:t xml:space="preserve">   </w:t>
            </w:r>
            <w:r>
              <w:rPr>
                <w:rFonts w:hint="eastAsia" w:eastAsiaTheme="minorEastAsia"/>
                <w:b w:val="0"/>
                <w:bCs w:val="0"/>
                <w:color w:val="000000" w:themeColor="text1"/>
                <w:highlight w:val="none"/>
                <w:lang w:val="en-US" w:eastAsia="zh-CN"/>
                <w14:textFill>
                  <w14:solidFill>
                    <w14:schemeClr w14:val="tx1"/>
                  </w14:solidFill>
                </w14:textFill>
              </w:rPr>
              <w:t>（3）项目营运期固体废物，主要为泵站维修的废机油，产生量较少，由维修人员带走处置。</w:t>
            </w:r>
          </w:p>
          <w:p>
            <w:pPr>
              <w:spacing w:line="360" w:lineRule="auto"/>
              <w:ind w:firstLine="482" w:firstLineChars="200"/>
              <w:rPr>
                <w:rFonts w:eastAsiaTheme="minorEastAsia"/>
                <w:b/>
                <w:bCs/>
                <w:color w:val="000000" w:themeColor="text1"/>
                <w14:textFill>
                  <w14:solidFill>
                    <w14:schemeClr w14:val="tx1"/>
                  </w14:solidFill>
                </w14:textFill>
              </w:rPr>
            </w:pPr>
            <w:r>
              <w:rPr>
                <w:rFonts w:hint="eastAsia" w:eastAsiaTheme="minorEastAsia"/>
                <w:b/>
                <w:bCs/>
                <w:color w:val="000000" w:themeColor="text1"/>
                <w:lang w:val="en-US" w:eastAsia="zh-CN"/>
                <w14:textFill>
                  <w14:solidFill>
                    <w14:schemeClr w14:val="tx1"/>
                  </w14:solidFill>
                </w14:textFill>
              </w:rPr>
              <w:t>7</w:t>
            </w:r>
            <w:r>
              <w:rPr>
                <w:rFonts w:hint="eastAsia" w:eastAsiaTheme="minorEastAsia"/>
                <w:b/>
                <w:bCs/>
                <w:color w:val="000000" w:themeColor="text1"/>
                <w14:textFill>
                  <w14:solidFill>
                    <w14:schemeClr w14:val="tx1"/>
                  </w14:solidFill>
                </w14:textFill>
              </w:rPr>
              <w:t>、</w:t>
            </w:r>
            <w:r>
              <w:rPr>
                <w:rFonts w:eastAsiaTheme="minorEastAsia"/>
                <w:b/>
                <w:bCs/>
                <w:color w:val="000000" w:themeColor="text1"/>
                <w14:textFill>
                  <w14:solidFill>
                    <w14:schemeClr w14:val="tx1"/>
                  </w14:solidFill>
                </w14:textFill>
              </w:rPr>
              <w:t xml:space="preserve">结论 </w:t>
            </w:r>
          </w:p>
          <w:p>
            <w:pPr>
              <w:spacing w:line="360" w:lineRule="auto"/>
              <w:ind w:firstLine="480" w:firstLineChars="200"/>
              <w:rPr>
                <w:rFonts w:eastAsiaTheme="minorEastAsia"/>
                <w:bCs/>
                <w:color w:val="000000" w:themeColor="text1"/>
                <w14:textFill>
                  <w14:solidFill>
                    <w14:schemeClr w14:val="tx1"/>
                  </w14:solidFill>
                </w14:textFill>
              </w:rPr>
            </w:pPr>
            <w:r>
              <w:rPr>
                <w:rFonts w:eastAsiaTheme="minorEastAsia"/>
                <w:bCs/>
                <w:color w:val="000000" w:themeColor="text1"/>
                <w14:textFill>
                  <w14:solidFill>
                    <w14:schemeClr w14:val="tx1"/>
                  </w14:solidFill>
                </w14:textFill>
              </w:rPr>
              <w:t>本项目建设符合国家产业政策，符合当地规划要求，选址合理，平面布局合理；项目在采取本次环评提出的污染防治措施后，污染物能实现达标排放，满足总量控制求，对评价区域环境质量的影响较小，本项目的建设不会改变当地区域的环境功能， 环境风险水平可接受。从环保角度分析，该项目的建设是可行的。</w:t>
            </w:r>
          </w:p>
          <w:p>
            <w:pPr>
              <w:spacing w:line="360" w:lineRule="auto"/>
              <w:rPr>
                <w:color w:val="000000" w:themeColor="text1"/>
                <w14:textFill>
                  <w14:solidFill>
                    <w14:schemeClr w14:val="tx1"/>
                  </w14:solidFill>
                </w14:textFill>
              </w:rPr>
            </w:pPr>
          </w:p>
        </w:tc>
      </w:tr>
    </w:tbl>
    <w:p>
      <w:pPr>
        <w:rPr>
          <w:color w:val="000000" w:themeColor="text1"/>
          <w14:textFill>
            <w14:solidFill>
              <w14:schemeClr w14:val="tx1"/>
            </w14:solidFill>
          </w14:textFill>
        </w:rPr>
        <w:sectPr>
          <w:pgSz w:w="11906" w:h="16838"/>
          <w:pgMar w:top="1440" w:right="1800" w:bottom="1440" w:left="1800" w:header="851" w:footer="992" w:gutter="0"/>
          <w:cols w:space="425" w:num="1"/>
          <w:docGrid w:type="lines" w:linePitch="326" w:charSpace="0"/>
        </w:sectPr>
      </w:pPr>
    </w:p>
    <w:tbl>
      <w:tblPr>
        <w:tblStyle w:val="44"/>
        <w:tblW w:w="864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7" w:type="dxa"/>
            <w:tcBorders>
              <w:top w:val="single" w:color="auto" w:sz="4" w:space="0"/>
              <w:left w:val="single" w:color="auto" w:sz="12" w:space="0"/>
              <w:bottom w:val="single" w:color="auto" w:sz="4" w:space="0"/>
              <w:right w:val="single" w:color="auto" w:sz="12" w:space="0"/>
            </w:tcBorders>
          </w:tcPr>
          <w:p>
            <w:pPr>
              <w:spacing w:before="120" w:line="300" w:lineRule="auto"/>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预审意见：</w:t>
            </w:r>
          </w:p>
          <w:p>
            <w:pPr>
              <w:spacing w:before="120" w:line="300" w:lineRule="auto"/>
              <w:rPr>
                <w:color w:val="000000" w:themeColor="text1"/>
                <w:sz w:val="28"/>
                <w:szCs w:val="28"/>
                <w14:textFill>
                  <w14:solidFill>
                    <w14:schemeClr w14:val="tx1"/>
                  </w14:solidFill>
                </w14:textFill>
              </w:rPr>
            </w:pPr>
          </w:p>
          <w:p>
            <w:pPr>
              <w:spacing w:before="120" w:line="300" w:lineRule="auto"/>
              <w:rPr>
                <w:color w:val="000000" w:themeColor="text1"/>
                <w:sz w:val="28"/>
                <w:szCs w:val="28"/>
                <w14:textFill>
                  <w14:solidFill>
                    <w14:schemeClr w14:val="tx1"/>
                  </w14:solidFill>
                </w14:textFill>
              </w:rPr>
            </w:pPr>
          </w:p>
          <w:p>
            <w:pPr>
              <w:spacing w:before="120" w:line="300" w:lineRule="auto"/>
              <w:rPr>
                <w:color w:val="000000" w:themeColor="text1"/>
                <w:sz w:val="28"/>
                <w:szCs w:val="28"/>
                <w14:textFill>
                  <w14:solidFill>
                    <w14:schemeClr w14:val="tx1"/>
                  </w14:solidFill>
                </w14:textFill>
              </w:rPr>
            </w:pPr>
          </w:p>
          <w:p>
            <w:pPr>
              <w:spacing w:before="120" w:line="300" w:lineRule="auto"/>
              <w:rPr>
                <w:color w:val="000000" w:themeColor="text1"/>
                <w:sz w:val="28"/>
                <w:szCs w:val="28"/>
                <w14:textFill>
                  <w14:solidFill>
                    <w14:schemeClr w14:val="tx1"/>
                  </w14:solidFill>
                </w14:textFill>
              </w:rPr>
            </w:pPr>
          </w:p>
          <w:p>
            <w:pPr>
              <w:spacing w:before="120" w:line="300" w:lineRule="auto"/>
              <w:rPr>
                <w:color w:val="000000" w:themeColor="text1"/>
                <w:sz w:val="28"/>
                <w:szCs w:val="28"/>
                <w14:textFill>
                  <w14:solidFill>
                    <w14:schemeClr w14:val="tx1"/>
                  </w14:solidFill>
                </w14:textFill>
              </w:rPr>
            </w:pPr>
          </w:p>
          <w:p>
            <w:pPr>
              <w:spacing w:before="120" w:line="300" w:lineRule="auto"/>
              <w:rPr>
                <w:color w:val="000000" w:themeColor="text1"/>
                <w:sz w:val="28"/>
                <w:szCs w:val="28"/>
                <w14:textFill>
                  <w14:solidFill>
                    <w14:schemeClr w14:val="tx1"/>
                  </w14:solidFill>
                </w14:textFill>
              </w:rPr>
            </w:pPr>
          </w:p>
          <w:p>
            <w:pPr>
              <w:spacing w:before="120" w:line="300" w:lineRule="auto"/>
              <w:rPr>
                <w:color w:val="000000" w:themeColor="text1"/>
                <w:sz w:val="28"/>
                <w:szCs w:val="28"/>
                <w14:textFill>
                  <w14:solidFill>
                    <w14:schemeClr w14:val="tx1"/>
                  </w14:solidFill>
                </w14:textFill>
              </w:rPr>
            </w:pPr>
          </w:p>
          <w:p>
            <w:pPr>
              <w:spacing w:before="120" w:line="300" w:lineRule="auto"/>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公章</w:t>
            </w:r>
          </w:p>
          <w:p>
            <w:pPr>
              <w:spacing w:before="120" w:line="300" w:lineRule="auto"/>
              <w:rPr>
                <w:color w:val="000000" w:themeColor="text1"/>
                <w14:textFill>
                  <w14:solidFill>
                    <w14:schemeClr w14:val="tx1"/>
                  </w14:solidFill>
                </w14:textFill>
              </w:rPr>
            </w:pPr>
            <w:r>
              <w:rPr>
                <w:color w:val="000000" w:themeColor="text1"/>
                <w:sz w:val="28"/>
                <w:szCs w:val="28"/>
                <w14:textFill>
                  <w14:solidFill>
                    <w14:schemeClr w14:val="tx1"/>
                  </w14:solidFill>
                </w14:textFill>
              </w:rPr>
              <w:t>经办人：年月日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7" w:type="dxa"/>
            <w:tcBorders>
              <w:top w:val="single" w:color="auto" w:sz="4" w:space="0"/>
              <w:left w:val="single" w:color="auto" w:sz="12" w:space="0"/>
              <w:bottom w:val="single" w:color="auto" w:sz="12" w:space="0"/>
              <w:right w:val="single" w:color="auto" w:sz="12" w:space="0"/>
            </w:tcBorders>
          </w:tcPr>
          <w:p>
            <w:pPr>
              <w:spacing w:before="120" w:line="300" w:lineRule="auto"/>
              <w:rPr>
                <w:color w:val="000000" w:themeColor="text1"/>
                <w:sz w:val="28"/>
                <w:szCs w:val="28"/>
                <w14:textFill>
                  <w14:solidFill>
                    <w14:schemeClr w14:val="tx1"/>
                  </w14:solidFill>
                </w14:textFill>
              </w:rPr>
            </w:pPr>
            <w:r>
              <w:rPr>
                <w:color w:val="000000" w:themeColor="text1"/>
                <w:sz w:val="28"/>
                <w:szCs w:val="28"/>
                <w:lang w:eastAsia="zh-TW"/>
                <w14:textFill>
                  <w14:solidFill>
                    <w14:schemeClr w14:val="tx1"/>
                  </w14:solidFill>
                </w14:textFill>
              </w:rPr>
              <w:t>下</w:t>
            </w:r>
            <w:r>
              <w:rPr>
                <w:color w:val="000000" w:themeColor="text1"/>
                <w:sz w:val="28"/>
                <w:szCs w:val="28"/>
                <w14:textFill>
                  <w14:solidFill>
                    <w14:schemeClr w14:val="tx1"/>
                  </w14:solidFill>
                </w14:textFill>
              </w:rPr>
              <w:t>一级环境保护行政主管部门审查意见：</w:t>
            </w:r>
          </w:p>
          <w:p>
            <w:pPr>
              <w:spacing w:before="120" w:line="300" w:lineRule="auto"/>
              <w:rPr>
                <w:color w:val="000000" w:themeColor="text1"/>
                <w:sz w:val="28"/>
                <w:szCs w:val="28"/>
                <w14:textFill>
                  <w14:solidFill>
                    <w14:schemeClr w14:val="tx1"/>
                  </w14:solidFill>
                </w14:textFill>
              </w:rPr>
            </w:pPr>
          </w:p>
          <w:p>
            <w:pPr>
              <w:spacing w:before="120" w:line="300" w:lineRule="auto"/>
              <w:rPr>
                <w:color w:val="000000" w:themeColor="text1"/>
                <w:sz w:val="28"/>
                <w:szCs w:val="28"/>
                <w14:textFill>
                  <w14:solidFill>
                    <w14:schemeClr w14:val="tx1"/>
                  </w14:solidFill>
                </w14:textFill>
              </w:rPr>
            </w:pPr>
          </w:p>
          <w:p>
            <w:pPr>
              <w:spacing w:before="120" w:line="300" w:lineRule="auto"/>
              <w:rPr>
                <w:color w:val="000000" w:themeColor="text1"/>
                <w:sz w:val="28"/>
                <w:szCs w:val="28"/>
                <w14:textFill>
                  <w14:solidFill>
                    <w14:schemeClr w14:val="tx1"/>
                  </w14:solidFill>
                </w14:textFill>
              </w:rPr>
            </w:pPr>
          </w:p>
          <w:p>
            <w:pPr>
              <w:spacing w:before="120" w:line="300" w:lineRule="auto"/>
              <w:rPr>
                <w:color w:val="000000" w:themeColor="text1"/>
                <w:sz w:val="28"/>
                <w:szCs w:val="28"/>
                <w14:textFill>
                  <w14:solidFill>
                    <w14:schemeClr w14:val="tx1"/>
                  </w14:solidFill>
                </w14:textFill>
              </w:rPr>
            </w:pPr>
          </w:p>
          <w:p>
            <w:pPr>
              <w:spacing w:before="120" w:line="300" w:lineRule="auto"/>
              <w:rPr>
                <w:color w:val="000000" w:themeColor="text1"/>
                <w:sz w:val="28"/>
                <w:szCs w:val="28"/>
                <w14:textFill>
                  <w14:solidFill>
                    <w14:schemeClr w14:val="tx1"/>
                  </w14:solidFill>
                </w14:textFill>
              </w:rPr>
            </w:pPr>
          </w:p>
          <w:p>
            <w:pPr>
              <w:wordWrap w:val="0"/>
              <w:spacing w:before="120" w:line="300" w:lineRule="auto"/>
              <w:jc w:val="right"/>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公</w:t>
            </w:r>
            <w:r>
              <w:rPr>
                <w:rFonts w:hint="eastAsia"/>
                <w:color w:val="000000" w:themeColor="text1"/>
                <w:sz w:val="28"/>
                <w:szCs w:val="28"/>
                <w14:textFill>
                  <w14:solidFill>
                    <w14:schemeClr w14:val="tx1"/>
                  </w14:solidFill>
                </w14:textFill>
              </w:rPr>
              <w:t xml:space="preserve">  </w:t>
            </w:r>
            <w:r>
              <w:rPr>
                <w:color w:val="000000" w:themeColor="text1"/>
                <w:sz w:val="28"/>
                <w:szCs w:val="28"/>
                <w14:textFill>
                  <w14:solidFill>
                    <w14:schemeClr w14:val="tx1"/>
                  </w14:solidFill>
                </w14:textFill>
              </w:rPr>
              <w:t>章</w:t>
            </w:r>
            <w:r>
              <w:rPr>
                <w:rFonts w:hint="eastAsia"/>
                <w:color w:val="000000" w:themeColor="text1"/>
                <w:sz w:val="28"/>
                <w:szCs w:val="28"/>
                <w14:textFill>
                  <w14:solidFill>
                    <w14:schemeClr w14:val="tx1"/>
                  </w14:solidFill>
                </w14:textFill>
              </w:rPr>
              <w:t xml:space="preserve">      </w:t>
            </w:r>
          </w:p>
          <w:p>
            <w:pPr>
              <w:spacing w:line="360" w:lineRule="auto"/>
              <w:jc w:val="right"/>
              <w:rPr>
                <w:color w:val="000000" w:themeColor="text1"/>
                <w14:textFill>
                  <w14:solidFill>
                    <w14:schemeClr w14:val="tx1"/>
                  </w14:solidFill>
                </w14:textFill>
              </w:rPr>
            </w:pPr>
            <w:r>
              <w:rPr>
                <w:color w:val="000000" w:themeColor="text1"/>
                <w:sz w:val="28"/>
                <w:szCs w:val="28"/>
                <w14:textFill>
                  <w14:solidFill>
                    <w14:schemeClr w14:val="tx1"/>
                  </w14:solidFill>
                </w14:textFill>
              </w:rPr>
              <w:t>经办人:          年</w:t>
            </w:r>
            <w:r>
              <w:rPr>
                <w:rFonts w:hint="eastAsia"/>
                <w:color w:val="000000" w:themeColor="text1"/>
                <w:sz w:val="28"/>
                <w:szCs w:val="28"/>
                <w14:textFill>
                  <w14:solidFill>
                    <w14:schemeClr w14:val="tx1"/>
                  </w14:solidFill>
                </w14:textFill>
              </w:rPr>
              <w:t xml:space="preserve">   </w:t>
            </w:r>
            <w:r>
              <w:rPr>
                <w:color w:val="000000" w:themeColor="text1"/>
                <w:sz w:val="28"/>
                <w:szCs w:val="28"/>
                <w14:textFill>
                  <w14:solidFill>
                    <w14:schemeClr w14:val="tx1"/>
                  </w14:solidFill>
                </w14:textFill>
              </w:rPr>
              <w:t>月</w:t>
            </w:r>
            <w:r>
              <w:rPr>
                <w:rFonts w:hint="eastAsia"/>
                <w:color w:val="000000" w:themeColor="text1"/>
                <w:sz w:val="28"/>
                <w:szCs w:val="28"/>
                <w14:textFill>
                  <w14:solidFill>
                    <w14:schemeClr w14:val="tx1"/>
                  </w14:solidFill>
                </w14:textFill>
              </w:rPr>
              <w:t xml:space="preserve">   </w:t>
            </w:r>
            <w:r>
              <w:rPr>
                <w:color w:val="000000" w:themeColor="text1"/>
                <w:sz w:val="28"/>
                <w:szCs w:val="28"/>
                <w14:textFill>
                  <w14:solidFill>
                    <w14:schemeClr w14:val="tx1"/>
                  </w14:solidFill>
                </w14:textFill>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78" w:hRule="atLeast"/>
        </w:trPr>
        <w:tc>
          <w:tcPr>
            <w:tcW w:w="8647" w:type="dxa"/>
            <w:tcBorders>
              <w:top w:val="single" w:color="auto" w:sz="4" w:space="0"/>
              <w:left w:val="single" w:color="auto" w:sz="12" w:space="0"/>
              <w:bottom w:val="single" w:color="auto" w:sz="12" w:space="0"/>
              <w:right w:val="single" w:color="auto" w:sz="12" w:space="0"/>
            </w:tcBorders>
          </w:tcPr>
          <w:p>
            <w:pPr>
              <w:spacing w:before="240" w:after="120"/>
              <w:ind w:firstLine="213"/>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审批意见：</w:t>
            </w:r>
          </w:p>
          <w:p>
            <w:pPr>
              <w:spacing w:before="240" w:after="120"/>
              <w:ind w:firstLine="213"/>
              <w:rPr>
                <w:color w:val="000000" w:themeColor="text1"/>
                <w:sz w:val="28"/>
                <w:szCs w:val="28"/>
                <w14:textFill>
                  <w14:solidFill>
                    <w14:schemeClr w14:val="tx1"/>
                  </w14:solidFill>
                </w14:textFill>
              </w:rPr>
            </w:pPr>
          </w:p>
          <w:p>
            <w:pPr>
              <w:spacing w:before="240" w:after="120"/>
              <w:ind w:firstLine="213"/>
              <w:rPr>
                <w:color w:val="000000" w:themeColor="text1"/>
                <w:sz w:val="28"/>
                <w:szCs w:val="28"/>
                <w14:textFill>
                  <w14:solidFill>
                    <w14:schemeClr w14:val="tx1"/>
                  </w14:solidFill>
                </w14:textFill>
              </w:rPr>
            </w:pPr>
          </w:p>
          <w:p>
            <w:pPr>
              <w:spacing w:before="240" w:after="120"/>
              <w:ind w:firstLine="213"/>
              <w:rPr>
                <w:color w:val="000000" w:themeColor="text1"/>
                <w:sz w:val="28"/>
                <w:szCs w:val="28"/>
                <w14:textFill>
                  <w14:solidFill>
                    <w14:schemeClr w14:val="tx1"/>
                  </w14:solidFill>
                </w14:textFill>
              </w:rPr>
            </w:pPr>
          </w:p>
          <w:p>
            <w:pPr>
              <w:spacing w:before="240" w:after="120"/>
              <w:ind w:firstLine="213"/>
              <w:rPr>
                <w:color w:val="000000" w:themeColor="text1"/>
                <w:sz w:val="28"/>
                <w:szCs w:val="28"/>
                <w14:textFill>
                  <w14:solidFill>
                    <w14:schemeClr w14:val="tx1"/>
                  </w14:solidFill>
                </w14:textFill>
              </w:rPr>
            </w:pPr>
          </w:p>
          <w:p>
            <w:pPr>
              <w:spacing w:before="240" w:after="120"/>
              <w:ind w:firstLine="213"/>
              <w:rPr>
                <w:color w:val="000000" w:themeColor="text1"/>
                <w:sz w:val="28"/>
                <w:szCs w:val="28"/>
                <w14:textFill>
                  <w14:solidFill>
                    <w14:schemeClr w14:val="tx1"/>
                  </w14:solidFill>
                </w14:textFill>
              </w:rPr>
            </w:pPr>
          </w:p>
          <w:p>
            <w:pPr>
              <w:spacing w:before="240" w:after="120"/>
              <w:ind w:firstLine="213"/>
              <w:rPr>
                <w:color w:val="000000" w:themeColor="text1"/>
                <w:sz w:val="28"/>
                <w:szCs w:val="28"/>
                <w14:textFill>
                  <w14:solidFill>
                    <w14:schemeClr w14:val="tx1"/>
                  </w14:solidFill>
                </w14:textFill>
              </w:rPr>
            </w:pPr>
          </w:p>
          <w:p>
            <w:pPr>
              <w:spacing w:before="240" w:after="120"/>
              <w:ind w:firstLine="213"/>
              <w:rPr>
                <w:color w:val="000000" w:themeColor="text1"/>
                <w:sz w:val="28"/>
                <w:szCs w:val="28"/>
                <w14:textFill>
                  <w14:solidFill>
                    <w14:schemeClr w14:val="tx1"/>
                  </w14:solidFill>
                </w14:textFill>
              </w:rPr>
            </w:pPr>
          </w:p>
          <w:p>
            <w:pPr>
              <w:spacing w:before="240" w:after="120"/>
              <w:ind w:firstLine="213"/>
              <w:rPr>
                <w:color w:val="000000" w:themeColor="text1"/>
                <w:sz w:val="28"/>
                <w:szCs w:val="28"/>
                <w14:textFill>
                  <w14:solidFill>
                    <w14:schemeClr w14:val="tx1"/>
                  </w14:solidFill>
                </w14:textFill>
              </w:rPr>
            </w:pPr>
          </w:p>
          <w:p>
            <w:pPr>
              <w:spacing w:before="240" w:after="120"/>
              <w:ind w:firstLine="213"/>
              <w:rPr>
                <w:color w:val="000000" w:themeColor="text1"/>
                <w:sz w:val="28"/>
                <w:szCs w:val="28"/>
                <w14:textFill>
                  <w14:solidFill>
                    <w14:schemeClr w14:val="tx1"/>
                  </w14:solidFill>
                </w14:textFill>
              </w:rPr>
            </w:pPr>
          </w:p>
          <w:p>
            <w:pPr>
              <w:spacing w:before="240" w:after="120"/>
              <w:ind w:firstLine="213"/>
              <w:rPr>
                <w:color w:val="000000" w:themeColor="text1"/>
                <w:sz w:val="28"/>
                <w:szCs w:val="28"/>
                <w14:textFill>
                  <w14:solidFill>
                    <w14:schemeClr w14:val="tx1"/>
                  </w14:solidFill>
                </w14:textFill>
              </w:rPr>
            </w:pPr>
          </w:p>
          <w:p>
            <w:pPr>
              <w:spacing w:before="240" w:after="120"/>
              <w:ind w:firstLine="213"/>
              <w:rPr>
                <w:color w:val="000000" w:themeColor="text1"/>
                <w:sz w:val="28"/>
                <w:szCs w:val="28"/>
                <w14:textFill>
                  <w14:solidFill>
                    <w14:schemeClr w14:val="tx1"/>
                  </w14:solidFill>
                </w14:textFill>
              </w:rPr>
            </w:pPr>
          </w:p>
          <w:p>
            <w:pPr>
              <w:spacing w:before="120" w:line="300" w:lineRule="auto"/>
              <w:rPr>
                <w:color w:val="000000" w:themeColor="text1"/>
                <w:sz w:val="28"/>
                <w:szCs w:val="28"/>
                <w14:textFill>
                  <w14:solidFill>
                    <w14:schemeClr w14:val="tx1"/>
                  </w14:solidFill>
                </w14:textFill>
              </w:rPr>
            </w:pPr>
          </w:p>
          <w:p>
            <w:pPr>
              <w:spacing w:before="120" w:line="300" w:lineRule="auto"/>
              <w:rPr>
                <w:color w:val="000000" w:themeColor="text1"/>
                <w:sz w:val="28"/>
                <w:szCs w:val="28"/>
                <w14:textFill>
                  <w14:solidFill>
                    <w14:schemeClr w14:val="tx1"/>
                  </w14:solidFill>
                </w14:textFill>
              </w:rPr>
            </w:pPr>
          </w:p>
          <w:p>
            <w:pPr>
              <w:wordWrap w:val="0"/>
              <w:spacing w:before="120" w:line="300" w:lineRule="auto"/>
              <w:ind w:right="420"/>
              <w:jc w:val="right"/>
              <w:rPr>
                <w:bCs/>
                <w:color w:val="000000" w:themeColor="text1"/>
                <w:sz w:val="28"/>
                <w:szCs w:val="28"/>
                <w14:textFill>
                  <w14:solidFill>
                    <w14:schemeClr w14:val="tx1"/>
                  </w14:solidFill>
                </w14:textFill>
              </w:rPr>
            </w:pPr>
            <w:r>
              <w:rPr>
                <w:bCs/>
                <w:color w:val="000000" w:themeColor="text1"/>
                <w:sz w:val="28"/>
                <w:szCs w:val="28"/>
                <w14:textFill>
                  <w14:solidFill>
                    <w14:schemeClr w14:val="tx1"/>
                  </w14:solidFill>
                </w14:textFill>
              </w:rPr>
              <w:t>公</w:t>
            </w:r>
            <w:r>
              <w:rPr>
                <w:rFonts w:hint="eastAsia"/>
                <w:bCs/>
                <w:color w:val="000000" w:themeColor="text1"/>
                <w:sz w:val="28"/>
                <w:szCs w:val="28"/>
                <w14:textFill>
                  <w14:solidFill>
                    <w14:schemeClr w14:val="tx1"/>
                  </w14:solidFill>
                </w14:textFill>
              </w:rPr>
              <w:t xml:space="preserve">  </w:t>
            </w:r>
            <w:r>
              <w:rPr>
                <w:bCs/>
                <w:color w:val="000000" w:themeColor="text1"/>
                <w:sz w:val="28"/>
                <w:szCs w:val="28"/>
                <w14:textFill>
                  <w14:solidFill>
                    <w14:schemeClr w14:val="tx1"/>
                  </w14:solidFill>
                </w14:textFill>
              </w:rPr>
              <w:t>章</w:t>
            </w:r>
            <w:r>
              <w:rPr>
                <w:rFonts w:hint="eastAsia"/>
                <w:bCs/>
                <w:color w:val="000000" w:themeColor="text1"/>
                <w:sz w:val="28"/>
                <w:szCs w:val="28"/>
                <w14:textFill>
                  <w14:solidFill>
                    <w14:schemeClr w14:val="tx1"/>
                  </w14:solidFill>
                </w14:textFill>
              </w:rPr>
              <w:t xml:space="preserve">    </w:t>
            </w:r>
          </w:p>
          <w:p>
            <w:pPr>
              <w:spacing w:before="120" w:line="300" w:lineRule="auto"/>
              <w:jc w:val="right"/>
              <w:rPr>
                <w:color w:val="000000" w:themeColor="text1"/>
                <w:sz w:val="28"/>
                <w:szCs w:val="28"/>
                <w14:textFill>
                  <w14:solidFill>
                    <w14:schemeClr w14:val="tx1"/>
                  </w14:solidFill>
                </w14:textFill>
              </w:rPr>
            </w:pPr>
            <w:r>
              <w:rPr>
                <w:bCs/>
                <w:color w:val="000000" w:themeColor="text1"/>
                <w:sz w:val="28"/>
                <w:szCs w:val="28"/>
                <w14:textFill>
                  <w14:solidFill>
                    <w14:schemeClr w14:val="tx1"/>
                  </w14:solidFill>
                </w14:textFill>
              </w:rPr>
              <w:t>经办人：</w:t>
            </w:r>
            <w:r>
              <w:rPr>
                <w:rFonts w:hint="eastAsia"/>
                <w:bCs/>
                <w:color w:val="000000" w:themeColor="text1"/>
                <w:sz w:val="28"/>
                <w:szCs w:val="28"/>
                <w14:textFill>
                  <w14:solidFill>
                    <w14:schemeClr w14:val="tx1"/>
                  </w14:solidFill>
                </w14:textFill>
              </w:rPr>
              <w:t xml:space="preserve">         </w:t>
            </w:r>
            <w:r>
              <w:rPr>
                <w:bCs/>
                <w:color w:val="000000" w:themeColor="text1"/>
                <w:sz w:val="28"/>
                <w:szCs w:val="28"/>
                <w14:textFill>
                  <w14:solidFill>
                    <w14:schemeClr w14:val="tx1"/>
                  </w14:solidFill>
                </w14:textFill>
              </w:rPr>
              <w:t>年</w:t>
            </w:r>
            <w:r>
              <w:rPr>
                <w:rFonts w:hint="eastAsia"/>
                <w:bCs/>
                <w:color w:val="000000" w:themeColor="text1"/>
                <w:sz w:val="28"/>
                <w:szCs w:val="28"/>
                <w14:textFill>
                  <w14:solidFill>
                    <w14:schemeClr w14:val="tx1"/>
                  </w14:solidFill>
                </w14:textFill>
              </w:rPr>
              <w:t xml:space="preserve">   </w:t>
            </w:r>
            <w:r>
              <w:rPr>
                <w:bCs/>
                <w:color w:val="000000" w:themeColor="text1"/>
                <w:sz w:val="28"/>
                <w:szCs w:val="28"/>
                <w14:textFill>
                  <w14:solidFill>
                    <w14:schemeClr w14:val="tx1"/>
                  </w14:solidFill>
                </w14:textFill>
              </w:rPr>
              <w:t>月</w:t>
            </w:r>
            <w:r>
              <w:rPr>
                <w:rFonts w:hint="eastAsia"/>
                <w:bCs/>
                <w:color w:val="000000" w:themeColor="text1"/>
                <w:sz w:val="28"/>
                <w:szCs w:val="28"/>
                <w14:textFill>
                  <w14:solidFill>
                    <w14:schemeClr w14:val="tx1"/>
                  </w14:solidFill>
                </w14:textFill>
              </w:rPr>
              <w:t xml:space="preserve">   </w:t>
            </w:r>
            <w:r>
              <w:rPr>
                <w:bCs/>
                <w:color w:val="000000" w:themeColor="text1"/>
                <w:sz w:val="28"/>
                <w:szCs w:val="28"/>
                <w14:textFill>
                  <w14:solidFill>
                    <w14:schemeClr w14:val="tx1"/>
                  </w14:solidFill>
                </w14:textFill>
              </w:rPr>
              <w:t>日</w:t>
            </w:r>
          </w:p>
        </w:tc>
      </w:tr>
    </w:tbl>
    <w:p>
      <w:pPr>
        <w:spacing w:line="360" w:lineRule="auto"/>
        <w:ind w:firstLine="480"/>
        <w:rPr>
          <w:color w:val="000000" w:themeColor="text1"/>
          <w14:textFill>
            <w14:solidFill>
              <w14:schemeClr w14:val="tx1"/>
            </w14:solidFill>
          </w14:textFill>
        </w:rPr>
        <w:sectPr>
          <w:footerReference r:id="rId4" w:type="default"/>
          <w:pgSz w:w="11906" w:h="16838"/>
          <w:pgMar w:top="1440" w:right="1800" w:bottom="1440" w:left="1800" w:header="851" w:footer="992" w:gutter="0"/>
          <w:cols w:space="425" w:num="1"/>
          <w:docGrid w:type="lines" w:linePitch="312" w:charSpace="0"/>
        </w:sectPr>
      </w:pPr>
    </w:p>
    <w:tbl>
      <w:tblPr>
        <w:tblStyle w:val="44"/>
        <w:tblW w:w="8647" w:type="dxa"/>
        <w:tblInd w:w="108"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8647"/>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8647" w:type="dxa"/>
            <w:tcBorders>
              <w:top w:val="single" w:color="auto" w:sz="12" w:space="0"/>
              <w:bottom w:val="single" w:color="auto" w:sz="4" w:space="0"/>
            </w:tcBorders>
          </w:tcPr>
          <w:p>
            <w:pPr>
              <w:spacing w:line="360" w:lineRule="auto"/>
              <w:jc w:val="center"/>
              <w:rPr>
                <w:color w:val="000000" w:themeColor="text1"/>
                <w14:textFill>
                  <w14:solidFill>
                    <w14:schemeClr w14:val="tx1"/>
                  </w14:solidFill>
                </w14:textFill>
              </w:rPr>
            </w:pPr>
            <w:r>
              <w:rPr>
                <w:b/>
                <w:color w:val="000000" w:themeColor="text1"/>
                <w:sz w:val="32"/>
                <w:szCs w:val="32"/>
                <w14:textFill>
                  <w14:solidFill>
                    <w14:schemeClr w14:val="tx1"/>
                  </w14:solidFill>
                </w14:textFill>
              </w:rPr>
              <w:t>注释</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8647" w:type="dxa"/>
            <w:tcBorders>
              <w:top w:val="single" w:color="auto" w:sz="4" w:space="0"/>
              <w:bottom w:val="single" w:color="auto" w:sz="4" w:space="0"/>
            </w:tcBorders>
          </w:tcPr>
          <w:p>
            <w:pPr>
              <w:spacing w:before="163" w:beforeLines="50" w:after="163" w:afterLines="50" w:line="360" w:lineRule="auto"/>
              <w:rPr>
                <w:b/>
                <w:color w:val="000000" w:themeColor="text1"/>
                <w14:textFill>
                  <w14:solidFill>
                    <w14:schemeClr w14:val="tx1"/>
                  </w14:solidFill>
                </w14:textFill>
              </w:rPr>
            </w:pPr>
            <w:r>
              <w:rPr>
                <w:b/>
                <w:color w:val="000000" w:themeColor="text1"/>
                <w14:textFill>
                  <w14:solidFill>
                    <w14:schemeClr w14:val="tx1"/>
                  </w14:solidFill>
                </w14:textFill>
              </w:rPr>
              <w:t>一、本报告表应附以下附件、附图：</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附图1  项目地理位置图</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附图2  环境敏感目标图</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附图3  区域水系图</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附图4  工程监测分布点图</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附图5  工程与华容集成江段江豚自然保护区位置关系图</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附图6  项目与东洞庭湖自然保护区位置关系</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附件7  项目与四大家鱼种质资源保护区的关系</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附件8  工程与东洞庭湖湖泊湿地保护区位置关系图</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附件9  项目与岳阳市生态红线位置关系图</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附图10 现场照片</w:t>
            </w:r>
          </w:p>
          <w:p>
            <w:pPr>
              <w:pStyle w:val="31"/>
              <w:spacing w:line="276" w:lineRule="auto"/>
              <w:ind w:firstLine="480"/>
              <w:jc w:val="left"/>
              <w:outlineLvl w:val="9"/>
              <w:rPr>
                <w:color w:val="000000" w:themeColor="text1"/>
                <w14:textFill>
                  <w14:solidFill>
                    <w14:schemeClr w14:val="tx1"/>
                  </w14:solidFill>
                </w14:textFill>
              </w:rPr>
            </w:pP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附件1  委托书</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附件2  取水许可证</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附件3  水资源论证报告批复</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附件4  续延取水批复</w:t>
            </w: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附件5  潭子坑取水口水质监测报告</w:t>
            </w:r>
          </w:p>
          <w:p>
            <w:pPr>
              <w:pStyle w:val="31"/>
              <w:spacing w:line="276" w:lineRule="auto"/>
              <w:ind w:firstLine="480"/>
              <w:jc w:val="left"/>
              <w:outlineLvl w:val="9"/>
              <w:rPr>
                <w:color w:val="000000" w:themeColor="text1"/>
                <w14:textFill>
                  <w14:solidFill>
                    <w14:schemeClr w14:val="tx1"/>
                  </w14:solidFill>
                </w14:textFill>
              </w:rPr>
            </w:pPr>
          </w:p>
          <w:p>
            <w:pPr>
              <w:pStyle w:val="31"/>
              <w:spacing w:line="276" w:lineRule="auto"/>
              <w:ind w:firstLine="480"/>
              <w:jc w:val="left"/>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附表1  建设项目环评审批基础信息表</w:t>
            </w:r>
          </w:p>
          <w:p>
            <w:pPr>
              <w:spacing w:line="276" w:lineRule="auto"/>
              <w:ind w:firstLine="480" w:firstLineChars="200"/>
              <w:rPr>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093" w:hRule="atLeast"/>
        </w:trPr>
        <w:tc>
          <w:tcPr>
            <w:tcW w:w="8647" w:type="dxa"/>
            <w:tcBorders>
              <w:top w:val="single" w:color="auto" w:sz="4" w:space="0"/>
            </w:tcBorders>
          </w:tcPr>
          <w:p>
            <w:pPr>
              <w:spacing w:before="163" w:beforeLines="50" w:after="163" w:afterLines="50" w:line="360" w:lineRule="auto"/>
              <w:rPr>
                <w:b/>
                <w:color w:val="000000" w:themeColor="text1"/>
                <w14:textFill>
                  <w14:solidFill>
                    <w14:schemeClr w14:val="tx1"/>
                  </w14:solidFill>
                </w14:textFill>
              </w:rPr>
            </w:pPr>
            <w:r>
              <w:rPr>
                <w:b/>
                <w:color w:val="000000" w:themeColor="text1"/>
                <w14:textFill>
                  <w14:solidFill>
                    <w14:schemeClr w14:val="tx1"/>
                  </w14:solidFill>
                </w14:textFill>
              </w:rPr>
              <w:t>二、如果本报告表不能说明项目产生的污染及对环境造成的影响，应进行专项评价。根据建设项目的特点和当地环境特征，应选下列1~2项进行专项评价。</w:t>
            </w:r>
          </w:p>
          <w:p>
            <w:pPr>
              <w:pStyle w:val="31"/>
              <w:numPr>
                <w:ilvl w:val="0"/>
                <w:numId w:val="5"/>
              </w:numPr>
              <w:ind w:left="0" w:firstLine="480"/>
              <w:rPr>
                <w:color w:val="000000" w:themeColor="text1"/>
                <w14:textFill>
                  <w14:solidFill>
                    <w14:schemeClr w14:val="tx1"/>
                  </w14:solidFill>
                </w14:textFill>
              </w:rPr>
            </w:pPr>
            <w:r>
              <w:rPr>
                <w:color w:val="000000" w:themeColor="text1"/>
                <w14:textFill>
                  <w14:solidFill>
                    <w14:schemeClr w14:val="tx1"/>
                  </w14:solidFill>
                </w14:textFill>
              </w:rPr>
              <w:t>大气环境影响专项评价</w:t>
            </w:r>
          </w:p>
          <w:p>
            <w:pPr>
              <w:pStyle w:val="31"/>
              <w:numPr>
                <w:ilvl w:val="0"/>
                <w:numId w:val="5"/>
              </w:numPr>
              <w:ind w:left="0" w:firstLine="480"/>
              <w:rPr>
                <w:color w:val="000000" w:themeColor="text1"/>
                <w14:textFill>
                  <w14:solidFill>
                    <w14:schemeClr w14:val="tx1"/>
                  </w14:solidFill>
                </w14:textFill>
              </w:rPr>
            </w:pPr>
            <w:r>
              <w:rPr>
                <w:color w:val="000000" w:themeColor="text1"/>
                <w14:textFill>
                  <w14:solidFill>
                    <w14:schemeClr w14:val="tx1"/>
                  </w14:solidFill>
                </w14:textFill>
              </w:rPr>
              <w:t>水环境影响专项评价（包括地表水和地下水）</w:t>
            </w:r>
          </w:p>
          <w:p>
            <w:pPr>
              <w:pStyle w:val="31"/>
              <w:numPr>
                <w:ilvl w:val="0"/>
                <w:numId w:val="5"/>
              </w:numPr>
              <w:ind w:left="0" w:firstLine="480"/>
              <w:rPr>
                <w:color w:val="000000" w:themeColor="text1"/>
                <w14:textFill>
                  <w14:solidFill>
                    <w14:schemeClr w14:val="tx1"/>
                  </w14:solidFill>
                </w14:textFill>
              </w:rPr>
            </w:pPr>
            <w:r>
              <w:rPr>
                <w:color w:val="000000" w:themeColor="text1"/>
                <w14:textFill>
                  <w14:solidFill>
                    <w14:schemeClr w14:val="tx1"/>
                  </w14:solidFill>
                </w14:textFill>
              </w:rPr>
              <w:t>生态影响专项评价</w:t>
            </w:r>
          </w:p>
          <w:p>
            <w:pPr>
              <w:pStyle w:val="31"/>
              <w:numPr>
                <w:ilvl w:val="0"/>
                <w:numId w:val="5"/>
              </w:numPr>
              <w:ind w:left="0" w:firstLine="480"/>
              <w:rPr>
                <w:color w:val="000000" w:themeColor="text1"/>
                <w14:textFill>
                  <w14:solidFill>
                    <w14:schemeClr w14:val="tx1"/>
                  </w14:solidFill>
                </w14:textFill>
              </w:rPr>
            </w:pPr>
            <w:r>
              <w:rPr>
                <w:color w:val="000000" w:themeColor="text1"/>
                <w14:textFill>
                  <w14:solidFill>
                    <w14:schemeClr w14:val="tx1"/>
                  </w14:solidFill>
                </w14:textFill>
              </w:rPr>
              <w:t>声影响专项评价</w:t>
            </w:r>
          </w:p>
          <w:p>
            <w:pPr>
              <w:pStyle w:val="31"/>
              <w:numPr>
                <w:ilvl w:val="0"/>
                <w:numId w:val="5"/>
              </w:numPr>
              <w:ind w:left="0" w:firstLine="480"/>
              <w:rPr>
                <w:color w:val="000000" w:themeColor="text1"/>
                <w14:textFill>
                  <w14:solidFill>
                    <w14:schemeClr w14:val="tx1"/>
                  </w14:solidFill>
                </w14:textFill>
              </w:rPr>
            </w:pPr>
            <w:r>
              <w:rPr>
                <w:color w:val="000000" w:themeColor="text1"/>
                <w14:textFill>
                  <w14:solidFill>
                    <w14:schemeClr w14:val="tx1"/>
                  </w14:solidFill>
                </w14:textFill>
              </w:rPr>
              <w:t>土壤影响专项评价</w:t>
            </w:r>
          </w:p>
          <w:p>
            <w:pPr>
              <w:pStyle w:val="31"/>
              <w:numPr>
                <w:ilvl w:val="0"/>
                <w:numId w:val="5"/>
              </w:numPr>
              <w:ind w:left="0" w:firstLine="480"/>
              <w:rPr>
                <w:color w:val="000000" w:themeColor="text1"/>
                <w14:textFill>
                  <w14:solidFill>
                    <w14:schemeClr w14:val="tx1"/>
                  </w14:solidFill>
                </w14:textFill>
              </w:rPr>
            </w:pPr>
            <w:r>
              <w:rPr>
                <w:color w:val="000000" w:themeColor="text1"/>
                <w14:textFill>
                  <w14:solidFill>
                    <w14:schemeClr w14:val="tx1"/>
                  </w14:solidFill>
                </w14:textFill>
              </w:rPr>
              <w:t>固体废弃物影响专项评价</w:t>
            </w:r>
          </w:p>
          <w:p>
            <w:pPr>
              <w:pStyle w:val="31"/>
              <w:ind w:firstLine="480"/>
              <w:rPr>
                <w:color w:val="000000" w:themeColor="text1"/>
                <w14:textFill>
                  <w14:solidFill>
                    <w14:schemeClr w14:val="tx1"/>
                  </w14:solidFill>
                </w14:textFill>
              </w:rPr>
            </w:pPr>
            <w:r>
              <w:rPr>
                <w:color w:val="000000" w:themeColor="text1"/>
                <w14:textFill>
                  <w14:solidFill>
                    <w14:schemeClr w14:val="tx1"/>
                  </w14:solidFill>
                </w14:textFill>
              </w:rPr>
              <w:t>以上专项评价未包括的可另列专项，专项评价按照《环境影响评价技术导则》中的要求进行。</w:t>
            </w:r>
          </w:p>
        </w:tc>
      </w:tr>
    </w:tbl>
    <w:p>
      <w:pPr>
        <w:jc w:val="left"/>
        <w:rPr>
          <w:b/>
          <w:color w:val="000000" w:themeColor="text1"/>
          <w14:textFill>
            <w14:solidFill>
              <w14:schemeClr w14:val="tx1"/>
            </w14:solidFill>
          </w14:textFill>
        </w:rPr>
      </w:pPr>
    </w:p>
    <w:sectPr>
      <w:footerReference r:id="rId5" w:type="default"/>
      <w:pgSz w:w="11906" w:h="16838"/>
      <w:pgMar w:top="1440" w:right="1797" w:bottom="1440" w:left="1797" w:header="851" w:footer="992" w:gutter="0"/>
      <w:cols w:space="425" w:num="1"/>
      <w:docGrid w:type="linesAndChar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体">
    <w:altName w:val="宋体"/>
    <w:panose1 w:val="00000000000000000000"/>
    <w:charset w:val="86"/>
    <w:family w:val="roma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MingLiU">
    <w:panose1 w:val="02020509000000000000"/>
    <w:charset w:val="88"/>
    <w:family w:val="modern"/>
    <w:pitch w:val="default"/>
    <w:sig w:usb0="A00002FF" w:usb1="28CFFCFA" w:usb2="00000016" w:usb3="00000000" w:csb0="00100001" w:csb1="00000000"/>
  </w:font>
  <w:font w:name="AngsanaUPC">
    <w:panose1 w:val="02020603050405020304"/>
    <w:charset w:val="00"/>
    <w:family w:val="roman"/>
    <w:pitch w:val="default"/>
    <w:sig w:usb0="81000003" w:usb1="00000000" w:usb2="00000000" w:usb3="00000000" w:csb0="00010001" w:csb1="00000000"/>
  </w:font>
  <w:font w:name="B5+CAJSymbolA">
    <w:altName w:val="Times New Roman"/>
    <w:panose1 w:val="00000000000000000000"/>
    <w:charset w:val="00"/>
    <w:family w:val="roman"/>
    <w:pitch w:val="default"/>
    <w:sig w:usb0="00000000" w:usb1="00000000" w:usb2="00000000" w:usb3="00000000" w:csb0="00000001"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r>
      <w:fldChar w:fldCharType="begin"/>
    </w:r>
    <w:r>
      <w:instrText xml:space="preserve"> PAGE   \* MERGEFORMAT </w:instrText>
    </w:r>
    <w:r>
      <w:fldChar w:fldCharType="separate"/>
    </w:r>
    <w:r>
      <w:rPr>
        <w:lang w:val="zh-CN"/>
      </w:rPr>
      <w:t>104</w:t>
    </w:r>
    <w:r>
      <w:rPr>
        <w:lang w:val="zh-CN"/>
      </w:rPr>
      <w:fldChar w:fldCharType="end"/>
    </w:r>
  </w:p>
  <w:p>
    <w:pPr>
      <w:pStyle w:val="2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rPr>
        <w:rStyle w:val="48"/>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D513249"/>
    <w:multiLevelType w:val="singleLevel"/>
    <w:tmpl w:val="8D513249"/>
    <w:lvl w:ilvl="0" w:tentative="0">
      <w:start w:val="4"/>
      <w:numFmt w:val="decimal"/>
      <w:suff w:val="nothing"/>
      <w:lvlText w:val="%1、"/>
      <w:lvlJc w:val="left"/>
    </w:lvl>
  </w:abstractNum>
  <w:abstractNum w:abstractNumId="1">
    <w:nsid w:val="A6F44582"/>
    <w:multiLevelType w:val="singleLevel"/>
    <w:tmpl w:val="A6F44582"/>
    <w:lvl w:ilvl="0" w:tentative="0">
      <w:start w:val="1"/>
      <w:numFmt w:val="decimal"/>
      <w:suff w:val="nothing"/>
      <w:lvlText w:val="%1、"/>
      <w:lvlJc w:val="left"/>
    </w:lvl>
  </w:abstractNum>
  <w:abstractNum w:abstractNumId="2">
    <w:nsid w:val="ABC01849"/>
    <w:multiLevelType w:val="singleLevel"/>
    <w:tmpl w:val="ABC01849"/>
    <w:lvl w:ilvl="0" w:tentative="0">
      <w:start w:val="2"/>
      <w:numFmt w:val="decimal"/>
      <w:suff w:val="nothing"/>
      <w:lvlText w:val="（%1）"/>
      <w:lvlJc w:val="left"/>
    </w:lvl>
  </w:abstractNum>
  <w:abstractNum w:abstractNumId="3">
    <w:nsid w:val="43F70D51"/>
    <w:multiLevelType w:val="multilevel"/>
    <w:tmpl w:val="43F70D51"/>
    <w:lvl w:ilvl="0" w:tentative="0">
      <w:start w:val="1"/>
      <w:numFmt w:val="decimal"/>
      <w:lvlText w:val="%1."/>
      <w:lvlJc w:val="left"/>
      <w:pPr>
        <w:ind w:left="902" w:hanging="420"/>
      </w:pPr>
      <w:rPr>
        <w:rFonts w:hint="default" w:ascii="Times New Roman" w:hAnsi="Times New Roman" w:eastAsia="宋体"/>
        <w:spacing w:val="0"/>
        <w:position w:val="0"/>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4">
    <w:nsid w:val="7C035349"/>
    <w:multiLevelType w:val="singleLevel"/>
    <w:tmpl w:val="7C035349"/>
    <w:lvl w:ilvl="0" w:tentative="0">
      <w:start w:val="1"/>
      <w:numFmt w:val="decimal"/>
      <w:suff w:val="nothing"/>
      <w:lvlText w:val="%1、"/>
      <w:lvlJc w:val="left"/>
    </w:lvl>
  </w:abstractNum>
  <w:num w:numId="1">
    <w:abstractNumId w:val="2"/>
  </w:num>
  <w:num w:numId="2">
    <w:abstractNumId w:val="4"/>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val="1"/>
  <w:embedSystemFonts/>
  <w:bordersDoNotSurroundHeader w:val="1"/>
  <w:bordersDoNotSurroundFooter w:val="1"/>
  <w:hideSpellingErrors/>
  <w:documentProtection w:enforcement="0"/>
  <w:defaultTabStop w:val="420"/>
  <w:drawingGridHorizontalSpacing w:val="120"/>
  <w:drawingGridVerticalSpacing w:val="163"/>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43A0"/>
    <w:rsid w:val="00000B6A"/>
    <w:rsid w:val="00001BCD"/>
    <w:rsid w:val="0000338E"/>
    <w:rsid w:val="0000373C"/>
    <w:rsid w:val="00003D5F"/>
    <w:rsid w:val="00004946"/>
    <w:rsid w:val="000057C4"/>
    <w:rsid w:val="00006712"/>
    <w:rsid w:val="00006E2A"/>
    <w:rsid w:val="00010009"/>
    <w:rsid w:val="000104DF"/>
    <w:rsid w:val="000109B6"/>
    <w:rsid w:val="00011CA4"/>
    <w:rsid w:val="00013600"/>
    <w:rsid w:val="00013C3A"/>
    <w:rsid w:val="000152CC"/>
    <w:rsid w:val="00016242"/>
    <w:rsid w:val="000170B0"/>
    <w:rsid w:val="00017429"/>
    <w:rsid w:val="00017EC4"/>
    <w:rsid w:val="00021101"/>
    <w:rsid w:val="0002122C"/>
    <w:rsid w:val="000214B3"/>
    <w:rsid w:val="00022A6B"/>
    <w:rsid w:val="0002398B"/>
    <w:rsid w:val="00023A68"/>
    <w:rsid w:val="000259DD"/>
    <w:rsid w:val="00025E27"/>
    <w:rsid w:val="000265DE"/>
    <w:rsid w:val="00026C60"/>
    <w:rsid w:val="00030664"/>
    <w:rsid w:val="00030FBB"/>
    <w:rsid w:val="0003183F"/>
    <w:rsid w:val="00031BEC"/>
    <w:rsid w:val="00032579"/>
    <w:rsid w:val="000329A5"/>
    <w:rsid w:val="00033177"/>
    <w:rsid w:val="00033552"/>
    <w:rsid w:val="00034A8D"/>
    <w:rsid w:val="00036CA8"/>
    <w:rsid w:val="000406EE"/>
    <w:rsid w:val="00040DFB"/>
    <w:rsid w:val="00040E7D"/>
    <w:rsid w:val="0004100C"/>
    <w:rsid w:val="00041697"/>
    <w:rsid w:val="00041B82"/>
    <w:rsid w:val="000425FB"/>
    <w:rsid w:val="000427A1"/>
    <w:rsid w:val="00042D8A"/>
    <w:rsid w:val="000434B8"/>
    <w:rsid w:val="000443D9"/>
    <w:rsid w:val="000453A3"/>
    <w:rsid w:val="000455BD"/>
    <w:rsid w:val="0004572A"/>
    <w:rsid w:val="00046169"/>
    <w:rsid w:val="00046391"/>
    <w:rsid w:val="00046CB7"/>
    <w:rsid w:val="0004712E"/>
    <w:rsid w:val="00047ABE"/>
    <w:rsid w:val="0005037E"/>
    <w:rsid w:val="0005459B"/>
    <w:rsid w:val="00054960"/>
    <w:rsid w:val="00054A59"/>
    <w:rsid w:val="000555D0"/>
    <w:rsid w:val="00056992"/>
    <w:rsid w:val="00056E71"/>
    <w:rsid w:val="0005713A"/>
    <w:rsid w:val="000574B0"/>
    <w:rsid w:val="000576CA"/>
    <w:rsid w:val="0005787D"/>
    <w:rsid w:val="00057F0B"/>
    <w:rsid w:val="00060164"/>
    <w:rsid w:val="00060417"/>
    <w:rsid w:val="000609E7"/>
    <w:rsid w:val="00061735"/>
    <w:rsid w:val="00061952"/>
    <w:rsid w:val="000619B1"/>
    <w:rsid w:val="00063B33"/>
    <w:rsid w:val="00065471"/>
    <w:rsid w:val="00065602"/>
    <w:rsid w:val="0006673E"/>
    <w:rsid w:val="000669FC"/>
    <w:rsid w:val="00067F70"/>
    <w:rsid w:val="00070474"/>
    <w:rsid w:val="00071E13"/>
    <w:rsid w:val="00072470"/>
    <w:rsid w:val="00072500"/>
    <w:rsid w:val="0007265D"/>
    <w:rsid w:val="00073892"/>
    <w:rsid w:val="000754D9"/>
    <w:rsid w:val="000756A7"/>
    <w:rsid w:val="00075D9C"/>
    <w:rsid w:val="00080136"/>
    <w:rsid w:val="00080B4A"/>
    <w:rsid w:val="00081730"/>
    <w:rsid w:val="00082CC0"/>
    <w:rsid w:val="0008423F"/>
    <w:rsid w:val="00084A7E"/>
    <w:rsid w:val="000866CA"/>
    <w:rsid w:val="000875CB"/>
    <w:rsid w:val="000904F4"/>
    <w:rsid w:val="000920F9"/>
    <w:rsid w:val="00092A6D"/>
    <w:rsid w:val="00092CCC"/>
    <w:rsid w:val="00093D59"/>
    <w:rsid w:val="00093FBD"/>
    <w:rsid w:val="00094025"/>
    <w:rsid w:val="0009415E"/>
    <w:rsid w:val="000943ED"/>
    <w:rsid w:val="0009519F"/>
    <w:rsid w:val="000A11E0"/>
    <w:rsid w:val="000A1C30"/>
    <w:rsid w:val="000A20B4"/>
    <w:rsid w:val="000A2A22"/>
    <w:rsid w:val="000A2D58"/>
    <w:rsid w:val="000A2EBB"/>
    <w:rsid w:val="000A3062"/>
    <w:rsid w:val="000A39E6"/>
    <w:rsid w:val="000A3F1D"/>
    <w:rsid w:val="000A4230"/>
    <w:rsid w:val="000A5063"/>
    <w:rsid w:val="000A646C"/>
    <w:rsid w:val="000A79E6"/>
    <w:rsid w:val="000B0822"/>
    <w:rsid w:val="000B0B48"/>
    <w:rsid w:val="000B13D2"/>
    <w:rsid w:val="000B3BF1"/>
    <w:rsid w:val="000B45C3"/>
    <w:rsid w:val="000B4728"/>
    <w:rsid w:val="000B4F6D"/>
    <w:rsid w:val="000B5894"/>
    <w:rsid w:val="000B670E"/>
    <w:rsid w:val="000B67CA"/>
    <w:rsid w:val="000B6BE2"/>
    <w:rsid w:val="000B7097"/>
    <w:rsid w:val="000B7310"/>
    <w:rsid w:val="000C0229"/>
    <w:rsid w:val="000C142D"/>
    <w:rsid w:val="000C205F"/>
    <w:rsid w:val="000C2167"/>
    <w:rsid w:val="000C238E"/>
    <w:rsid w:val="000C23B3"/>
    <w:rsid w:val="000C2CFD"/>
    <w:rsid w:val="000C3AA5"/>
    <w:rsid w:val="000C4A3F"/>
    <w:rsid w:val="000C4EBD"/>
    <w:rsid w:val="000C545A"/>
    <w:rsid w:val="000C5605"/>
    <w:rsid w:val="000C58B7"/>
    <w:rsid w:val="000C5F80"/>
    <w:rsid w:val="000C60D2"/>
    <w:rsid w:val="000C6475"/>
    <w:rsid w:val="000D0189"/>
    <w:rsid w:val="000D04A9"/>
    <w:rsid w:val="000D0998"/>
    <w:rsid w:val="000D27AF"/>
    <w:rsid w:val="000D2822"/>
    <w:rsid w:val="000D3D05"/>
    <w:rsid w:val="000D4803"/>
    <w:rsid w:val="000D48B5"/>
    <w:rsid w:val="000D498C"/>
    <w:rsid w:val="000D64C4"/>
    <w:rsid w:val="000D6E93"/>
    <w:rsid w:val="000D7ABB"/>
    <w:rsid w:val="000D7D11"/>
    <w:rsid w:val="000E0CFD"/>
    <w:rsid w:val="000E12DD"/>
    <w:rsid w:val="000E1F0C"/>
    <w:rsid w:val="000E2208"/>
    <w:rsid w:val="000E3134"/>
    <w:rsid w:val="000E3CCE"/>
    <w:rsid w:val="000E59E4"/>
    <w:rsid w:val="000E60D9"/>
    <w:rsid w:val="000E6FFA"/>
    <w:rsid w:val="000F0B4C"/>
    <w:rsid w:val="000F161A"/>
    <w:rsid w:val="000F241E"/>
    <w:rsid w:val="000F26BE"/>
    <w:rsid w:val="000F2B44"/>
    <w:rsid w:val="000F31FC"/>
    <w:rsid w:val="000F374F"/>
    <w:rsid w:val="000F37FC"/>
    <w:rsid w:val="000F53D7"/>
    <w:rsid w:val="000F5513"/>
    <w:rsid w:val="000F5DC2"/>
    <w:rsid w:val="000F62CC"/>
    <w:rsid w:val="000F6FC5"/>
    <w:rsid w:val="000F7941"/>
    <w:rsid w:val="000F7A74"/>
    <w:rsid w:val="000F7E24"/>
    <w:rsid w:val="0010045F"/>
    <w:rsid w:val="001007B7"/>
    <w:rsid w:val="001011B6"/>
    <w:rsid w:val="0010234D"/>
    <w:rsid w:val="0010237A"/>
    <w:rsid w:val="00104023"/>
    <w:rsid w:val="00104384"/>
    <w:rsid w:val="00104424"/>
    <w:rsid w:val="001046F1"/>
    <w:rsid w:val="00105298"/>
    <w:rsid w:val="001059E3"/>
    <w:rsid w:val="0010634F"/>
    <w:rsid w:val="001063DC"/>
    <w:rsid w:val="00106E35"/>
    <w:rsid w:val="001073EC"/>
    <w:rsid w:val="00107A0C"/>
    <w:rsid w:val="00107A81"/>
    <w:rsid w:val="001100CD"/>
    <w:rsid w:val="001103B6"/>
    <w:rsid w:val="00111A0F"/>
    <w:rsid w:val="001137F5"/>
    <w:rsid w:val="00113EF5"/>
    <w:rsid w:val="0011454E"/>
    <w:rsid w:val="00114971"/>
    <w:rsid w:val="00114C84"/>
    <w:rsid w:val="00115342"/>
    <w:rsid w:val="001155BD"/>
    <w:rsid w:val="00115614"/>
    <w:rsid w:val="00116AF4"/>
    <w:rsid w:val="00117D00"/>
    <w:rsid w:val="00120420"/>
    <w:rsid w:val="00121CEF"/>
    <w:rsid w:val="00122944"/>
    <w:rsid w:val="0012319B"/>
    <w:rsid w:val="001236AF"/>
    <w:rsid w:val="00123B7C"/>
    <w:rsid w:val="001240B5"/>
    <w:rsid w:val="001256C1"/>
    <w:rsid w:val="00126141"/>
    <w:rsid w:val="0012676D"/>
    <w:rsid w:val="00126D67"/>
    <w:rsid w:val="00130D08"/>
    <w:rsid w:val="0013111E"/>
    <w:rsid w:val="00131335"/>
    <w:rsid w:val="0013170A"/>
    <w:rsid w:val="00131D53"/>
    <w:rsid w:val="001327D6"/>
    <w:rsid w:val="001334DF"/>
    <w:rsid w:val="00133626"/>
    <w:rsid w:val="001348DC"/>
    <w:rsid w:val="00134E9A"/>
    <w:rsid w:val="00134F56"/>
    <w:rsid w:val="001354B1"/>
    <w:rsid w:val="001354E3"/>
    <w:rsid w:val="00135D7F"/>
    <w:rsid w:val="00136B76"/>
    <w:rsid w:val="00137C02"/>
    <w:rsid w:val="0014009B"/>
    <w:rsid w:val="00140E26"/>
    <w:rsid w:val="00141651"/>
    <w:rsid w:val="00141797"/>
    <w:rsid w:val="001417F4"/>
    <w:rsid w:val="00141872"/>
    <w:rsid w:val="00141B9E"/>
    <w:rsid w:val="001444F7"/>
    <w:rsid w:val="00144EEF"/>
    <w:rsid w:val="00145E96"/>
    <w:rsid w:val="00146E21"/>
    <w:rsid w:val="0014729A"/>
    <w:rsid w:val="00147861"/>
    <w:rsid w:val="001513D0"/>
    <w:rsid w:val="00151C5A"/>
    <w:rsid w:val="00153482"/>
    <w:rsid w:val="00153923"/>
    <w:rsid w:val="00153FBF"/>
    <w:rsid w:val="00154C50"/>
    <w:rsid w:val="00154C69"/>
    <w:rsid w:val="00155728"/>
    <w:rsid w:val="00155AD8"/>
    <w:rsid w:val="00155E22"/>
    <w:rsid w:val="0015603D"/>
    <w:rsid w:val="00156A86"/>
    <w:rsid w:val="00156E0B"/>
    <w:rsid w:val="0015747B"/>
    <w:rsid w:val="00157775"/>
    <w:rsid w:val="00157F89"/>
    <w:rsid w:val="00160A28"/>
    <w:rsid w:val="00160F93"/>
    <w:rsid w:val="001616B4"/>
    <w:rsid w:val="00161A76"/>
    <w:rsid w:val="0016463E"/>
    <w:rsid w:val="001657E7"/>
    <w:rsid w:val="001658E3"/>
    <w:rsid w:val="00165FB3"/>
    <w:rsid w:val="00171D0B"/>
    <w:rsid w:val="00171F13"/>
    <w:rsid w:val="00173732"/>
    <w:rsid w:val="00173912"/>
    <w:rsid w:val="00173AB4"/>
    <w:rsid w:val="00173BC1"/>
    <w:rsid w:val="00173DB3"/>
    <w:rsid w:val="00174426"/>
    <w:rsid w:val="00174A54"/>
    <w:rsid w:val="00175134"/>
    <w:rsid w:val="00176421"/>
    <w:rsid w:val="00176F0F"/>
    <w:rsid w:val="00177AEB"/>
    <w:rsid w:val="001811C1"/>
    <w:rsid w:val="00181226"/>
    <w:rsid w:val="0018172D"/>
    <w:rsid w:val="00181ECA"/>
    <w:rsid w:val="00182251"/>
    <w:rsid w:val="00182261"/>
    <w:rsid w:val="00184576"/>
    <w:rsid w:val="001847F1"/>
    <w:rsid w:val="00184C97"/>
    <w:rsid w:val="0018517A"/>
    <w:rsid w:val="00185C55"/>
    <w:rsid w:val="00186CBA"/>
    <w:rsid w:val="00187082"/>
    <w:rsid w:val="001870D6"/>
    <w:rsid w:val="001909FF"/>
    <w:rsid w:val="00190A83"/>
    <w:rsid w:val="00191164"/>
    <w:rsid w:val="001913D4"/>
    <w:rsid w:val="001917A7"/>
    <w:rsid w:val="00192BD2"/>
    <w:rsid w:val="00193335"/>
    <w:rsid w:val="0019348D"/>
    <w:rsid w:val="00193883"/>
    <w:rsid w:val="00193CC3"/>
    <w:rsid w:val="00193F8E"/>
    <w:rsid w:val="00194587"/>
    <w:rsid w:val="001951FC"/>
    <w:rsid w:val="00195518"/>
    <w:rsid w:val="00196023"/>
    <w:rsid w:val="00196702"/>
    <w:rsid w:val="001969FC"/>
    <w:rsid w:val="00196EC2"/>
    <w:rsid w:val="001975AB"/>
    <w:rsid w:val="001A1281"/>
    <w:rsid w:val="001A547F"/>
    <w:rsid w:val="001A5EDE"/>
    <w:rsid w:val="001A76ED"/>
    <w:rsid w:val="001A7CD0"/>
    <w:rsid w:val="001B1212"/>
    <w:rsid w:val="001B1727"/>
    <w:rsid w:val="001B2648"/>
    <w:rsid w:val="001B2764"/>
    <w:rsid w:val="001B39E6"/>
    <w:rsid w:val="001B4755"/>
    <w:rsid w:val="001B4D08"/>
    <w:rsid w:val="001B51FB"/>
    <w:rsid w:val="001B5764"/>
    <w:rsid w:val="001B6680"/>
    <w:rsid w:val="001B67BD"/>
    <w:rsid w:val="001B6C62"/>
    <w:rsid w:val="001B7225"/>
    <w:rsid w:val="001B785B"/>
    <w:rsid w:val="001B7FE4"/>
    <w:rsid w:val="001C10CB"/>
    <w:rsid w:val="001C2A94"/>
    <w:rsid w:val="001C5F78"/>
    <w:rsid w:val="001C6586"/>
    <w:rsid w:val="001D01D2"/>
    <w:rsid w:val="001D0BC4"/>
    <w:rsid w:val="001D0D62"/>
    <w:rsid w:val="001D2455"/>
    <w:rsid w:val="001D247A"/>
    <w:rsid w:val="001D344E"/>
    <w:rsid w:val="001D4855"/>
    <w:rsid w:val="001D4C06"/>
    <w:rsid w:val="001D6CBC"/>
    <w:rsid w:val="001D6E27"/>
    <w:rsid w:val="001E0E63"/>
    <w:rsid w:val="001E0F3B"/>
    <w:rsid w:val="001E15C1"/>
    <w:rsid w:val="001E1BFC"/>
    <w:rsid w:val="001E2218"/>
    <w:rsid w:val="001E3C6A"/>
    <w:rsid w:val="001E40FD"/>
    <w:rsid w:val="001E41D7"/>
    <w:rsid w:val="001E4B5E"/>
    <w:rsid w:val="001E6148"/>
    <w:rsid w:val="001E64BE"/>
    <w:rsid w:val="001E6F6B"/>
    <w:rsid w:val="001E6FC4"/>
    <w:rsid w:val="001E7970"/>
    <w:rsid w:val="001E7B01"/>
    <w:rsid w:val="001E7CFA"/>
    <w:rsid w:val="001F0314"/>
    <w:rsid w:val="001F081E"/>
    <w:rsid w:val="001F165D"/>
    <w:rsid w:val="001F222D"/>
    <w:rsid w:val="001F2667"/>
    <w:rsid w:val="001F430B"/>
    <w:rsid w:val="001F57A1"/>
    <w:rsid w:val="001F6493"/>
    <w:rsid w:val="001F6726"/>
    <w:rsid w:val="002003DB"/>
    <w:rsid w:val="002007B2"/>
    <w:rsid w:val="00200ABF"/>
    <w:rsid w:val="002024F6"/>
    <w:rsid w:val="00203817"/>
    <w:rsid w:val="00203CF4"/>
    <w:rsid w:val="002041B7"/>
    <w:rsid w:val="00204245"/>
    <w:rsid w:val="002045FA"/>
    <w:rsid w:val="0020479D"/>
    <w:rsid w:val="00204CCA"/>
    <w:rsid w:val="002056BE"/>
    <w:rsid w:val="002073EA"/>
    <w:rsid w:val="002076FB"/>
    <w:rsid w:val="002100AA"/>
    <w:rsid w:val="00210207"/>
    <w:rsid w:val="0021156B"/>
    <w:rsid w:val="00211A0B"/>
    <w:rsid w:val="00211F47"/>
    <w:rsid w:val="0021392D"/>
    <w:rsid w:val="00213EC8"/>
    <w:rsid w:val="00214056"/>
    <w:rsid w:val="00214DC0"/>
    <w:rsid w:val="00214E7B"/>
    <w:rsid w:val="00215EE7"/>
    <w:rsid w:val="00216162"/>
    <w:rsid w:val="0021655C"/>
    <w:rsid w:val="0021682F"/>
    <w:rsid w:val="0021730D"/>
    <w:rsid w:val="00217B71"/>
    <w:rsid w:val="00220DC4"/>
    <w:rsid w:val="00221C37"/>
    <w:rsid w:val="002226B5"/>
    <w:rsid w:val="00222B3C"/>
    <w:rsid w:val="00223783"/>
    <w:rsid w:val="00223915"/>
    <w:rsid w:val="0022481F"/>
    <w:rsid w:val="002252D2"/>
    <w:rsid w:val="00225634"/>
    <w:rsid w:val="00226D64"/>
    <w:rsid w:val="002271F2"/>
    <w:rsid w:val="0022730F"/>
    <w:rsid w:val="002315C1"/>
    <w:rsid w:val="00232037"/>
    <w:rsid w:val="0023203B"/>
    <w:rsid w:val="002320AF"/>
    <w:rsid w:val="002325B5"/>
    <w:rsid w:val="002330BE"/>
    <w:rsid w:val="00233883"/>
    <w:rsid w:val="00234071"/>
    <w:rsid w:val="00235210"/>
    <w:rsid w:val="002354CF"/>
    <w:rsid w:val="00235A50"/>
    <w:rsid w:val="00235DA0"/>
    <w:rsid w:val="00240148"/>
    <w:rsid w:val="002410DC"/>
    <w:rsid w:val="00241E92"/>
    <w:rsid w:val="00241F87"/>
    <w:rsid w:val="0024212B"/>
    <w:rsid w:val="002426CF"/>
    <w:rsid w:val="00243A5D"/>
    <w:rsid w:val="00243D00"/>
    <w:rsid w:val="00243EE8"/>
    <w:rsid w:val="002451C5"/>
    <w:rsid w:val="00245D54"/>
    <w:rsid w:val="00246E90"/>
    <w:rsid w:val="002479CF"/>
    <w:rsid w:val="002479F1"/>
    <w:rsid w:val="00247E58"/>
    <w:rsid w:val="00250C48"/>
    <w:rsid w:val="00250EB7"/>
    <w:rsid w:val="00251050"/>
    <w:rsid w:val="00251AC2"/>
    <w:rsid w:val="0025369B"/>
    <w:rsid w:val="00253B60"/>
    <w:rsid w:val="00253D90"/>
    <w:rsid w:val="002542D1"/>
    <w:rsid w:val="00254C7B"/>
    <w:rsid w:val="00255894"/>
    <w:rsid w:val="00256200"/>
    <w:rsid w:val="00257659"/>
    <w:rsid w:val="0026050F"/>
    <w:rsid w:val="0026055C"/>
    <w:rsid w:val="002606BA"/>
    <w:rsid w:val="00261851"/>
    <w:rsid w:val="00262980"/>
    <w:rsid w:val="0026351A"/>
    <w:rsid w:val="00264390"/>
    <w:rsid w:val="00265DB7"/>
    <w:rsid w:val="002660C9"/>
    <w:rsid w:val="00266219"/>
    <w:rsid w:val="00266279"/>
    <w:rsid w:val="0026627C"/>
    <w:rsid w:val="002662D8"/>
    <w:rsid w:val="00266450"/>
    <w:rsid w:val="00267C9A"/>
    <w:rsid w:val="00270214"/>
    <w:rsid w:val="00270437"/>
    <w:rsid w:val="00270D71"/>
    <w:rsid w:val="00270E1E"/>
    <w:rsid w:val="00272453"/>
    <w:rsid w:val="00272607"/>
    <w:rsid w:val="002736CC"/>
    <w:rsid w:val="00273B2C"/>
    <w:rsid w:val="00273F15"/>
    <w:rsid w:val="00274839"/>
    <w:rsid w:val="00275ABF"/>
    <w:rsid w:val="00275ACD"/>
    <w:rsid w:val="00277EA4"/>
    <w:rsid w:val="00280F28"/>
    <w:rsid w:val="0028140C"/>
    <w:rsid w:val="00281729"/>
    <w:rsid w:val="0028228A"/>
    <w:rsid w:val="002826F5"/>
    <w:rsid w:val="00282773"/>
    <w:rsid w:val="00283B2F"/>
    <w:rsid w:val="00285049"/>
    <w:rsid w:val="002854EB"/>
    <w:rsid w:val="00285F54"/>
    <w:rsid w:val="00286171"/>
    <w:rsid w:val="0028680F"/>
    <w:rsid w:val="00287DD9"/>
    <w:rsid w:val="002904D2"/>
    <w:rsid w:val="00291E99"/>
    <w:rsid w:val="002938B7"/>
    <w:rsid w:val="00293B94"/>
    <w:rsid w:val="002949B6"/>
    <w:rsid w:val="002954FA"/>
    <w:rsid w:val="00295708"/>
    <w:rsid w:val="00296455"/>
    <w:rsid w:val="00296B0C"/>
    <w:rsid w:val="00297DF1"/>
    <w:rsid w:val="002A0295"/>
    <w:rsid w:val="002A0F26"/>
    <w:rsid w:val="002A1F2F"/>
    <w:rsid w:val="002A314C"/>
    <w:rsid w:val="002A342D"/>
    <w:rsid w:val="002A415C"/>
    <w:rsid w:val="002A4ECC"/>
    <w:rsid w:val="002A696D"/>
    <w:rsid w:val="002A709C"/>
    <w:rsid w:val="002A7371"/>
    <w:rsid w:val="002A7B86"/>
    <w:rsid w:val="002B0DE6"/>
    <w:rsid w:val="002B2618"/>
    <w:rsid w:val="002B277C"/>
    <w:rsid w:val="002B28C6"/>
    <w:rsid w:val="002B3E3A"/>
    <w:rsid w:val="002B3F60"/>
    <w:rsid w:val="002B42BA"/>
    <w:rsid w:val="002B4381"/>
    <w:rsid w:val="002B507C"/>
    <w:rsid w:val="002B5E39"/>
    <w:rsid w:val="002B61E7"/>
    <w:rsid w:val="002B6E33"/>
    <w:rsid w:val="002B7D87"/>
    <w:rsid w:val="002C01D8"/>
    <w:rsid w:val="002C12C5"/>
    <w:rsid w:val="002C1844"/>
    <w:rsid w:val="002C2B53"/>
    <w:rsid w:val="002C3BFB"/>
    <w:rsid w:val="002C4883"/>
    <w:rsid w:val="002C6AEB"/>
    <w:rsid w:val="002C6EF0"/>
    <w:rsid w:val="002C7464"/>
    <w:rsid w:val="002C798A"/>
    <w:rsid w:val="002D01A3"/>
    <w:rsid w:val="002D0329"/>
    <w:rsid w:val="002D16CF"/>
    <w:rsid w:val="002D17A2"/>
    <w:rsid w:val="002D25AA"/>
    <w:rsid w:val="002D34A0"/>
    <w:rsid w:val="002D402B"/>
    <w:rsid w:val="002D4427"/>
    <w:rsid w:val="002D472E"/>
    <w:rsid w:val="002D493A"/>
    <w:rsid w:val="002D58E8"/>
    <w:rsid w:val="002D5D88"/>
    <w:rsid w:val="002D5F9C"/>
    <w:rsid w:val="002D6431"/>
    <w:rsid w:val="002D6763"/>
    <w:rsid w:val="002D6832"/>
    <w:rsid w:val="002D6EB3"/>
    <w:rsid w:val="002D741B"/>
    <w:rsid w:val="002E004C"/>
    <w:rsid w:val="002E01C9"/>
    <w:rsid w:val="002E10CC"/>
    <w:rsid w:val="002E1864"/>
    <w:rsid w:val="002E2494"/>
    <w:rsid w:val="002E2764"/>
    <w:rsid w:val="002E47C9"/>
    <w:rsid w:val="002E4D2D"/>
    <w:rsid w:val="002E7B17"/>
    <w:rsid w:val="002F0DFA"/>
    <w:rsid w:val="002F0F3A"/>
    <w:rsid w:val="002F2144"/>
    <w:rsid w:val="002F2D7E"/>
    <w:rsid w:val="002F3687"/>
    <w:rsid w:val="002F389E"/>
    <w:rsid w:val="002F5B2E"/>
    <w:rsid w:val="002F60CC"/>
    <w:rsid w:val="002F7CC9"/>
    <w:rsid w:val="00300AD4"/>
    <w:rsid w:val="00300D71"/>
    <w:rsid w:val="003019BE"/>
    <w:rsid w:val="00301A0F"/>
    <w:rsid w:val="00302685"/>
    <w:rsid w:val="003028AD"/>
    <w:rsid w:val="00302B98"/>
    <w:rsid w:val="00303F9C"/>
    <w:rsid w:val="003051B0"/>
    <w:rsid w:val="003054ED"/>
    <w:rsid w:val="00305638"/>
    <w:rsid w:val="00305E14"/>
    <w:rsid w:val="003066A9"/>
    <w:rsid w:val="00307177"/>
    <w:rsid w:val="0031053F"/>
    <w:rsid w:val="00311C11"/>
    <w:rsid w:val="003126D0"/>
    <w:rsid w:val="003127B4"/>
    <w:rsid w:val="00313160"/>
    <w:rsid w:val="003131C0"/>
    <w:rsid w:val="00313F51"/>
    <w:rsid w:val="003162B1"/>
    <w:rsid w:val="00320CA5"/>
    <w:rsid w:val="00320F11"/>
    <w:rsid w:val="003218F3"/>
    <w:rsid w:val="003227CB"/>
    <w:rsid w:val="00323080"/>
    <w:rsid w:val="0032488F"/>
    <w:rsid w:val="00324DFB"/>
    <w:rsid w:val="003251EB"/>
    <w:rsid w:val="0032622F"/>
    <w:rsid w:val="003263E5"/>
    <w:rsid w:val="0032656D"/>
    <w:rsid w:val="00326F97"/>
    <w:rsid w:val="003278F6"/>
    <w:rsid w:val="00331397"/>
    <w:rsid w:val="0033276E"/>
    <w:rsid w:val="00334C8D"/>
    <w:rsid w:val="00334DC8"/>
    <w:rsid w:val="00340136"/>
    <w:rsid w:val="003404B3"/>
    <w:rsid w:val="0034111C"/>
    <w:rsid w:val="003425DD"/>
    <w:rsid w:val="003429EF"/>
    <w:rsid w:val="00343C1F"/>
    <w:rsid w:val="00343EDA"/>
    <w:rsid w:val="00344E70"/>
    <w:rsid w:val="00344ECA"/>
    <w:rsid w:val="00344F0B"/>
    <w:rsid w:val="00346145"/>
    <w:rsid w:val="00346E38"/>
    <w:rsid w:val="00347C51"/>
    <w:rsid w:val="00350098"/>
    <w:rsid w:val="00351348"/>
    <w:rsid w:val="00351724"/>
    <w:rsid w:val="00352789"/>
    <w:rsid w:val="0035278F"/>
    <w:rsid w:val="00352A18"/>
    <w:rsid w:val="00353538"/>
    <w:rsid w:val="00353C30"/>
    <w:rsid w:val="00353FBA"/>
    <w:rsid w:val="00354292"/>
    <w:rsid w:val="00355BCA"/>
    <w:rsid w:val="00356E6F"/>
    <w:rsid w:val="003575EE"/>
    <w:rsid w:val="00360268"/>
    <w:rsid w:val="0036040A"/>
    <w:rsid w:val="00360944"/>
    <w:rsid w:val="003616E3"/>
    <w:rsid w:val="00361764"/>
    <w:rsid w:val="00362360"/>
    <w:rsid w:val="0036367D"/>
    <w:rsid w:val="00365CE8"/>
    <w:rsid w:val="00366333"/>
    <w:rsid w:val="003663F0"/>
    <w:rsid w:val="0036697A"/>
    <w:rsid w:val="00366A40"/>
    <w:rsid w:val="00366DEF"/>
    <w:rsid w:val="00367F20"/>
    <w:rsid w:val="00370C09"/>
    <w:rsid w:val="00370D2D"/>
    <w:rsid w:val="00370E94"/>
    <w:rsid w:val="003716E9"/>
    <w:rsid w:val="00371944"/>
    <w:rsid w:val="00371DF7"/>
    <w:rsid w:val="00372A50"/>
    <w:rsid w:val="00373C4A"/>
    <w:rsid w:val="00374A50"/>
    <w:rsid w:val="0037579B"/>
    <w:rsid w:val="0037586E"/>
    <w:rsid w:val="00375D6D"/>
    <w:rsid w:val="003763DD"/>
    <w:rsid w:val="003767BE"/>
    <w:rsid w:val="00377273"/>
    <w:rsid w:val="003773C2"/>
    <w:rsid w:val="0037769A"/>
    <w:rsid w:val="0038410E"/>
    <w:rsid w:val="00384396"/>
    <w:rsid w:val="00384CC4"/>
    <w:rsid w:val="00384EBD"/>
    <w:rsid w:val="003851A5"/>
    <w:rsid w:val="00385493"/>
    <w:rsid w:val="0038595F"/>
    <w:rsid w:val="00385C55"/>
    <w:rsid w:val="00386BC0"/>
    <w:rsid w:val="003879E7"/>
    <w:rsid w:val="003908D4"/>
    <w:rsid w:val="00390AF8"/>
    <w:rsid w:val="003915F0"/>
    <w:rsid w:val="00391862"/>
    <w:rsid w:val="00391FCD"/>
    <w:rsid w:val="003920ED"/>
    <w:rsid w:val="00392CE6"/>
    <w:rsid w:val="00394D3B"/>
    <w:rsid w:val="00394FA8"/>
    <w:rsid w:val="003955A4"/>
    <w:rsid w:val="00395775"/>
    <w:rsid w:val="003964C4"/>
    <w:rsid w:val="00396E49"/>
    <w:rsid w:val="00396E56"/>
    <w:rsid w:val="003974BA"/>
    <w:rsid w:val="003A29BB"/>
    <w:rsid w:val="003A2AB0"/>
    <w:rsid w:val="003A3109"/>
    <w:rsid w:val="003A60E5"/>
    <w:rsid w:val="003A6598"/>
    <w:rsid w:val="003A690C"/>
    <w:rsid w:val="003A6973"/>
    <w:rsid w:val="003A7011"/>
    <w:rsid w:val="003A79A1"/>
    <w:rsid w:val="003A7EA9"/>
    <w:rsid w:val="003A7F30"/>
    <w:rsid w:val="003B1136"/>
    <w:rsid w:val="003B133E"/>
    <w:rsid w:val="003B1A34"/>
    <w:rsid w:val="003B1CF5"/>
    <w:rsid w:val="003B2AE1"/>
    <w:rsid w:val="003B30FD"/>
    <w:rsid w:val="003B324B"/>
    <w:rsid w:val="003B3BD5"/>
    <w:rsid w:val="003B4396"/>
    <w:rsid w:val="003B48EB"/>
    <w:rsid w:val="003B54CD"/>
    <w:rsid w:val="003B64D9"/>
    <w:rsid w:val="003B68CE"/>
    <w:rsid w:val="003B6E63"/>
    <w:rsid w:val="003B74BB"/>
    <w:rsid w:val="003B7C54"/>
    <w:rsid w:val="003C0F4D"/>
    <w:rsid w:val="003C3268"/>
    <w:rsid w:val="003C3816"/>
    <w:rsid w:val="003C4AE6"/>
    <w:rsid w:val="003C69B0"/>
    <w:rsid w:val="003C6F0E"/>
    <w:rsid w:val="003C7201"/>
    <w:rsid w:val="003D03B3"/>
    <w:rsid w:val="003D342A"/>
    <w:rsid w:val="003D56F3"/>
    <w:rsid w:val="003D56FA"/>
    <w:rsid w:val="003D60E1"/>
    <w:rsid w:val="003E0081"/>
    <w:rsid w:val="003E02C4"/>
    <w:rsid w:val="003E0516"/>
    <w:rsid w:val="003E10CB"/>
    <w:rsid w:val="003E2DB8"/>
    <w:rsid w:val="003E361A"/>
    <w:rsid w:val="003E3D5A"/>
    <w:rsid w:val="003E3E66"/>
    <w:rsid w:val="003E4AE3"/>
    <w:rsid w:val="003E52FA"/>
    <w:rsid w:val="003E62D3"/>
    <w:rsid w:val="003E6AA1"/>
    <w:rsid w:val="003F027D"/>
    <w:rsid w:val="003F105F"/>
    <w:rsid w:val="003F1280"/>
    <w:rsid w:val="003F1AD7"/>
    <w:rsid w:val="003F290C"/>
    <w:rsid w:val="003F29B9"/>
    <w:rsid w:val="003F2A4B"/>
    <w:rsid w:val="003F2A9B"/>
    <w:rsid w:val="003F2CF0"/>
    <w:rsid w:val="003F34F7"/>
    <w:rsid w:val="003F42FC"/>
    <w:rsid w:val="003F48EC"/>
    <w:rsid w:val="003F4B6B"/>
    <w:rsid w:val="003F52E3"/>
    <w:rsid w:val="003F628D"/>
    <w:rsid w:val="003F6E32"/>
    <w:rsid w:val="003F6E5E"/>
    <w:rsid w:val="003F707E"/>
    <w:rsid w:val="003F7E8E"/>
    <w:rsid w:val="0040225A"/>
    <w:rsid w:val="00402357"/>
    <w:rsid w:val="00402FB3"/>
    <w:rsid w:val="0040310A"/>
    <w:rsid w:val="00403B98"/>
    <w:rsid w:val="00404725"/>
    <w:rsid w:val="004054CF"/>
    <w:rsid w:val="00405EFD"/>
    <w:rsid w:val="0040757F"/>
    <w:rsid w:val="00410BB8"/>
    <w:rsid w:val="004126C3"/>
    <w:rsid w:val="00413536"/>
    <w:rsid w:val="004147A6"/>
    <w:rsid w:val="0041560F"/>
    <w:rsid w:val="004158FC"/>
    <w:rsid w:val="004173D0"/>
    <w:rsid w:val="00417DAB"/>
    <w:rsid w:val="004203C4"/>
    <w:rsid w:val="004208DF"/>
    <w:rsid w:val="00420D4F"/>
    <w:rsid w:val="0042179C"/>
    <w:rsid w:val="0042235B"/>
    <w:rsid w:val="00422389"/>
    <w:rsid w:val="004224BB"/>
    <w:rsid w:val="004226E9"/>
    <w:rsid w:val="004229CD"/>
    <w:rsid w:val="00422A5D"/>
    <w:rsid w:val="004233E2"/>
    <w:rsid w:val="00423460"/>
    <w:rsid w:val="00424DFF"/>
    <w:rsid w:val="00424E59"/>
    <w:rsid w:val="004257D5"/>
    <w:rsid w:val="00427D9D"/>
    <w:rsid w:val="004305DD"/>
    <w:rsid w:val="0043261A"/>
    <w:rsid w:val="0043325B"/>
    <w:rsid w:val="00433741"/>
    <w:rsid w:val="00433826"/>
    <w:rsid w:val="004341CF"/>
    <w:rsid w:val="004356D4"/>
    <w:rsid w:val="0043787E"/>
    <w:rsid w:val="00441597"/>
    <w:rsid w:val="00441C27"/>
    <w:rsid w:val="00444B8A"/>
    <w:rsid w:val="004456F5"/>
    <w:rsid w:val="00446C7F"/>
    <w:rsid w:val="00446E11"/>
    <w:rsid w:val="00447C6B"/>
    <w:rsid w:val="004517A3"/>
    <w:rsid w:val="004526BE"/>
    <w:rsid w:val="00452A60"/>
    <w:rsid w:val="00452A73"/>
    <w:rsid w:val="004531BB"/>
    <w:rsid w:val="0045397D"/>
    <w:rsid w:val="00453D14"/>
    <w:rsid w:val="00455661"/>
    <w:rsid w:val="00456972"/>
    <w:rsid w:val="00460154"/>
    <w:rsid w:val="004607E1"/>
    <w:rsid w:val="00461045"/>
    <w:rsid w:val="00461F88"/>
    <w:rsid w:val="004636DF"/>
    <w:rsid w:val="00463B56"/>
    <w:rsid w:val="00463BB6"/>
    <w:rsid w:val="00464B4E"/>
    <w:rsid w:val="0046609D"/>
    <w:rsid w:val="0046694A"/>
    <w:rsid w:val="00466C3D"/>
    <w:rsid w:val="00466F6D"/>
    <w:rsid w:val="004679EF"/>
    <w:rsid w:val="00467C60"/>
    <w:rsid w:val="00471A9F"/>
    <w:rsid w:val="00472926"/>
    <w:rsid w:val="004736E8"/>
    <w:rsid w:val="00473CC3"/>
    <w:rsid w:val="00474908"/>
    <w:rsid w:val="004759A6"/>
    <w:rsid w:val="004764BE"/>
    <w:rsid w:val="00476EEA"/>
    <w:rsid w:val="0047705D"/>
    <w:rsid w:val="004775B9"/>
    <w:rsid w:val="00477795"/>
    <w:rsid w:val="00480355"/>
    <w:rsid w:val="004809E3"/>
    <w:rsid w:val="004811FC"/>
    <w:rsid w:val="0048151D"/>
    <w:rsid w:val="004827CD"/>
    <w:rsid w:val="004829C9"/>
    <w:rsid w:val="00484D4D"/>
    <w:rsid w:val="00485681"/>
    <w:rsid w:val="004872D7"/>
    <w:rsid w:val="00487478"/>
    <w:rsid w:val="004875B9"/>
    <w:rsid w:val="00487DD3"/>
    <w:rsid w:val="004916CA"/>
    <w:rsid w:val="004922FC"/>
    <w:rsid w:val="00493640"/>
    <w:rsid w:val="00493F95"/>
    <w:rsid w:val="004951B0"/>
    <w:rsid w:val="004952E5"/>
    <w:rsid w:val="0049542D"/>
    <w:rsid w:val="00495BB7"/>
    <w:rsid w:val="00495D39"/>
    <w:rsid w:val="00495E65"/>
    <w:rsid w:val="00497032"/>
    <w:rsid w:val="004971C1"/>
    <w:rsid w:val="00497DA7"/>
    <w:rsid w:val="004A0EE9"/>
    <w:rsid w:val="004A1971"/>
    <w:rsid w:val="004A2100"/>
    <w:rsid w:val="004A2388"/>
    <w:rsid w:val="004A3766"/>
    <w:rsid w:val="004A39BD"/>
    <w:rsid w:val="004A58B0"/>
    <w:rsid w:val="004A610B"/>
    <w:rsid w:val="004A6224"/>
    <w:rsid w:val="004A75A6"/>
    <w:rsid w:val="004A77DE"/>
    <w:rsid w:val="004A7FAB"/>
    <w:rsid w:val="004B089F"/>
    <w:rsid w:val="004B0E66"/>
    <w:rsid w:val="004B2DD4"/>
    <w:rsid w:val="004B4281"/>
    <w:rsid w:val="004B46B7"/>
    <w:rsid w:val="004B5526"/>
    <w:rsid w:val="004B5721"/>
    <w:rsid w:val="004B600F"/>
    <w:rsid w:val="004B60FE"/>
    <w:rsid w:val="004B7280"/>
    <w:rsid w:val="004B789A"/>
    <w:rsid w:val="004B7B97"/>
    <w:rsid w:val="004C06A6"/>
    <w:rsid w:val="004C1367"/>
    <w:rsid w:val="004C23A9"/>
    <w:rsid w:val="004C2801"/>
    <w:rsid w:val="004C2A65"/>
    <w:rsid w:val="004C2F3F"/>
    <w:rsid w:val="004C4F17"/>
    <w:rsid w:val="004C5054"/>
    <w:rsid w:val="004C51AD"/>
    <w:rsid w:val="004C5434"/>
    <w:rsid w:val="004C5581"/>
    <w:rsid w:val="004C560B"/>
    <w:rsid w:val="004C5E71"/>
    <w:rsid w:val="004C5EE1"/>
    <w:rsid w:val="004C5FCE"/>
    <w:rsid w:val="004C613F"/>
    <w:rsid w:val="004C75EA"/>
    <w:rsid w:val="004C7CD6"/>
    <w:rsid w:val="004D0984"/>
    <w:rsid w:val="004D346E"/>
    <w:rsid w:val="004D3542"/>
    <w:rsid w:val="004D3B25"/>
    <w:rsid w:val="004D4578"/>
    <w:rsid w:val="004D4EFD"/>
    <w:rsid w:val="004D5371"/>
    <w:rsid w:val="004D5922"/>
    <w:rsid w:val="004D5CE0"/>
    <w:rsid w:val="004D5D38"/>
    <w:rsid w:val="004D60BC"/>
    <w:rsid w:val="004D73E1"/>
    <w:rsid w:val="004E02CE"/>
    <w:rsid w:val="004E056B"/>
    <w:rsid w:val="004E1B8E"/>
    <w:rsid w:val="004E28EB"/>
    <w:rsid w:val="004E3861"/>
    <w:rsid w:val="004E3D72"/>
    <w:rsid w:val="004E3E3E"/>
    <w:rsid w:val="004E4F0E"/>
    <w:rsid w:val="004E51A7"/>
    <w:rsid w:val="004E6DDF"/>
    <w:rsid w:val="004F04D8"/>
    <w:rsid w:val="004F23ED"/>
    <w:rsid w:val="004F2714"/>
    <w:rsid w:val="004F3456"/>
    <w:rsid w:val="004F4973"/>
    <w:rsid w:val="004F54CD"/>
    <w:rsid w:val="004F5941"/>
    <w:rsid w:val="004F5B58"/>
    <w:rsid w:val="004F78F4"/>
    <w:rsid w:val="004F7B5D"/>
    <w:rsid w:val="004F7CB1"/>
    <w:rsid w:val="00500663"/>
    <w:rsid w:val="00500E31"/>
    <w:rsid w:val="005011FA"/>
    <w:rsid w:val="00501D80"/>
    <w:rsid w:val="00503027"/>
    <w:rsid w:val="0050419C"/>
    <w:rsid w:val="00504C98"/>
    <w:rsid w:val="00504CE2"/>
    <w:rsid w:val="00504F7F"/>
    <w:rsid w:val="00505319"/>
    <w:rsid w:val="00505AB2"/>
    <w:rsid w:val="00512C4B"/>
    <w:rsid w:val="00512D1E"/>
    <w:rsid w:val="005142CB"/>
    <w:rsid w:val="00514F75"/>
    <w:rsid w:val="0051517C"/>
    <w:rsid w:val="00515BD0"/>
    <w:rsid w:val="005168F7"/>
    <w:rsid w:val="00517FA9"/>
    <w:rsid w:val="005201C3"/>
    <w:rsid w:val="005227B7"/>
    <w:rsid w:val="00522E1A"/>
    <w:rsid w:val="0052366C"/>
    <w:rsid w:val="00524AF7"/>
    <w:rsid w:val="005252D2"/>
    <w:rsid w:val="0052556D"/>
    <w:rsid w:val="00525791"/>
    <w:rsid w:val="00525E46"/>
    <w:rsid w:val="00526BE6"/>
    <w:rsid w:val="00527C30"/>
    <w:rsid w:val="00530102"/>
    <w:rsid w:val="00530201"/>
    <w:rsid w:val="005305C8"/>
    <w:rsid w:val="005307FE"/>
    <w:rsid w:val="00531396"/>
    <w:rsid w:val="005315D8"/>
    <w:rsid w:val="00531712"/>
    <w:rsid w:val="00532268"/>
    <w:rsid w:val="005329C9"/>
    <w:rsid w:val="00533714"/>
    <w:rsid w:val="005340F1"/>
    <w:rsid w:val="005354D7"/>
    <w:rsid w:val="00536C85"/>
    <w:rsid w:val="00536F25"/>
    <w:rsid w:val="005377E7"/>
    <w:rsid w:val="005404C6"/>
    <w:rsid w:val="005405F9"/>
    <w:rsid w:val="005416BE"/>
    <w:rsid w:val="00543D97"/>
    <w:rsid w:val="005452D2"/>
    <w:rsid w:val="00545BAA"/>
    <w:rsid w:val="00545BBE"/>
    <w:rsid w:val="005474AF"/>
    <w:rsid w:val="0054795E"/>
    <w:rsid w:val="00551AC3"/>
    <w:rsid w:val="00551DE1"/>
    <w:rsid w:val="005527F7"/>
    <w:rsid w:val="00553064"/>
    <w:rsid w:val="005530EE"/>
    <w:rsid w:val="00553B44"/>
    <w:rsid w:val="00553B5E"/>
    <w:rsid w:val="00555672"/>
    <w:rsid w:val="0055574F"/>
    <w:rsid w:val="0055596B"/>
    <w:rsid w:val="005566D0"/>
    <w:rsid w:val="005570F1"/>
    <w:rsid w:val="0056021A"/>
    <w:rsid w:val="00560BFD"/>
    <w:rsid w:val="00560CBB"/>
    <w:rsid w:val="00561019"/>
    <w:rsid w:val="005613ED"/>
    <w:rsid w:val="00563718"/>
    <w:rsid w:val="00564742"/>
    <w:rsid w:val="005650B7"/>
    <w:rsid w:val="00566510"/>
    <w:rsid w:val="0056712A"/>
    <w:rsid w:val="00567448"/>
    <w:rsid w:val="00567743"/>
    <w:rsid w:val="00567B23"/>
    <w:rsid w:val="005713AD"/>
    <w:rsid w:val="00571A3A"/>
    <w:rsid w:val="00572075"/>
    <w:rsid w:val="00572B62"/>
    <w:rsid w:val="005751B7"/>
    <w:rsid w:val="0057589F"/>
    <w:rsid w:val="00577BFC"/>
    <w:rsid w:val="00580598"/>
    <w:rsid w:val="0058104C"/>
    <w:rsid w:val="005810F2"/>
    <w:rsid w:val="00581294"/>
    <w:rsid w:val="00581DC8"/>
    <w:rsid w:val="00582266"/>
    <w:rsid w:val="00585887"/>
    <w:rsid w:val="00586041"/>
    <w:rsid w:val="00586854"/>
    <w:rsid w:val="005871E9"/>
    <w:rsid w:val="005877C2"/>
    <w:rsid w:val="005905A0"/>
    <w:rsid w:val="005909C9"/>
    <w:rsid w:val="00590DD9"/>
    <w:rsid w:val="00591E70"/>
    <w:rsid w:val="005923DF"/>
    <w:rsid w:val="005928A9"/>
    <w:rsid w:val="0059539E"/>
    <w:rsid w:val="00595508"/>
    <w:rsid w:val="00596010"/>
    <w:rsid w:val="00596457"/>
    <w:rsid w:val="00597CF5"/>
    <w:rsid w:val="00597EF7"/>
    <w:rsid w:val="005A0AF4"/>
    <w:rsid w:val="005A0FA1"/>
    <w:rsid w:val="005A28D3"/>
    <w:rsid w:val="005A3A17"/>
    <w:rsid w:val="005A465A"/>
    <w:rsid w:val="005A4D3B"/>
    <w:rsid w:val="005A56EE"/>
    <w:rsid w:val="005A5BBF"/>
    <w:rsid w:val="005A6DE7"/>
    <w:rsid w:val="005B0257"/>
    <w:rsid w:val="005B0E13"/>
    <w:rsid w:val="005B1CC5"/>
    <w:rsid w:val="005B1E2A"/>
    <w:rsid w:val="005B1FA7"/>
    <w:rsid w:val="005B2AA8"/>
    <w:rsid w:val="005B33DA"/>
    <w:rsid w:val="005B42D7"/>
    <w:rsid w:val="005B512A"/>
    <w:rsid w:val="005B5D6F"/>
    <w:rsid w:val="005B64E1"/>
    <w:rsid w:val="005C18CC"/>
    <w:rsid w:val="005C1D5B"/>
    <w:rsid w:val="005C1E2C"/>
    <w:rsid w:val="005C30C5"/>
    <w:rsid w:val="005C318C"/>
    <w:rsid w:val="005C3DD7"/>
    <w:rsid w:val="005C57E2"/>
    <w:rsid w:val="005C60ED"/>
    <w:rsid w:val="005C65EA"/>
    <w:rsid w:val="005C6834"/>
    <w:rsid w:val="005C72ED"/>
    <w:rsid w:val="005D14DE"/>
    <w:rsid w:val="005D15A6"/>
    <w:rsid w:val="005D1B78"/>
    <w:rsid w:val="005D2135"/>
    <w:rsid w:val="005D249D"/>
    <w:rsid w:val="005D2C03"/>
    <w:rsid w:val="005D2F0C"/>
    <w:rsid w:val="005D3262"/>
    <w:rsid w:val="005D34B5"/>
    <w:rsid w:val="005D42FD"/>
    <w:rsid w:val="005D4762"/>
    <w:rsid w:val="005D4A61"/>
    <w:rsid w:val="005D4DDD"/>
    <w:rsid w:val="005D6227"/>
    <w:rsid w:val="005D6363"/>
    <w:rsid w:val="005D74F6"/>
    <w:rsid w:val="005D7C4A"/>
    <w:rsid w:val="005D7CFA"/>
    <w:rsid w:val="005E054E"/>
    <w:rsid w:val="005E0C9F"/>
    <w:rsid w:val="005E2EB7"/>
    <w:rsid w:val="005E41B5"/>
    <w:rsid w:val="005E43B3"/>
    <w:rsid w:val="005E4C4C"/>
    <w:rsid w:val="005E5729"/>
    <w:rsid w:val="005E58C2"/>
    <w:rsid w:val="005E6414"/>
    <w:rsid w:val="005E6602"/>
    <w:rsid w:val="005F0FD4"/>
    <w:rsid w:val="005F1C91"/>
    <w:rsid w:val="005F3507"/>
    <w:rsid w:val="005F404F"/>
    <w:rsid w:val="005F4EB4"/>
    <w:rsid w:val="005F5204"/>
    <w:rsid w:val="005F67D0"/>
    <w:rsid w:val="005F6A78"/>
    <w:rsid w:val="005F7AA9"/>
    <w:rsid w:val="00600009"/>
    <w:rsid w:val="00600C86"/>
    <w:rsid w:val="006017DB"/>
    <w:rsid w:val="006020E6"/>
    <w:rsid w:val="00603D87"/>
    <w:rsid w:val="00604CCC"/>
    <w:rsid w:val="00605607"/>
    <w:rsid w:val="00606372"/>
    <w:rsid w:val="0060671C"/>
    <w:rsid w:val="00607CFB"/>
    <w:rsid w:val="00607FA2"/>
    <w:rsid w:val="0061146F"/>
    <w:rsid w:val="00611491"/>
    <w:rsid w:val="0061192B"/>
    <w:rsid w:val="00611C12"/>
    <w:rsid w:val="00611F47"/>
    <w:rsid w:val="00612158"/>
    <w:rsid w:val="0061279B"/>
    <w:rsid w:val="00613CB8"/>
    <w:rsid w:val="00613CD1"/>
    <w:rsid w:val="00613F25"/>
    <w:rsid w:val="006153C2"/>
    <w:rsid w:val="006153F5"/>
    <w:rsid w:val="00615B26"/>
    <w:rsid w:val="0061722F"/>
    <w:rsid w:val="00617859"/>
    <w:rsid w:val="006205BE"/>
    <w:rsid w:val="00620D3F"/>
    <w:rsid w:val="00621B2F"/>
    <w:rsid w:val="00622B54"/>
    <w:rsid w:val="00622C44"/>
    <w:rsid w:val="00622FE8"/>
    <w:rsid w:val="00623A6F"/>
    <w:rsid w:val="006243A5"/>
    <w:rsid w:val="00625452"/>
    <w:rsid w:val="006258B3"/>
    <w:rsid w:val="0063282B"/>
    <w:rsid w:val="00632B09"/>
    <w:rsid w:val="0063392A"/>
    <w:rsid w:val="00635688"/>
    <w:rsid w:val="00635C80"/>
    <w:rsid w:val="00635CF9"/>
    <w:rsid w:val="00635D9C"/>
    <w:rsid w:val="00635EDA"/>
    <w:rsid w:val="0063647F"/>
    <w:rsid w:val="00636CC9"/>
    <w:rsid w:val="0063764F"/>
    <w:rsid w:val="0064040D"/>
    <w:rsid w:val="00640BCA"/>
    <w:rsid w:val="006423ED"/>
    <w:rsid w:val="006425CF"/>
    <w:rsid w:val="006427E8"/>
    <w:rsid w:val="006434E1"/>
    <w:rsid w:val="006453F7"/>
    <w:rsid w:val="00646D40"/>
    <w:rsid w:val="00650008"/>
    <w:rsid w:val="0065022E"/>
    <w:rsid w:val="0065090E"/>
    <w:rsid w:val="00650DF0"/>
    <w:rsid w:val="00650FEC"/>
    <w:rsid w:val="0065137F"/>
    <w:rsid w:val="00651987"/>
    <w:rsid w:val="006527C4"/>
    <w:rsid w:val="0065441B"/>
    <w:rsid w:val="006547BE"/>
    <w:rsid w:val="00654C68"/>
    <w:rsid w:val="00655054"/>
    <w:rsid w:val="00655E83"/>
    <w:rsid w:val="006564E4"/>
    <w:rsid w:val="00662919"/>
    <w:rsid w:val="006631E0"/>
    <w:rsid w:val="006634CD"/>
    <w:rsid w:val="00663C96"/>
    <w:rsid w:val="006641B1"/>
    <w:rsid w:val="00665058"/>
    <w:rsid w:val="006652E5"/>
    <w:rsid w:val="00665AD1"/>
    <w:rsid w:val="00666A4C"/>
    <w:rsid w:val="00666D9B"/>
    <w:rsid w:val="00667AEA"/>
    <w:rsid w:val="00670202"/>
    <w:rsid w:val="00670C3D"/>
    <w:rsid w:val="00671319"/>
    <w:rsid w:val="0067140F"/>
    <w:rsid w:val="00671683"/>
    <w:rsid w:val="00671A68"/>
    <w:rsid w:val="00671EC3"/>
    <w:rsid w:val="00673560"/>
    <w:rsid w:val="0067392A"/>
    <w:rsid w:val="00673BFB"/>
    <w:rsid w:val="0067452E"/>
    <w:rsid w:val="00674D86"/>
    <w:rsid w:val="006755B8"/>
    <w:rsid w:val="00675B38"/>
    <w:rsid w:val="006765A8"/>
    <w:rsid w:val="006774A6"/>
    <w:rsid w:val="00677AFF"/>
    <w:rsid w:val="00677CC6"/>
    <w:rsid w:val="00677EE6"/>
    <w:rsid w:val="006804BC"/>
    <w:rsid w:val="00681118"/>
    <w:rsid w:val="00681810"/>
    <w:rsid w:val="00682A8F"/>
    <w:rsid w:val="006832D8"/>
    <w:rsid w:val="00683B5F"/>
    <w:rsid w:val="006845BB"/>
    <w:rsid w:val="00684DC1"/>
    <w:rsid w:val="00685FA0"/>
    <w:rsid w:val="006862FC"/>
    <w:rsid w:val="00686F82"/>
    <w:rsid w:val="00687814"/>
    <w:rsid w:val="00687A7E"/>
    <w:rsid w:val="00687B9A"/>
    <w:rsid w:val="00690C74"/>
    <w:rsid w:val="00691D09"/>
    <w:rsid w:val="00691D55"/>
    <w:rsid w:val="0069271E"/>
    <w:rsid w:val="006930B3"/>
    <w:rsid w:val="00695D34"/>
    <w:rsid w:val="006960A0"/>
    <w:rsid w:val="00697E1A"/>
    <w:rsid w:val="006A06E7"/>
    <w:rsid w:val="006A233B"/>
    <w:rsid w:val="006A393C"/>
    <w:rsid w:val="006A3C85"/>
    <w:rsid w:val="006A4D98"/>
    <w:rsid w:val="006A4EDA"/>
    <w:rsid w:val="006A52D2"/>
    <w:rsid w:val="006A5493"/>
    <w:rsid w:val="006A5A1D"/>
    <w:rsid w:val="006A7547"/>
    <w:rsid w:val="006A7A80"/>
    <w:rsid w:val="006B04F5"/>
    <w:rsid w:val="006B0725"/>
    <w:rsid w:val="006B252B"/>
    <w:rsid w:val="006B2BCF"/>
    <w:rsid w:val="006B2F48"/>
    <w:rsid w:val="006B3D7E"/>
    <w:rsid w:val="006B632F"/>
    <w:rsid w:val="006B69E5"/>
    <w:rsid w:val="006B73BC"/>
    <w:rsid w:val="006B73C6"/>
    <w:rsid w:val="006B76A0"/>
    <w:rsid w:val="006B7729"/>
    <w:rsid w:val="006C27BB"/>
    <w:rsid w:val="006C35BE"/>
    <w:rsid w:val="006C387F"/>
    <w:rsid w:val="006C4B4F"/>
    <w:rsid w:val="006C54EE"/>
    <w:rsid w:val="006C5CAA"/>
    <w:rsid w:val="006C6275"/>
    <w:rsid w:val="006C7780"/>
    <w:rsid w:val="006D0794"/>
    <w:rsid w:val="006D08DE"/>
    <w:rsid w:val="006D08FD"/>
    <w:rsid w:val="006D168F"/>
    <w:rsid w:val="006D1906"/>
    <w:rsid w:val="006D25B4"/>
    <w:rsid w:val="006D3484"/>
    <w:rsid w:val="006D3755"/>
    <w:rsid w:val="006D440D"/>
    <w:rsid w:val="006D4B8B"/>
    <w:rsid w:val="006D5009"/>
    <w:rsid w:val="006D5628"/>
    <w:rsid w:val="006D564D"/>
    <w:rsid w:val="006D59C0"/>
    <w:rsid w:val="006D5BAB"/>
    <w:rsid w:val="006D5D2A"/>
    <w:rsid w:val="006D66EC"/>
    <w:rsid w:val="006D6C25"/>
    <w:rsid w:val="006D7D6F"/>
    <w:rsid w:val="006E0D25"/>
    <w:rsid w:val="006E0EC5"/>
    <w:rsid w:val="006E1E7C"/>
    <w:rsid w:val="006E30AE"/>
    <w:rsid w:val="006E4570"/>
    <w:rsid w:val="006E47E5"/>
    <w:rsid w:val="006E50E5"/>
    <w:rsid w:val="006E51F6"/>
    <w:rsid w:val="006E5AA3"/>
    <w:rsid w:val="006E78EB"/>
    <w:rsid w:val="006E79F0"/>
    <w:rsid w:val="006F0845"/>
    <w:rsid w:val="006F2D96"/>
    <w:rsid w:val="006F406C"/>
    <w:rsid w:val="006F5700"/>
    <w:rsid w:val="006F5B09"/>
    <w:rsid w:val="006F6206"/>
    <w:rsid w:val="006F6B5D"/>
    <w:rsid w:val="006F78BD"/>
    <w:rsid w:val="00700D72"/>
    <w:rsid w:val="00701337"/>
    <w:rsid w:val="007018A3"/>
    <w:rsid w:val="00702EC2"/>
    <w:rsid w:val="00703AD0"/>
    <w:rsid w:val="0070421D"/>
    <w:rsid w:val="00704875"/>
    <w:rsid w:val="007056EA"/>
    <w:rsid w:val="007059C6"/>
    <w:rsid w:val="00706252"/>
    <w:rsid w:val="00706D92"/>
    <w:rsid w:val="00710695"/>
    <w:rsid w:val="0071078B"/>
    <w:rsid w:val="007107D8"/>
    <w:rsid w:val="00710851"/>
    <w:rsid w:val="007108F6"/>
    <w:rsid w:val="00710D04"/>
    <w:rsid w:val="00710F6D"/>
    <w:rsid w:val="0071117A"/>
    <w:rsid w:val="00712576"/>
    <w:rsid w:val="007147B8"/>
    <w:rsid w:val="00716A45"/>
    <w:rsid w:val="00716F10"/>
    <w:rsid w:val="007174DF"/>
    <w:rsid w:val="00717605"/>
    <w:rsid w:val="007179AF"/>
    <w:rsid w:val="00720C21"/>
    <w:rsid w:val="00723C42"/>
    <w:rsid w:val="00724465"/>
    <w:rsid w:val="00724D52"/>
    <w:rsid w:val="00724E80"/>
    <w:rsid w:val="007272D1"/>
    <w:rsid w:val="00727921"/>
    <w:rsid w:val="00731595"/>
    <w:rsid w:val="007319D1"/>
    <w:rsid w:val="0073224D"/>
    <w:rsid w:val="00733145"/>
    <w:rsid w:val="00733B6F"/>
    <w:rsid w:val="007341DE"/>
    <w:rsid w:val="007347B9"/>
    <w:rsid w:val="00734A8A"/>
    <w:rsid w:val="0073606A"/>
    <w:rsid w:val="0073693E"/>
    <w:rsid w:val="00737D60"/>
    <w:rsid w:val="00740086"/>
    <w:rsid w:val="00740797"/>
    <w:rsid w:val="00740E9D"/>
    <w:rsid w:val="00741957"/>
    <w:rsid w:val="00741F89"/>
    <w:rsid w:val="00741FCD"/>
    <w:rsid w:val="0074288D"/>
    <w:rsid w:val="00742DC5"/>
    <w:rsid w:val="00743F62"/>
    <w:rsid w:val="00744DAE"/>
    <w:rsid w:val="00745660"/>
    <w:rsid w:val="0074646D"/>
    <w:rsid w:val="00746633"/>
    <w:rsid w:val="00747982"/>
    <w:rsid w:val="007506F9"/>
    <w:rsid w:val="00751171"/>
    <w:rsid w:val="00752205"/>
    <w:rsid w:val="0075252D"/>
    <w:rsid w:val="007530B7"/>
    <w:rsid w:val="00753174"/>
    <w:rsid w:val="007533E2"/>
    <w:rsid w:val="00753E8D"/>
    <w:rsid w:val="0075490A"/>
    <w:rsid w:val="00755881"/>
    <w:rsid w:val="007560F6"/>
    <w:rsid w:val="007562E0"/>
    <w:rsid w:val="007563E3"/>
    <w:rsid w:val="0075653C"/>
    <w:rsid w:val="00756C90"/>
    <w:rsid w:val="00757380"/>
    <w:rsid w:val="007576C3"/>
    <w:rsid w:val="007610B4"/>
    <w:rsid w:val="00761B77"/>
    <w:rsid w:val="00761CA5"/>
    <w:rsid w:val="00762EDF"/>
    <w:rsid w:val="007630A4"/>
    <w:rsid w:val="00764358"/>
    <w:rsid w:val="00764893"/>
    <w:rsid w:val="00766726"/>
    <w:rsid w:val="00766A3E"/>
    <w:rsid w:val="00766F1A"/>
    <w:rsid w:val="00770125"/>
    <w:rsid w:val="00770343"/>
    <w:rsid w:val="0077170F"/>
    <w:rsid w:val="007722B1"/>
    <w:rsid w:val="007727F2"/>
    <w:rsid w:val="00772D0D"/>
    <w:rsid w:val="00772F59"/>
    <w:rsid w:val="00772F97"/>
    <w:rsid w:val="00773536"/>
    <w:rsid w:val="00774B9C"/>
    <w:rsid w:val="00776016"/>
    <w:rsid w:val="00776E8C"/>
    <w:rsid w:val="00780C46"/>
    <w:rsid w:val="0078143C"/>
    <w:rsid w:val="00781A70"/>
    <w:rsid w:val="00781D24"/>
    <w:rsid w:val="00782208"/>
    <w:rsid w:val="00782332"/>
    <w:rsid w:val="007832DF"/>
    <w:rsid w:val="00783B2F"/>
    <w:rsid w:val="00783D80"/>
    <w:rsid w:val="00784573"/>
    <w:rsid w:val="00784583"/>
    <w:rsid w:val="00784731"/>
    <w:rsid w:val="007850A3"/>
    <w:rsid w:val="00786DCA"/>
    <w:rsid w:val="00787E2D"/>
    <w:rsid w:val="0079005A"/>
    <w:rsid w:val="007907C7"/>
    <w:rsid w:val="007916FC"/>
    <w:rsid w:val="0079184F"/>
    <w:rsid w:val="00791D05"/>
    <w:rsid w:val="00792547"/>
    <w:rsid w:val="00792C22"/>
    <w:rsid w:val="0079401D"/>
    <w:rsid w:val="007940AF"/>
    <w:rsid w:val="007941C3"/>
    <w:rsid w:val="007946A3"/>
    <w:rsid w:val="00794AD3"/>
    <w:rsid w:val="00795DC1"/>
    <w:rsid w:val="00796097"/>
    <w:rsid w:val="00796210"/>
    <w:rsid w:val="0079759E"/>
    <w:rsid w:val="00797915"/>
    <w:rsid w:val="00797D4E"/>
    <w:rsid w:val="007A028E"/>
    <w:rsid w:val="007A0EA5"/>
    <w:rsid w:val="007A1EF8"/>
    <w:rsid w:val="007A2169"/>
    <w:rsid w:val="007A22FF"/>
    <w:rsid w:val="007A35D9"/>
    <w:rsid w:val="007A3C7E"/>
    <w:rsid w:val="007A4627"/>
    <w:rsid w:val="007A469D"/>
    <w:rsid w:val="007A56A3"/>
    <w:rsid w:val="007A68D6"/>
    <w:rsid w:val="007A7DD0"/>
    <w:rsid w:val="007B0169"/>
    <w:rsid w:val="007B0B5E"/>
    <w:rsid w:val="007B1C22"/>
    <w:rsid w:val="007B1E9B"/>
    <w:rsid w:val="007B2A5E"/>
    <w:rsid w:val="007B3110"/>
    <w:rsid w:val="007B3462"/>
    <w:rsid w:val="007B3D2E"/>
    <w:rsid w:val="007B4EB3"/>
    <w:rsid w:val="007B5D84"/>
    <w:rsid w:val="007B6085"/>
    <w:rsid w:val="007B6605"/>
    <w:rsid w:val="007B6753"/>
    <w:rsid w:val="007B6848"/>
    <w:rsid w:val="007B7D8E"/>
    <w:rsid w:val="007B7DFC"/>
    <w:rsid w:val="007C0A69"/>
    <w:rsid w:val="007C1197"/>
    <w:rsid w:val="007C1953"/>
    <w:rsid w:val="007C19B2"/>
    <w:rsid w:val="007C2157"/>
    <w:rsid w:val="007C449B"/>
    <w:rsid w:val="007C45F0"/>
    <w:rsid w:val="007C4CC9"/>
    <w:rsid w:val="007C5CC3"/>
    <w:rsid w:val="007D08C4"/>
    <w:rsid w:val="007D0C27"/>
    <w:rsid w:val="007D14AB"/>
    <w:rsid w:val="007D1526"/>
    <w:rsid w:val="007D1F20"/>
    <w:rsid w:val="007D3E01"/>
    <w:rsid w:val="007D41FA"/>
    <w:rsid w:val="007D4945"/>
    <w:rsid w:val="007D4C09"/>
    <w:rsid w:val="007D4FE5"/>
    <w:rsid w:val="007D628B"/>
    <w:rsid w:val="007D72A7"/>
    <w:rsid w:val="007D777D"/>
    <w:rsid w:val="007E0CE2"/>
    <w:rsid w:val="007E1271"/>
    <w:rsid w:val="007E1482"/>
    <w:rsid w:val="007E2D29"/>
    <w:rsid w:val="007E3411"/>
    <w:rsid w:val="007E4286"/>
    <w:rsid w:val="007E468F"/>
    <w:rsid w:val="007E46E0"/>
    <w:rsid w:val="007E4C31"/>
    <w:rsid w:val="007E4EC6"/>
    <w:rsid w:val="007E533F"/>
    <w:rsid w:val="007E5478"/>
    <w:rsid w:val="007E5532"/>
    <w:rsid w:val="007E60C0"/>
    <w:rsid w:val="007E6F30"/>
    <w:rsid w:val="007F01F2"/>
    <w:rsid w:val="007F085E"/>
    <w:rsid w:val="007F193C"/>
    <w:rsid w:val="007F2442"/>
    <w:rsid w:val="007F2A7A"/>
    <w:rsid w:val="007F2ABE"/>
    <w:rsid w:val="007F3632"/>
    <w:rsid w:val="007F3915"/>
    <w:rsid w:val="007F3DE5"/>
    <w:rsid w:val="007F3E7A"/>
    <w:rsid w:val="007F4D3D"/>
    <w:rsid w:val="007F52BF"/>
    <w:rsid w:val="007F5D86"/>
    <w:rsid w:val="007F7886"/>
    <w:rsid w:val="007F7930"/>
    <w:rsid w:val="00800660"/>
    <w:rsid w:val="0080175F"/>
    <w:rsid w:val="00801AED"/>
    <w:rsid w:val="008029BC"/>
    <w:rsid w:val="00802FF5"/>
    <w:rsid w:val="008034DA"/>
    <w:rsid w:val="0080380A"/>
    <w:rsid w:val="00804A66"/>
    <w:rsid w:val="00805299"/>
    <w:rsid w:val="00805936"/>
    <w:rsid w:val="008071F4"/>
    <w:rsid w:val="00807385"/>
    <w:rsid w:val="0080750A"/>
    <w:rsid w:val="00807EB3"/>
    <w:rsid w:val="00807F7C"/>
    <w:rsid w:val="00811037"/>
    <w:rsid w:val="0081178B"/>
    <w:rsid w:val="008119B4"/>
    <w:rsid w:val="008126BF"/>
    <w:rsid w:val="00812A5B"/>
    <w:rsid w:val="008131A5"/>
    <w:rsid w:val="00814409"/>
    <w:rsid w:val="00814C1E"/>
    <w:rsid w:val="0081523F"/>
    <w:rsid w:val="00815A62"/>
    <w:rsid w:val="008161D3"/>
    <w:rsid w:val="00816728"/>
    <w:rsid w:val="00816F75"/>
    <w:rsid w:val="008179FF"/>
    <w:rsid w:val="00817BC9"/>
    <w:rsid w:val="00820DD7"/>
    <w:rsid w:val="008216A9"/>
    <w:rsid w:val="00821917"/>
    <w:rsid w:val="00821B75"/>
    <w:rsid w:val="00821C84"/>
    <w:rsid w:val="008227AE"/>
    <w:rsid w:val="00823241"/>
    <w:rsid w:val="00823DF5"/>
    <w:rsid w:val="008246C6"/>
    <w:rsid w:val="00825CEC"/>
    <w:rsid w:val="008266BC"/>
    <w:rsid w:val="00826D77"/>
    <w:rsid w:val="00826EB3"/>
    <w:rsid w:val="00827302"/>
    <w:rsid w:val="00827D71"/>
    <w:rsid w:val="00830EE6"/>
    <w:rsid w:val="00831517"/>
    <w:rsid w:val="00832301"/>
    <w:rsid w:val="0083520F"/>
    <w:rsid w:val="008356C3"/>
    <w:rsid w:val="00835D0A"/>
    <w:rsid w:val="00836565"/>
    <w:rsid w:val="0084052F"/>
    <w:rsid w:val="00840714"/>
    <w:rsid w:val="0084082B"/>
    <w:rsid w:val="0084193B"/>
    <w:rsid w:val="00841A22"/>
    <w:rsid w:val="008434C8"/>
    <w:rsid w:val="00843833"/>
    <w:rsid w:val="00843A1E"/>
    <w:rsid w:val="008464C8"/>
    <w:rsid w:val="008510F4"/>
    <w:rsid w:val="00851504"/>
    <w:rsid w:val="008518DB"/>
    <w:rsid w:val="008520CD"/>
    <w:rsid w:val="00852C4F"/>
    <w:rsid w:val="00853851"/>
    <w:rsid w:val="00853B34"/>
    <w:rsid w:val="00855B7B"/>
    <w:rsid w:val="008564B1"/>
    <w:rsid w:val="00857D05"/>
    <w:rsid w:val="00861406"/>
    <w:rsid w:val="00862EC4"/>
    <w:rsid w:val="0086345F"/>
    <w:rsid w:val="008639D5"/>
    <w:rsid w:val="0086469D"/>
    <w:rsid w:val="0087020E"/>
    <w:rsid w:val="00870405"/>
    <w:rsid w:val="00871C2E"/>
    <w:rsid w:val="00871D73"/>
    <w:rsid w:val="00873417"/>
    <w:rsid w:val="0087358B"/>
    <w:rsid w:val="008735C1"/>
    <w:rsid w:val="00873B32"/>
    <w:rsid w:val="00873E55"/>
    <w:rsid w:val="00875290"/>
    <w:rsid w:val="00876681"/>
    <w:rsid w:val="00882B98"/>
    <w:rsid w:val="00883121"/>
    <w:rsid w:val="00884A32"/>
    <w:rsid w:val="00884DC4"/>
    <w:rsid w:val="008851C0"/>
    <w:rsid w:val="008856F7"/>
    <w:rsid w:val="008867D3"/>
    <w:rsid w:val="008868F0"/>
    <w:rsid w:val="00887E82"/>
    <w:rsid w:val="00890903"/>
    <w:rsid w:val="00892721"/>
    <w:rsid w:val="00892F51"/>
    <w:rsid w:val="00893354"/>
    <w:rsid w:val="00893590"/>
    <w:rsid w:val="008936BD"/>
    <w:rsid w:val="00893B84"/>
    <w:rsid w:val="00893F96"/>
    <w:rsid w:val="00894752"/>
    <w:rsid w:val="0089561C"/>
    <w:rsid w:val="00895CC1"/>
    <w:rsid w:val="0089790F"/>
    <w:rsid w:val="00897DC9"/>
    <w:rsid w:val="008A1C87"/>
    <w:rsid w:val="008A227A"/>
    <w:rsid w:val="008A2762"/>
    <w:rsid w:val="008A2E25"/>
    <w:rsid w:val="008A391E"/>
    <w:rsid w:val="008A4123"/>
    <w:rsid w:val="008A4207"/>
    <w:rsid w:val="008A490B"/>
    <w:rsid w:val="008A548D"/>
    <w:rsid w:val="008A5DA5"/>
    <w:rsid w:val="008A65B4"/>
    <w:rsid w:val="008A6BE2"/>
    <w:rsid w:val="008A6F02"/>
    <w:rsid w:val="008A7332"/>
    <w:rsid w:val="008A7A69"/>
    <w:rsid w:val="008B03EB"/>
    <w:rsid w:val="008B047E"/>
    <w:rsid w:val="008B096F"/>
    <w:rsid w:val="008B0F22"/>
    <w:rsid w:val="008B124D"/>
    <w:rsid w:val="008B1537"/>
    <w:rsid w:val="008B1EE8"/>
    <w:rsid w:val="008B2CD2"/>
    <w:rsid w:val="008B2DCF"/>
    <w:rsid w:val="008B33B1"/>
    <w:rsid w:val="008B3B68"/>
    <w:rsid w:val="008B3E1D"/>
    <w:rsid w:val="008B40D4"/>
    <w:rsid w:val="008B69F9"/>
    <w:rsid w:val="008B7D66"/>
    <w:rsid w:val="008B7E06"/>
    <w:rsid w:val="008C0B99"/>
    <w:rsid w:val="008C104D"/>
    <w:rsid w:val="008C297C"/>
    <w:rsid w:val="008C333B"/>
    <w:rsid w:val="008C3569"/>
    <w:rsid w:val="008C518C"/>
    <w:rsid w:val="008C5410"/>
    <w:rsid w:val="008D0661"/>
    <w:rsid w:val="008D2386"/>
    <w:rsid w:val="008D2D0D"/>
    <w:rsid w:val="008D343B"/>
    <w:rsid w:val="008D4C7D"/>
    <w:rsid w:val="008D5F63"/>
    <w:rsid w:val="008D6602"/>
    <w:rsid w:val="008D67F8"/>
    <w:rsid w:val="008D7482"/>
    <w:rsid w:val="008D77EB"/>
    <w:rsid w:val="008D7D45"/>
    <w:rsid w:val="008E0C34"/>
    <w:rsid w:val="008E0D01"/>
    <w:rsid w:val="008E1295"/>
    <w:rsid w:val="008E2EF9"/>
    <w:rsid w:val="008E38B4"/>
    <w:rsid w:val="008E412C"/>
    <w:rsid w:val="008E4AB0"/>
    <w:rsid w:val="008E6443"/>
    <w:rsid w:val="008E69C3"/>
    <w:rsid w:val="008E6C5C"/>
    <w:rsid w:val="008E76E6"/>
    <w:rsid w:val="008E7829"/>
    <w:rsid w:val="008F10CD"/>
    <w:rsid w:val="008F1945"/>
    <w:rsid w:val="008F1B76"/>
    <w:rsid w:val="008F34D2"/>
    <w:rsid w:val="008F3E65"/>
    <w:rsid w:val="008F48FC"/>
    <w:rsid w:val="008F56D7"/>
    <w:rsid w:val="008F571F"/>
    <w:rsid w:val="008F5F17"/>
    <w:rsid w:val="008F7661"/>
    <w:rsid w:val="008F784F"/>
    <w:rsid w:val="008F7DBE"/>
    <w:rsid w:val="00900874"/>
    <w:rsid w:val="00900D9E"/>
    <w:rsid w:val="00901CC9"/>
    <w:rsid w:val="00901DE7"/>
    <w:rsid w:val="0090335A"/>
    <w:rsid w:val="009044E1"/>
    <w:rsid w:val="00904DF4"/>
    <w:rsid w:val="00904E30"/>
    <w:rsid w:val="009056F1"/>
    <w:rsid w:val="00905997"/>
    <w:rsid w:val="00905EEE"/>
    <w:rsid w:val="00906649"/>
    <w:rsid w:val="00906CE6"/>
    <w:rsid w:val="00906F86"/>
    <w:rsid w:val="009107F3"/>
    <w:rsid w:val="00911401"/>
    <w:rsid w:val="00911662"/>
    <w:rsid w:val="00911821"/>
    <w:rsid w:val="00911875"/>
    <w:rsid w:val="00912D0C"/>
    <w:rsid w:val="00913162"/>
    <w:rsid w:val="00913DEE"/>
    <w:rsid w:val="00913E97"/>
    <w:rsid w:val="00914790"/>
    <w:rsid w:val="009152B8"/>
    <w:rsid w:val="00915941"/>
    <w:rsid w:val="00915A56"/>
    <w:rsid w:val="00916116"/>
    <w:rsid w:val="00916A9D"/>
    <w:rsid w:val="00917A7B"/>
    <w:rsid w:val="00920134"/>
    <w:rsid w:val="00920D24"/>
    <w:rsid w:val="009211BB"/>
    <w:rsid w:val="00921291"/>
    <w:rsid w:val="00922884"/>
    <w:rsid w:val="00922CB7"/>
    <w:rsid w:val="00922D18"/>
    <w:rsid w:val="00923630"/>
    <w:rsid w:val="009242E2"/>
    <w:rsid w:val="0092459B"/>
    <w:rsid w:val="009253EA"/>
    <w:rsid w:val="0092596B"/>
    <w:rsid w:val="00925DCF"/>
    <w:rsid w:val="009263C2"/>
    <w:rsid w:val="00926441"/>
    <w:rsid w:val="00926EBE"/>
    <w:rsid w:val="0092771C"/>
    <w:rsid w:val="00930288"/>
    <w:rsid w:val="00930652"/>
    <w:rsid w:val="00931280"/>
    <w:rsid w:val="00931491"/>
    <w:rsid w:val="00931A5C"/>
    <w:rsid w:val="00932523"/>
    <w:rsid w:val="00932956"/>
    <w:rsid w:val="00933281"/>
    <w:rsid w:val="009332DD"/>
    <w:rsid w:val="0093417E"/>
    <w:rsid w:val="00934668"/>
    <w:rsid w:val="009347A6"/>
    <w:rsid w:val="0093511E"/>
    <w:rsid w:val="0093539E"/>
    <w:rsid w:val="009363B1"/>
    <w:rsid w:val="009367A9"/>
    <w:rsid w:val="00936C91"/>
    <w:rsid w:val="0094093B"/>
    <w:rsid w:val="00941F50"/>
    <w:rsid w:val="00942111"/>
    <w:rsid w:val="00942445"/>
    <w:rsid w:val="0094245E"/>
    <w:rsid w:val="00943ADE"/>
    <w:rsid w:val="00944068"/>
    <w:rsid w:val="00944492"/>
    <w:rsid w:val="00947740"/>
    <w:rsid w:val="00950CB9"/>
    <w:rsid w:val="009520AA"/>
    <w:rsid w:val="009521AD"/>
    <w:rsid w:val="00952375"/>
    <w:rsid w:val="00952E8D"/>
    <w:rsid w:val="0095329D"/>
    <w:rsid w:val="00953E83"/>
    <w:rsid w:val="0095567D"/>
    <w:rsid w:val="00955BB0"/>
    <w:rsid w:val="00955E1F"/>
    <w:rsid w:val="00957EF1"/>
    <w:rsid w:val="009614C9"/>
    <w:rsid w:val="009615D0"/>
    <w:rsid w:val="00962E9E"/>
    <w:rsid w:val="009633B9"/>
    <w:rsid w:val="009634AD"/>
    <w:rsid w:val="0096373E"/>
    <w:rsid w:val="009654D3"/>
    <w:rsid w:val="009674D5"/>
    <w:rsid w:val="00967AD4"/>
    <w:rsid w:val="00967D36"/>
    <w:rsid w:val="00970594"/>
    <w:rsid w:val="00971339"/>
    <w:rsid w:val="0097193C"/>
    <w:rsid w:val="0097205A"/>
    <w:rsid w:val="00972D8B"/>
    <w:rsid w:val="00973521"/>
    <w:rsid w:val="00973B1E"/>
    <w:rsid w:val="0097400E"/>
    <w:rsid w:val="00974E8D"/>
    <w:rsid w:val="00975247"/>
    <w:rsid w:val="0097544C"/>
    <w:rsid w:val="00975732"/>
    <w:rsid w:val="00975D38"/>
    <w:rsid w:val="00976DCE"/>
    <w:rsid w:val="00977351"/>
    <w:rsid w:val="00977FAD"/>
    <w:rsid w:val="00977FCD"/>
    <w:rsid w:val="00981179"/>
    <w:rsid w:val="00981B6F"/>
    <w:rsid w:val="00982314"/>
    <w:rsid w:val="00983148"/>
    <w:rsid w:val="0098398C"/>
    <w:rsid w:val="009839C5"/>
    <w:rsid w:val="00983E15"/>
    <w:rsid w:val="009842A9"/>
    <w:rsid w:val="009858F0"/>
    <w:rsid w:val="0098628D"/>
    <w:rsid w:val="00986400"/>
    <w:rsid w:val="009870D4"/>
    <w:rsid w:val="00987A6D"/>
    <w:rsid w:val="0099043E"/>
    <w:rsid w:val="00991193"/>
    <w:rsid w:val="009918D6"/>
    <w:rsid w:val="00991B5C"/>
    <w:rsid w:val="00992C18"/>
    <w:rsid w:val="00994140"/>
    <w:rsid w:val="00994337"/>
    <w:rsid w:val="00994BC6"/>
    <w:rsid w:val="00997D6D"/>
    <w:rsid w:val="009A1BAB"/>
    <w:rsid w:val="009A23E8"/>
    <w:rsid w:val="009A25A0"/>
    <w:rsid w:val="009A2C78"/>
    <w:rsid w:val="009A2F3C"/>
    <w:rsid w:val="009A3042"/>
    <w:rsid w:val="009A3881"/>
    <w:rsid w:val="009A400C"/>
    <w:rsid w:val="009A4999"/>
    <w:rsid w:val="009A6AC3"/>
    <w:rsid w:val="009B06ED"/>
    <w:rsid w:val="009B2A96"/>
    <w:rsid w:val="009B2D79"/>
    <w:rsid w:val="009B3A74"/>
    <w:rsid w:val="009B3E3D"/>
    <w:rsid w:val="009B4469"/>
    <w:rsid w:val="009B46F3"/>
    <w:rsid w:val="009B4F2D"/>
    <w:rsid w:val="009B68E2"/>
    <w:rsid w:val="009B76DC"/>
    <w:rsid w:val="009C0A9A"/>
    <w:rsid w:val="009C0B2D"/>
    <w:rsid w:val="009C114B"/>
    <w:rsid w:val="009C1D6A"/>
    <w:rsid w:val="009C29AC"/>
    <w:rsid w:val="009C5222"/>
    <w:rsid w:val="009C5EDE"/>
    <w:rsid w:val="009C60C1"/>
    <w:rsid w:val="009D12B6"/>
    <w:rsid w:val="009D1ABA"/>
    <w:rsid w:val="009D2C05"/>
    <w:rsid w:val="009D3EFE"/>
    <w:rsid w:val="009D4030"/>
    <w:rsid w:val="009D4AC3"/>
    <w:rsid w:val="009D506B"/>
    <w:rsid w:val="009D56CE"/>
    <w:rsid w:val="009D5D47"/>
    <w:rsid w:val="009D6424"/>
    <w:rsid w:val="009D6D11"/>
    <w:rsid w:val="009E0159"/>
    <w:rsid w:val="009E1CF0"/>
    <w:rsid w:val="009E2669"/>
    <w:rsid w:val="009F13BA"/>
    <w:rsid w:val="009F168C"/>
    <w:rsid w:val="009F206C"/>
    <w:rsid w:val="009F330B"/>
    <w:rsid w:val="009F33F6"/>
    <w:rsid w:val="009F43F8"/>
    <w:rsid w:val="009F4992"/>
    <w:rsid w:val="009F54CF"/>
    <w:rsid w:val="009F5500"/>
    <w:rsid w:val="009F7010"/>
    <w:rsid w:val="009F723F"/>
    <w:rsid w:val="009F746C"/>
    <w:rsid w:val="009F7C72"/>
    <w:rsid w:val="00A00FBE"/>
    <w:rsid w:val="00A01289"/>
    <w:rsid w:val="00A028FA"/>
    <w:rsid w:val="00A02B45"/>
    <w:rsid w:val="00A03B42"/>
    <w:rsid w:val="00A042D5"/>
    <w:rsid w:val="00A04A1A"/>
    <w:rsid w:val="00A0511D"/>
    <w:rsid w:val="00A0554A"/>
    <w:rsid w:val="00A06559"/>
    <w:rsid w:val="00A06A78"/>
    <w:rsid w:val="00A07933"/>
    <w:rsid w:val="00A079FD"/>
    <w:rsid w:val="00A07A54"/>
    <w:rsid w:val="00A106CB"/>
    <w:rsid w:val="00A1153E"/>
    <w:rsid w:val="00A11B5A"/>
    <w:rsid w:val="00A1217B"/>
    <w:rsid w:val="00A12CFF"/>
    <w:rsid w:val="00A133B5"/>
    <w:rsid w:val="00A146E1"/>
    <w:rsid w:val="00A151A2"/>
    <w:rsid w:val="00A15727"/>
    <w:rsid w:val="00A15AE0"/>
    <w:rsid w:val="00A15FDE"/>
    <w:rsid w:val="00A16536"/>
    <w:rsid w:val="00A165F6"/>
    <w:rsid w:val="00A167C2"/>
    <w:rsid w:val="00A16F92"/>
    <w:rsid w:val="00A20CBC"/>
    <w:rsid w:val="00A21028"/>
    <w:rsid w:val="00A22A5F"/>
    <w:rsid w:val="00A22A67"/>
    <w:rsid w:val="00A2477D"/>
    <w:rsid w:val="00A2490C"/>
    <w:rsid w:val="00A249A4"/>
    <w:rsid w:val="00A254A7"/>
    <w:rsid w:val="00A26846"/>
    <w:rsid w:val="00A277DA"/>
    <w:rsid w:val="00A307EA"/>
    <w:rsid w:val="00A312AD"/>
    <w:rsid w:val="00A319B4"/>
    <w:rsid w:val="00A31A8E"/>
    <w:rsid w:val="00A31CE1"/>
    <w:rsid w:val="00A335F0"/>
    <w:rsid w:val="00A34A1D"/>
    <w:rsid w:val="00A34AB0"/>
    <w:rsid w:val="00A3593A"/>
    <w:rsid w:val="00A35DAF"/>
    <w:rsid w:val="00A36B48"/>
    <w:rsid w:val="00A37B00"/>
    <w:rsid w:val="00A37BD6"/>
    <w:rsid w:val="00A40C00"/>
    <w:rsid w:val="00A41144"/>
    <w:rsid w:val="00A42023"/>
    <w:rsid w:val="00A430C6"/>
    <w:rsid w:val="00A4338A"/>
    <w:rsid w:val="00A4354E"/>
    <w:rsid w:val="00A444EC"/>
    <w:rsid w:val="00A448ED"/>
    <w:rsid w:val="00A4497B"/>
    <w:rsid w:val="00A44C30"/>
    <w:rsid w:val="00A44C35"/>
    <w:rsid w:val="00A453A2"/>
    <w:rsid w:val="00A46296"/>
    <w:rsid w:val="00A47C4C"/>
    <w:rsid w:val="00A5058E"/>
    <w:rsid w:val="00A508D6"/>
    <w:rsid w:val="00A52559"/>
    <w:rsid w:val="00A52FAB"/>
    <w:rsid w:val="00A52FD1"/>
    <w:rsid w:val="00A542E0"/>
    <w:rsid w:val="00A54971"/>
    <w:rsid w:val="00A54EF7"/>
    <w:rsid w:val="00A550DD"/>
    <w:rsid w:val="00A55C01"/>
    <w:rsid w:val="00A604B9"/>
    <w:rsid w:val="00A60E5E"/>
    <w:rsid w:val="00A61953"/>
    <w:rsid w:val="00A62859"/>
    <w:rsid w:val="00A6469D"/>
    <w:rsid w:val="00A64A1E"/>
    <w:rsid w:val="00A65358"/>
    <w:rsid w:val="00A6578C"/>
    <w:rsid w:val="00A65E3B"/>
    <w:rsid w:val="00A66615"/>
    <w:rsid w:val="00A6726E"/>
    <w:rsid w:val="00A67963"/>
    <w:rsid w:val="00A700F2"/>
    <w:rsid w:val="00A70104"/>
    <w:rsid w:val="00A70D90"/>
    <w:rsid w:val="00A7259F"/>
    <w:rsid w:val="00A72BA6"/>
    <w:rsid w:val="00A73D81"/>
    <w:rsid w:val="00A76229"/>
    <w:rsid w:val="00A76928"/>
    <w:rsid w:val="00A8030D"/>
    <w:rsid w:val="00A80D57"/>
    <w:rsid w:val="00A825E9"/>
    <w:rsid w:val="00A8274F"/>
    <w:rsid w:val="00A83A28"/>
    <w:rsid w:val="00A83A3A"/>
    <w:rsid w:val="00A83C45"/>
    <w:rsid w:val="00A8480B"/>
    <w:rsid w:val="00A8522F"/>
    <w:rsid w:val="00A855E4"/>
    <w:rsid w:val="00A86148"/>
    <w:rsid w:val="00A8694C"/>
    <w:rsid w:val="00A869B3"/>
    <w:rsid w:val="00A86C88"/>
    <w:rsid w:val="00A87069"/>
    <w:rsid w:val="00A87ECA"/>
    <w:rsid w:val="00A91608"/>
    <w:rsid w:val="00A9315A"/>
    <w:rsid w:val="00A932F5"/>
    <w:rsid w:val="00A9379E"/>
    <w:rsid w:val="00A944F7"/>
    <w:rsid w:val="00A956BB"/>
    <w:rsid w:val="00A964FC"/>
    <w:rsid w:val="00A97588"/>
    <w:rsid w:val="00A97F86"/>
    <w:rsid w:val="00AA0706"/>
    <w:rsid w:val="00AA08AC"/>
    <w:rsid w:val="00AA17F7"/>
    <w:rsid w:val="00AA1CD7"/>
    <w:rsid w:val="00AA1E07"/>
    <w:rsid w:val="00AA2CF2"/>
    <w:rsid w:val="00AA3302"/>
    <w:rsid w:val="00AA381B"/>
    <w:rsid w:val="00AA3E1B"/>
    <w:rsid w:val="00AA43C3"/>
    <w:rsid w:val="00AA4B90"/>
    <w:rsid w:val="00AA701E"/>
    <w:rsid w:val="00AA7CE5"/>
    <w:rsid w:val="00AB06C9"/>
    <w:rsid w:val="00AB1655"/>
    <w:rsid w:val="00AB1C68"/>
    <w:rsid w:val="00AB1E62"/>
    <w:rsid w:val="00AB3131"/>
    <w:rsid w:val="00AB36E8"/>
    <w:rsid w:val="00AB3CA7"/>
    <w:rsid w:val="00AB5D4C"/>
    <w:rsid w:val="00AB6DC0"/>
    <w:rsid w:val="00AB6FE6"/>
    <w:rsid w:val="00AB7580"/>
    <w:rsid w:val="00AB7592"/>
    <w:rsid w:val="00AC0371"/>
    <w:rsid w:val="00AC054D"/>
    <w:rsid w:val="00AC07E5"/>
    <w:rsid w:val="00AC2171"/>
    <w:rsid w:val="00AC2270"/>
    <w:rsid w:val="00AC2566"/>
    <w:rsid w:val="00AC2714"/>
    <w:rsid w:val="00AC3EC9"/>
    <w:rsid w:val="00AC3FA3"/>
    <w:rsid w:val="00AC6294"/>
    <w:rsid w:val="00AC7179"/>
    <w:rsid w:val="00AD0AD0"/>
    <w:rsid w:val="00AD0C04"/>
    <w:rsid w:val="00AD2814"/>
    <w:rsid w:val="00AD2829"/>
    <w:rsid w:val="00AD2C8D"/>
    <w:rsid w:val="00AD35FF"/>
    <w:rsid w:val="00AD36A6"/>
    <w:rsid w:val="00AD39DB"/>
    <w:rsid w:val="00AD445E"/>
    <w:rsid w:val="00AD5BE3"/>
    <w:rsid w:val="00AD61AF"/>
    <w:rsid w:val="00AD621E"/>
    <w:rsid w:val="00AD65C4"/>
    <w:rsid w:val="00AD6DF7"/>
    <w:rsid w:val="00AD73CF"/>
    <w:rsid w:val="00AE0028"/>
    <w:rsid w:val="00AE0F4A"/>
    <w:rsid w:val="00AE10FA"/>
    <w:rsid w:val="00AE18C8"/>
    <w:rsid w:val="00AE1CFB"/>
    <w:rsid w:val="00AE200F"/>
    <w:rsid w:val="00AE2749"/>
    <w:rsid w:val="00AE2A6D"/>
    <w:rsid w:val="00AE3A36"/>
    <w:rsid w:val="00AE3DB4"/>
    <w:rsid w:val="00AE5BDA"/>
    <w:rsid w:val="00AE690B"/>
    <w:rsid w:val="00AE6B72"/>
    <w:rsid w:val="00AE7267"/>
    <w:rsid w:val="00AF04E1"/>
    <w:rsid w:val="00AF111E"/>
    <w:rsid w:val="00AF19D6"/>
    <w:rsid w:val="00AF31A1"/>
    <w:rsid w:val="00AF36B7"/>
    <w:rsid w:val="00AF40A2"/>
    <w:rsid w:val="00AF4FD3"/>
    <w:rsid w:val="00AF51E8"/>
    <w:rsid w:val="00AF539F"/>
    <w:rsid w:val="00AF5683"/>
    <w:rsid w:val="00AF5898"/>
    <w:rsid w:val="00AF5EB4"/>
    <w:rsid w:val="00AF7204"/>
    <w:rsid w:val="00AF7A5A"/>
    <w:rsid w:val="00AF7BBF"/>
    <w:rsid w:val="00B002EC"/>
    <w:rsid w:val="00B006BF"/>
    <w:rsid w:val="00B017CC"/>
    <w:rsid w:val="00B0287B"/>
    <w:rsid w:val="00B03AE3"/>
    <w:rsid w:val="00B04106"/>
    <w:rsid w:val="00B04BE1"/>
    <w:rsid w:val="00B06437"/>
    <w:rsid w:val="00B066C0"/>
    <w:rsid w:val="00B0697F"/>
    <w:rsid w:val="00B077DC"/>
    <w:rsid w:val="00B10D40"/>
    <w:rsid w:val="00B11026"/>
    <w:rsid w:val="00B110F0"/>
    <w:rsid w:val="00B11545"/>
    <w:rsid w:val="00B12432"/>
    <w:rsid w:val="00B12454"/>
    <w:rsid w:val="00B12698"/>
    <w:rsid w:val="00B126F6"/>
    <w:rsid w:val="00B1284D"/>
    <w:rsid w:val="00B12E79"/>
    <w:rsid w:val="00B13199"/>
    <w:rsid w:val="00B136AA"/>
    <w:rsid w:val="00B13D2C"/>
    <w:rsid w:val="00B14753"/>
    <w:rsid w:val="00B14C18"/>
    <w:rsid w:val="00B16502"/>
    <w:rsid w:val="00B17EB8"/>
    <w:rsid w:val="00B22994"/>
    <w:rsid w:val="00B22BAF"/>
    <w:rsid w:val="00B22D52"/>
    <w:rsid w:val="00B238ED"/>
    <w:rsid w:val="00B25669"/>
    <w:rsid w:val="00B2566D"/>
    <w:rsid w:val="00B263A4"/>
    <w:rsid w:val="00B273ED"/>
    <w:rsid w:val="00B30755"/>
    <w:rsid w:val="00B31B30"/>
    <w:rsid w:val="00B329CC"/>
    <w:rsid w:val="00B3469B"/>
    <w:rsid w:val="00B34878"/>
    <w:rsid w:val="00B34E5E"/>
    <w:rsid w:val="00B35145"/>
    <w:rsid w:val="00B359BB"/>
    <w:rsid w:val="00B36A70"/>
    <w:rsid w:val="00B36DD2"/>
    <w:rsid w:val="00B40051"/>
    <w:rsid w:val="00B4055A"/>
    <w:rsid w:val="00B419E2"/>
    <w:rsid w:val="00B44023"/>
    <w:rsid w:val="00B44676"/>
    <w:rsid w:val="00B44F4A"/>
    <w:rsid w:val="00B4672A"/>
    <w:rsid w:val="00B477E0"/>
    <w:rsid w:val="00B5063E"/>
    <w:rsid w:val="00B5178F"/>
    <w:rsid w:val="00B51E92"/>
    <w:rsid w:val="00B52D29"/>
    <w:rsid w:val="00B5319C"/>
    <w:rsid w:val="00B534C3"/>
    <w:rsid w:val="00B538F0"/>
    <w:rsid w:val="00B53DE1"/>
    <w:rsid w:val="00B54415"/>
    <w:rsid w:val="00B567B6"/>
    <w:rsid w:val="00B579FA"/>
    <w:rsid w:val="00B600C3"/>
    <w:rsid w:val="00B61A5E"/>
    <w:rsid w:val="00B61ABA"/>
    <w:rsid w:val="00B62836"/>
    <w:rsid w:val="00B630F5"/>
    <w:rsid w:val="00B631A1"/>
    <w:rsid w:val="00B631F7"/>
    <w:rsid w:val="00B657CB"/>
    <w:rsid w:val="00B65961"/>
    <w:rsid w:val="00B67107"/>
    <w:rsid w:val="00B708B4"/>
    <w:rsid w:val="00B71CDB"/>
    <w:rsid w:val="00B729B1"/>
    <w:rsid w:val="00B7302A"/>
    <w:rsid w:val="00B731A4"/>
    <w:rsid w:val="00B743A5"/>
    <w:rsid w:val="00B74B62"/>
    <w:rsid w:val="00B74CA7"/>
    <w:rsid w:val="00B750A4"/>
    <w:rsid w:val="00B7560B"/>
    <w:rsid w:val="00B75B6B"/>
    <w:rsid w:val="00B77F82"/>
    <w:rsid w:val="00B829C6"/>
    <w:rsid w:val="00B82CFC"/>
    <w:rsid w:val="00B83565"/>
    <w:rsid w:val="00B83D93"/>
    <w:rsid w:val="00B85E4E"/>
    <w:rsid w:val="00B87166"/>
    <w:rsid w:val="00B91263"/>
    <w:rsid w:val="00B91A86"/>
    <w:rsid w:val="00B92559"/>
    <w:rsid w:val="00B92681"/>
    <w:rsid w:val="00B92978"/>
    <w:rsid w:val="00B92AEB"/>
    <w:rsid w:val="00B92BF6"/>
    <w:rsid w:val="00B93677"/>
    <w:rsid w:val="00B94CE8"/>
    <w:rsid w:val="00B950B7"/>
    <w:rsid w:val="00B9573F"/>
    <w:rsid w:val="00B9590A"/>
    <w:rsid w:val="00B960C3"/>
    <w:rsid w:val="00B960EB"/>
    <w:rsid w:val="00B96857"/>
    <w:rsid w:val="00B97C4D"/>
    <w:rsid w:val="00B97D67"/>
    <w:rsid w:val="00BA147B"/>
    <w:rsid w:val="00BA1CAB"/>
    <w:rsid w:val="00BA1FB7"/>
    <w:rsid w:val="00BA20D0"/>
    <w:rsid w:val="00BA2D6E"/>
    <w:rsid w:val="00BA2DD9"/>
    <w:rsid w:val="00BA2F00"/>
    <w:rsid w:val="00BA3115"/>
    <w:rsid w:val="00BA39D6"/>
    <w:rsid w:val="00BA5BC2"/>
    <w:rsid w:val="00BA5FEC"/>
    <w:rsid w:val="00BA68F0"/>
    <w:rsid w:val="00BA6A2D"/>
    <w:rsid w:val="00BA6BB5"/>
    <w:rsid w:val="00BA7963"/>
    <w:rsid w:val="00BA7C6A"/>
    <w:rsid w:val="00BB030E"/>
    <w:rsid w:val="00BB0C35"/>
    <w:rsid w:val="00BB1F60"/>
    <w:rsid w:val="00BB3BBB"/>
    <w:rsid w:val="00BB3F18"/>
    <w:rsid w:val="00BB4A75"/>
    <w:rsid w:val="00BB4CB0"/>
    <w:rsid w:val="00BB4D60"/>
    <w:rsid w:val="00BB5968"/>
    <w:rsid w:val="00BB6C53"/>
    <w:rsid w:val="00BB75E6"/>
    <w:rsid w:val="00BB7DFB"/>
    <w:rsid w:val="00BC0A22"/>
    <w:rsid w:val="00BC10FD"/>
    <w:rsid w:val="00BC1123"/>
    <w:rsid w:val="00BC1F8B"/>
    <w:rsid w:val="00BC2813"/>
    <w:rsid w:val="00BC2DE2"/>
    <w:rsid w:val="00BC32DD"/>
    <w:rsid w:val="00BC41B1"/>
    <w:rsid w:val="00BC5254"/>
    <w:rsid w:val="00BC536E"/>
    <w:rsid w:val="00BC5A1B"/>
    <w:rsid w:val="00BC75CB"/>
    <w:rsid w:val="00BC7692"/>
    <w:rsid w:val="00BD032B"/>
    <w:rsid w:val="00BD0512"/>
    <w:rsid w:val="00BD066A"/>
    <w:rsid w:val="00BD22FB"/>
    <w:rsid w:val="00BD6186"/>
    <w:rsid w:val="00BD7414"/>
    <w:rsid w:val="00BE2487"/>
    <w:rsid w:val="00BE27E4"/>
    <w:rsid w:val="00BE3330"/>
    <w:rsid w:val="00BE3935"/>
    <w:rsid w:val="00BE4382"/>
    <w:rsid w:val="00BE483E"/>
    <w:rsid w:val="00BE4A3E"/>
    <w:rsid w:val="00BE5593"/>
    <w:rsid w:val="00BE5AE7"/>
    <w:rsid w:val="00BE6165"/>
    <w:rsid w:val="00BE6FAC"/>
    <w:rsid w:val="00BE7089"/>
    <w:rsid w:val="00BE73C4"/>
    <w:rsid w:val="00BE7540"/>
    <w:rsid w:val="00BF02AB"/>
    <w:rsid w:val="00BF0511"/>
    <w:rsid w:val="00BF0889"/>
    <w:rsid w:val="00BF0F90"/>
    <w:rsid w:val="00BF18E2"/>
    <w:rsid w:val="00BF3C90"/>
    <w:rsid w:val="00BF47BE"/>
    <w:rsid w:val="00BF5186"/>
    <w:rsid w:val="00BF5F02"/>
    <w:rsid w:val="00BF5F71"/>
    <w:rsid w:val="00BF6D7D"/>
    <w:rsid w:val="00C00829"/>
    <w:rsid w:val="00C00B6F"/>
    <w:rsid w:val="00C01BFA"/>
    <w:rsid w:val="00C026B7"/>
    <w:rsid w:val="00C02D06"/>
    <w:rsid w:val="00C03271"/>
    <w:rsid w:val="00C05936"/>
    <w:rsid w:val="00C059D8"/>
    <w:rsid w:val="00C10439"/>
    <w:rsid w:val="00C1048B"/>
    <w:rsid w:val="00C12478"/>
    <w:rsid w:val="00C13199"/>
    <w:rsid w:val="00C15E5F"/>
    <w:rsid w:val="00C167A8"/>
    <w:rsid w:val="00C17023"/>
    <w:rsid w:val="00C17B86"/>
    <w:rsid w:val="00C20110"/>
    <w:rsid w:val="00C205D7"/>
    <w:rsid w:val="00C20F2E"/>
    <w:rsid w:val="00C213E7"/>
    <w:rsid w:val="00C22C60"/>
    <w:rsid w:val="00C257BD"/>
    <w:rsid w:val="00C25DB2"/>
    <w:rsid w:val="00C26A46"/>
    <w:rsid w:val="00C26D1A"/>
    <w:rsid w:val="00C26D31"/>
    <w:rsid w:val="00C27BB7"/>
    <w:rsid w:val="00C30A09"/>
    <w:rsid w:val="00C30E35"/>
    <w:rsid w:val="00C34A49"/>
    <w:rsid w:val="00C35820"/>
    <w:rsid w:val="00C35C6D"/>
    <w:rsid w:val="00C35F76"/>
    <w:rsid w:val="00C36AED"/>
    <w:rsid w:val="00C372D0"/>
    <w:rsid w:val="00C37683"/>
    <w:rsid w:val="00C4160F"/>
    <w:rsid w:val="00C41931"/>
    <w:rsid w:val="00C43468"/>
    <w:rsid w:val="00C43941"/>
    <w:rsid w:val="00C4436B"/>
    <w:rsid w:val="00C44A32"/>
    <w:rsid w:val="00C44E01"/>
    <w:rsid w:val="00C45EA6"/>
    <w:rsid w:val="00C45EDD"/>
    <w:rsid w:val="00C46F0F"/>
    <w:rsid w:val="00C473CC"/>
    <w:rsid w:val="00C50D92"/>
    <w:rsid w:val="00C519EC"/>
    <w:rsid w:val="00C522E6"/>
    <w:rsid w:val="00C5322F"/>
    <w:rsid w:val="00C53BCC"/>
    <w:rsid w:val="00C54C1C"/>
    <w:rsid w:val="00C55AFB"/>
    <w:rsid w:val="00C574FB"/>
    <w:rsid w:val="00C57B39"/>
    <w:rsid w:val="00C57D8C"/>
    <w:rsid w:val="00C61321"/>
    <w:rsid w:val="00C61853"/>
    <w:rsid w:val="00C61E27"/>
    <w:rsid w:val="00C6205E"/>
    <w:rsid w:val="00C65513"/>
    <w:rsid w:val="00C667C8"/>
    <w:rsid w:val="00C66C5C"/>
    <w:rsid w:val="00C6709A"/>
    <w:rsid w:val="00C675A4"/>
    <w:rsid w:val="00C67677"/>
    <w:rsid w:val="00C70276"/>
    <w:rsid w:val="00C70682"/>
    <w:rsid w:val="00C71FA4"/>
    <w:rsid w:val="00C721DE"/>
    <w:rsid w:val="00C73D7F"/>
    <w:rsid w:val="00C73DE6"/>
    <w:rsid w:val="00C7460F"/>
    <w:rsid w:val="00C74A4F"/>
    <w:rsid w:val="00C758B6"/>
    <w:rsid w:val="00C75947"/>
    <w:rsid w:val="00C75A2F"/>
    <w:rsid w:val="00C77FBF"/>
    <w:rsid w:val="00C77FD7"/>
    <w:rsid w:val="00C80340"/>
    <w:rsid w:val="00C804F1"/>
    <w:rsid w:val="00C80DD4"/>
    <w:rsid w:val="00C81D3B"/>
    <w:rsid w:val="00C823FD"/>
    <w:rsid w:val="00C830FD"/>
    <w:rsid w:val="00C83818"/>
    <w:rsid w:val="00C838B8"/>
    <w:rsid w:val="00C84002"/>
    <w:rsid w:val="00C84FBF"/>
    <w:rsid w:val="00C853CB"/>
    <w:rsid w:val="00C86F96"/>
    <w:rsid w:val="00C8781B"/>
    <w:rsid w:val="00C9028C"/>
    <w:rsid w:val="00C90635"/>
    <w:rsid w:val="00C92AFC"/>
    <w:rsid w:val="00C93A87"/>
    <w:rsid w:val="00C94039"/>
    <w:rsid w:val="00C9489A"/>
    <w:rsid w:val="00C955DA"/>
    <w:rsid w:val="00C9581C"/>
    <w:rsid w:val="00C95C90"/>
    <w:rsid w:val="00CA053C"/>
    <w:rsid w:val="00CA0E7C"/>
    <w:rsid w:val="00CA1033"/>
    <w:rsid w:val="00CA10E1"/>
    <w:rsid w:val="00CA188B"/>
    <w:rsid w:val="00CA193A"/>
    <w:rsid w:val="00CA2242"/>
    <w:rsid w:val="00CA2F4A"/>
    <w:rsid w:val="00CA3242"/>
    <w:rsid w:val="00CA396A"/>
    <w:rsid w:val="00CA46FA"/>
    <w:rsid w:val="00CA5985"/>
    <w:rsid w:val="00CA6D46"/>
    <w:rsid w:val="00CA704C"/>
    <w:rsid w:val="00CA7314"/>
    <w:rsid w:val="00CA7DEA"/>
    <w:rsid w:val="00CB014A"/>
    <w:rsid w:val="00CB1924"/>
    <w:rsid w:val="00CB2092"/>
    <w:rsid w:val="00CB2AD8"/>
    <w:rsid w:val="00CB31A7"/>
    <w:rsid w:val="00CB39F5"/>
    <w:rsid w:val="00CB4E7A"/>
    <w:rsid w:val="00CB511E"/>
    <w:rsid w:val="00CB67D6"/>
    <w:rsid w:val="00CB6FB4"/>
    <w:rsid w:val="00CB7B84"/>
    <w:rsid w:val="00CC005A"/>
    <w:rsid w:val="00CC26E7"/>
    <w:rsid w:val="00CC28E6"/>
    <w:rsid w:val="00CC3149"/>
    <w:rsid w:val="00CC36EE"/>
    <w:rsid w:val="00CC434F"/>
    <w:rsid w:val="00CC6393"/>
    <w:rsid w:val="00CC6665"/>
    <w:rsid w:val="00CC6779"/>
    <w:rsid w:val="00CC77D9"/>
    <w:rsid w:val="00CD08FF"/>
    <w:rsid w:val="00CD1440"/>
    <w:rsid w:val="00CD14C9"/>
    <w:rsid w:val="00CD1A8E"/>
    <w:rsid w:val="00CD2A5A"/>
    <w:rsid w:val="00CD3E13"/>
    <w:rsid w:val="00CD54F9"/>
    <w:rsid w:val="00CD5649"/>
    <w:rsid w:val="00CD5753"/>
    <w:rsid w:val="00CD583B"/>
    <w:rsid w:val="00CD5CB0"/>
    <w:rsid w:val="00CD5D0F"/>
    <w:rsid w:val="00CD637B"/>
    <w:rsid w:val="00CD65A2"/>
    <w:rsid w:val="00CD69F8"/>
    <w:rsid w:val="00CD6F0F"/>
    <w:rsid w:val="00CD6FF2"/>
    <w:rsid w:val="00CE01E7"/>
    <w:rsid w:val="00CE0372"/>
    <w:rsid w:val="00CE0559"/>
    <w:rsid w:val="00CE1E45"/>
    <w:rsid w:val="00CE3076"/>
    <w:rsid w:val="00CE4BB8"/>
    <w:rsid w:val="00CE4CF2"/>
    <w:rsid w:val="00CE5CD8"/>
    <w:rsid w:val="00CE66A2"/>
    <w:rsid w:val="00CE69DB"/>
    <w:rsid w:val="00CE756B"/>
    <w:rsid w:val="00CE7885"/>
    <w:rsid w:val="00CE795E"/>
    <w:rsid w:val="00CF1690"/>
    <w:rsid w:val="00CF16DB"/>
    <w:rsid w:val="00CF232D"/>
    <w:rsid w:val="00CF2949"/>
    <w:rsid w:val="00CF2A2F"/>
    <w:rsid w:val="00CF3C0D"/>
    <w:rsid w:val="00CF4084"/>
    <w:rsid w:val="00CF44F9"/>
    <w:rsid w:val="00CF45C5"/>
    <w:rsid w:val="00CF49DC"/>
    <w:rsid w:val="00CF5C86"/>
    <w:rsid w:val="00D00071"/>
    <w:rsid w:val="00D00236"/>
    <w:rsid w:val="00D00F91"/>
    <w:rsid w:val="00D01585"/>
    <w:rsid w:val="00D02024"/>
    <w:rsid w:val="00D022A7"/>
    <w:rsid w:val="00D0427B"/>
    <w:rsid w:val="00D052D6"/>
    <w:rsid w:val="00D0530F"/>
    <w:rsid w:val="00D057BD"/>
    <w:rsid w:val="00D05BF9"/>
    <w:rsid w:val="00D1011F"/>
    <w:rsid w:val="00D10358"/>
    <w:rsid w:val="00D11939"/>
    <w:rsid w:val="00D11F14"/>
    <w:rsid w:val="00D12398"/>
    <w:rsid w:val="00D12547"/>
    <w:rsid w:val="00D12944"/>
    <w:rsid w:val="00D12B1C"/>
    <w:rsid w:val="00D13105"/>
    <w:rsid w:val="00D13236"/>
    <w:rsid w:val="00D143D6"/>
    <w:rsid w:val="00D149F8"/>
    <w:rsid w:val="00D14CE2"/>
    <w:rsid w:val="00D15E0E"/>
    <w:rsid w:val="00D15E17"/>
    <w:rsid w:val="00D172B1"/>
    <w:rsid w:val="00D17BD6"/>
    <w:rsid w:val="00D202D5"/>
    <w:rsid w:val="00D2057D"/>
    <w:rsid w:val="00D20871"/>
    <w:rsid w:val="00D215FA"/>
    <w:rsid w:val="00D21D39"/>
    <w:rsid w:val="00D234DE"/>
    <w:rsid w:val="00D2367D"/>
    <w:rsid w:val="00D23D20"/>
    <w:rsid w:val="00D24F69"/>
    <w:rsid w:val="00D25BA5"/>
    <w:rsid w:val="00D25E29"/>
    <w:rsid w:val="00D267B7"/>
    <w:rsid w:val="00D26C64"/>
    <w:rsid w:val="00D26DAD"/>
    <w:rsid w:val="00D279AB"/>
    <w:rsid w:val="00D302D1"/>
    <w:rsid w:val="00D30539"/>
    <w:rsid w:val="00D30CC9"/>
    <w:rsid w:val="00D313A1"/>
    <w:rsid w:val="00D319BD"/>
    <w:rsid w:val="00D31DAF"/>
    <w:rsid w:val="00D3204C"/>
    <w:rsid w:val="00D32967"/>
    <w:rsid w:val="00D337DA"/>
    <w:rsid w:val="00D338B8"/>
    <w:rsid w:val="00D34315"/>
    <w:rsid w:val="00D3451D"/>
    <w:rsid w:val="00D348A2"/>
    <w:rsid w:val="00D355C1"/>
    <w:rsid w:val="00D357BE"/>
    <w:rsid w:val="00D35BBF"/>
    <w:rsid w:val="00D35BFE"/>
    <w:rsid w:val="00D361FA"/>
    <w:rsid w:val="00D363C6"/>
    <w:rsid w:val="00D36B8B"/>
    <w:rsid w:val="00D36DC0"/>
    <w:rsid w:val="00D37B0E"/>
    <w:rsid w:val="00D4001D"/>
    <w:rsid w:val="00D40376"/>
    <w:rsid w:val="00D40805"/>
    <w:rsid w:val="00D40BB5"/>
    <w:rsid w:val="00D41B11"/>
    <w:rsid w:val="00D41BC1"/>
    <w:rsid w:val="00D431F9"/>
    <w:rsid w:val="00D4463A"/>
    <w:rsid w:val="00D45B8B"/>
    <w:rsid w:val="00D45C39"/>
    <w:rsid w:val="00D504A9"/>
    <w:rsid w:val="00D50E28"/>
    <w:rsid w:val="00D52152"/>
    <w:rsid w:val="00D5340C"/>
    <w:rsid w:val="00D54367"/>
    <w:rsid w:val="00D54C09"/>
    <w:rsid w:val="00D55975"/>
    <w:rsid w:val="00D55C73"/>
    <w:rsid w:val="00D56093"/>
    <w:rsid w:val="00D5664A"/>
    <w:rsid w:val="00D56967"/>
    <w:rsid w:val="00D5775B"/>
    <w:rsid w:val="00D57958"/>
    <w:rsid w:val="00D57CF8"/>
    <w:rsid w:val="00D60620"/>
    <w:rsid w:val="00D61F5A"/>
    <w:rsid w:val="00D6338F"/>
    <w:rsid w:val="00D63FA7"/>
    <w:rsid w:val="00D64082"/>
    <w:rsid w:val="00D64A27"/>
    <w:rsid w:val="00D64F71"/>
    <w:rsid w:val="00D65A84"/>
    <w:rsid w:val="00D65BC6"/>
    <w:rsid w:val="00D6677F"/>
    <w:rsid w:val="00D66AE5"/>
    <w:rsid w:val="00D66B1A"/>
    <w:rsid w:val="00D70544"/>
    <w:rsid w:val="00D72298"/>
    <w:rsid w:val="00D74ADB"/>
    <w:rsid w:val="00D75203"/>
    <w:rsid w:val="00D75747"/>
    <w:rsid w:val="00D75BBF"/>
    <w:rsid w:val="00D808EA"/>
    <w:rsid w:val="00D811AA"/>
    <w:rsid w:val="00D8130C"/>
    <w:rsid w:val="00D81A2A"/>
    <w:rsid w:val="00D81CA1"/>
    <w:rsid w:val="00D82973"/>
    <w:rsid w:val="00D83688"/>
    <w:rsid w:val="00D836DA"/>
    <w:rsid w:val="00D83B0E"/>
    <w:rsid w:val="00D83B13"/>
    <w:rsid w:val="00D84E04"/>
    <w:rsid w:val="00D8519D"/>
    <w:rsid w:val="00D852B7"/>
    <w:rsid w:val="00D85311"/>
    <w:rsid w:val="00D859DF"/>
    <w:rsid w:val="00D863D6"/>
    <w:rsid w:val="00D86697"/>
    <w:rsid w:val="00D871FC"/>
    <w:rsid w:val="00D90554"/>
    <w:rsid w:val="00D928F9"/>
    <w:rsid w:val="00D95DD6"/>
    <w:rsid w:val="00D97A75"/>
    <w:rsid w:val="00DA0724"/>
    <w:rsid w:val="00DA16A1"/>
    <w:rsid w:val="00DA18DA"/>
    <w:rsid w:val="00DA1F5A"/>
    <w:rsid w:val="00DA43A0"/>
    <w:rsid w:val="00DA4CDD"/>
    <w:rsid w:val="00DA4D94"/>
    <w:rsid w:val="00DA5C18"/>
    <w:rsid w:val="00DA5D77"/>
    <w:rsid w:val="00DA5D98"/>
    <w:rsid w:val="00DA62BC"/>
    <w:rsid w:val="00DA63CF"/>
    <w:rsid w:val="00DA6699"/>
    <w:rsid w:val="00DB0480"/>
    <w:rsid w:val="00DB0623"/>
    <w:rsid w:val="00DB197B"/>
    <w:rsid w:val="00DB251D"/>
    <w:rsid w:val="00DB3253"/>
    <w:rsid w:val="00DB37AD"/>
    <w:rsid w:val="00DB3AF1"/>
    <w:rsid w:val="00DB4712"/>
    <w:rsid w:val="00DB4CAD"/>
    <w:rsid w:val="00DB57CE"/>
    <w:rsid w:val="00DB6C7A"/>
    <w:rsid w:val="00DC00FE"/>
    <w:rsid w:val="00DC1347"/>
    <w:rsid w:val="00DC3FDE"/>
    <w:rsid w:val="00DC4E99"/>
    <w:rsid w:val="00DC5736"/>
    <w:rsid w:val="00DC6A50"/>
    <w:rsid w:val="00DC767B"/>
    <w:rsid w:val="00DC79AD"/>
    <w:rsid w:val="00DD0801"/>
    <w:rsid w:val="00DD0BF2"/>
    <w:rsid w:val="00DD260F"/>
    <w:rsid w:val="00DD37D6"/>
    <w:rsid w:val="00DD6E5F"/>
    <w:rsid w:val="00DD72CA"/>
    <w:rsid w:val="00DE145C"/>
    <w:rsid w:val="00DE14F6"/>
    <w:rsid w:val="00DE19BA"/>
    <w:rsid w:val="00DE2824"/>
    <w:rsid w:val="00DE3138"/>
    <w:rsid w:val="00DE375E"/>
    <w:rsid w:val="00DE79C5"/>
    <w:rsid w:val="00DE7C0B"/>
    <w:rsid w:val="00DE7DA7"/>
    <w:rsid w:val="00DF0214"/>
    <w:rsid w:val="00DF0EDA"/>
    <w:rsid w:val="00DF1210"/>
    <w:rsid w:val="00DF1819"/>
    <w:rsid w:val="00DF19DC"/>
    <w:rsid w:val="00DF2094"/>
    <w:rsid w:val="00DF2370"/>
    <w:rsid w:val="00DF262C"/>
    <w:rsid w:val="00DF28BD"/>
    <w:rsid w:val="00DF388F"/>
    <w:rsid w:val="00DF39E4"/>
    <w:rsid w:val="00DF5284"/>
    <w:rsid w:val="00DF621E"/>
    <w:rsid w:val="00DF6B5D"/>
    <w:rsid w:val="00DF73D3"/>
    <w:rsid w:val="00E006A9"/>
    <w:rsid w:val="00E013D0"/>
    <w:rsid w:val="00E0171B"/>
    <w:rsid w:val="00E02CE5"/>
    <w:rsid w:val="00E03689"/>
    <w:rsid w:val="00E049EA"/>
    <w:rsid w:val="00E052F1"/>
    <w:rsid w:val="00E0575D"/>
    <w:rsid w:val="00E05CF8"/>
    <w:rsid w:val="00E06188"/>
    <w:rsid w:val="00E06A6A"/>
    <w:rsid w:val="00E07826"/>
    <w:rsid w:val="00E07BF0"/>
    <w:rsid w:val="00E10485"/>
    <w:rsid w:val="00E10CB4"/>
    <w:rsid w:val="00E10D34"/>
    <w:rsid w:val="00E10D47"/>
    <w:rsid w:val="00E10FA3"/>
    <w:rsid w:val="00E1177A"/>
    <w:rsid w:val="00E11D32"/>
    <w:rsid w:val="00E12BE6"/>
    <w:rsid w:val="00E12D2D"/>
    <w:rsid w:val="00E13567"/>
    <w:rsid w:val="00E1384A"/>
    <w:rsid w:val="00E14B33"/>
    <w:rsid w:val="00E14D35"/>
    <w:rsid w:val="00E163EA"/>
    <w:rsid w:val="00E1654C"/>
    <w:rsid w:val="00E17337"/>
    <w:rsid w:val="00E17DA2"/>
    <w:rsid w:val="00E213EF"/>
    <w:rsid w:val="00E218D0"/>
    <w:rsid w:val="00E22DB7"/>
    <w:rsid w:val="00E22F0D"/>
    <w:rsid w:val="00E2377A"/>
    <w:rsid w:val="00E242E0"/>
    <w:rsid w:val="00E252EE"/>
    <w:rsid w:val="00E263F3"/>
    <w:rsid w:val="00E26DC7"/>
    <w:rsid w:val="00E2766D"/>
    <w:rsid w:val="00E27814"/>
    <w:rsid w:val="00E27BD1"/>
    <w:rsid w:val="00E27C12"/>
    <w:rsid w:val="00E30377"/>
    <w:rsid w:val="00E305F0"/>
    <w:rsid w:val="00E306B8"/>
    <w:rsid w:val="00E309A7"/>
    <w:rsid w:val="00E32176"/>
    <w:rsid w:val="00E322FD"/>
    <w:rsid w:val="00E32935"/>
    <w:rsid w:val="00E32992"/>
    <w:rsid w:val="00E354A7"/>
    <w:rsid w:val="00E3600B"/>
    <w:rsid w:val="00E3666F"/>
    <w:rsid w:val="00E372A3"/>
    <w:rsid w:val="00E3753D"/>
    <w:rsid w:val="00E37CCB"/>
    <w:rsid w:val="00E4067D"/>
    <w:rsid w:val="00E407FF"/>
    <w:rsid w:val="00E411AA"/>
    <w:rsid w:val="00E41691"/>
    <w:rsid w:val="00E417EA"/>
    <w:rsid w:val="00E42710"/>
    <w:rsid w:val="00E42EFD"/>
    <w:rsid w:val="00E4302C"/>
    <w:rsid w:val="00E43B96"/>
    <w:rsid w:val="00E43C44"/>
    <w:rsid w:val="00E45A97"/>
    <w:rsid w:val="00E50E47"/>
    <w:rsid w:val="00E511A7"/>
    <w:rsid w:val="00E51350"/>
    <w:rsid w:val="00E514B1"/>
    <w:rsid w:val="00E528EB"/>
    <w:rsid w:val="00E53F66"/>
    <w:rsid w:val="00E54D3B"/>
    <w:rsid w:val="00E55508"/>
    <w:rsid w:val="00E5563C"/>
    <w:rsid w:val="00E566BC"/>
    <w:rsid w:val="00E60ED9"/>
    <w:rsid w:val="00E61E07"/>
    <w:rsid w:val="00E63FE1"/>
    <w:rsid w:val="00E649D7"/>
    <w:rsid w:val="00E652F9"/>
    <w:rsid w:val="00E6548B"/>
    <w:rsid w:val="00E664A1"/>
    <w:rsid w:val="00E66A26"/>
    <w:rsid w:val="00E67547"/>
    <w:rsid w:val="00E6775E"/>
    <w:rsid w:val="00E71BC2"/>
    <w:rsid w:val="00E72027"/>
    <w:rsid w:val="00E736E5"/>
    <w:rsid w:val="00E7380C"/>
    <w:rsid w:val="00E73AB5"/>
    <w:rsid w:val="00E73C9F"/>
    <w:rsid w:val="00E74A8B"/>
    <w:rsid w:val="00E7541F"/>
    <w:rsid w:val="00E758B2"/>
    <w:rsid w:val="00E759C0"/>
    <w:rsid w:val="00E75D31"/>
    <w:rsid w:val="00E77497"/>
    <w:rsid w:val="00E80C5D"/>
    <w:rsid w:val="00E81C06"/>
    <w:rsid w:val="00E8375B"/>
    <w:rsid w:val="00E843BC"/>
    <w:rsid w:val="00E84E19"/>
    <w:rsid w:val="00E84F70"/>
    <w:rsid w:val="00E855D6"/>
    <w:rsid w:val="00E85962"/>
    <w:rsid w:val="00E86170"/>
    <w:rsid w:val="00E86EEC"/>
    <w:rsid w:val="00E912B5"/>
    <w:rsid w:val="00E9279D"/>
    <w:rsid w:val="00E927A9"/>
    <w:rsid w:val="00E92D56"/>
    <w:rsid w:val="00E930B5"/>
    <w:rsid w:val="00E93A81"/>
    <w:rsid w:val="00E940EC"/>
    <w:rsid w:val="00E94E20"/>
    <w:rsid w:val="00E957FD"/>
    <w:rsid w:val="00E96A76"/>
    <w:rsid w:val="00E97530"/>
    <w:rsid w:val="00E978F5"/>
    <w:rsid w:val="00EA0B3F"/>
    <w:rsid w:val="00EA0B47"/>
    <w:rsid w:val="00EA0B71"/>
    <w:rsid w:val="00EA10FF"/>
    <w:rsid w:val="00EA18ED"/>
    <w:rsid w:val="00EA199B"/>
    <w:rsid w:val="00EA22AB"/>
    <w:rsid w:val="00EA2E9D"/>
    <w:rsid w:val="00EA37E6"/>
    <w:rsid w:val="00EA3928"/>
    <w:rsid w:val="00EA4C32"/>
    <w:rsid w:val="00EA6994"/>
    <w:rsid w:val="00EA69FB"/>
    <w:rsid w:val="00EA6CEB"/>
    <w:rsid w:val="00EA6EC6"/>
    <w:rsid w:val="00EA70AD"/>
    <w:rsid w:val="00EB049C"/>
    <w:rsid w:val="00EB1056"/>
    <w:rsid w:val="00EB1277"/>
    <w:rsid w:val="00EB155A"/>
    <w:rsid w:val="00EB1985"/>
    <w:rsid w:val="00EB1EDE"/>
    <w:rsid w:val="00EB3160"/>
    <w:rsid w:val="00EB6347"/>
    <w:rsid w:val="00EB6952"/>
    <w:rsid w:val="00EB7F0D"/>
    <w:rsid w:val="00EC2A38"/>
    <w:rsid w:val="00EC31F5"/>
    <w:rsid w:val="00EC4C87"/>
    <w:rsid w:val="00EC543B"/>
    <w:rsid w:val="00EC5539"/>
    <w:rsid w:val="00EC60E0"/>
    <w:rsid w:val="00EC6E68"/>
    <w:rsid w:val="00EC703C"/>
    <w:rsid w:val="00ED0B2E"/>
    <w:rsid w:val="00ED1153"/>
    <w:rsid w:val="00ED1350"/>
    <w:rsid w:val="00ED21E3"/>
    <w:rsid w:val="00ED25BA"/>
    <w:rsid w:val="00ED33DC"/>
    <w:rsid w:val="00ED3844"/>
    <w:rsid w:val="00ED58DC"/>
    <w:rsid w:val="00ED68BE"/>
    <w:rsid w:val="00ED6E7B"/>
    <w:rsid w:val="00ED7012"/>
    <w:rsid w:val="00ED7209"/>
    <w:rsid w:val="00EE0CDD"/>
    <w:rsid w:val="00EE1D7E"/>
    <w:rsid w:val="00EE2502"/>
    <w:rsid w:val="00EE2B4E"/>
    <w:rsid w:val="00EE2DA8"/>
    <w:rsid w:val="00EE480F"/>
    <w:rsid w:val="00EE4896"/>
    <w:rsid w:val="00EE5A34"/>
    <w:rsid w:val="00EE6725"/>
    <w:rsid w:val="00EE6EBA"/>
    <w:rsid w:val="00EE73AC"/>
    <w:rsid w:val="00EE7D11"/>
    <w:rsid w:val="00EF0952"/>
    <w:rsid w:val="00EF11AA"/>
    <w:rsid w:val="00EF1416"/>
    <w:rsid w:val="00EF2E68"/>
    <w:rsid w:val="00EF3697"/>
    <w:rsid w:val="00EF3CF7"/>
    <w:rsid w:val="00EF5D0E"/>
    <w:rsid w:val="00EF5DD9"/>
    <w:rsid w:val="00EF670D"/>
    <w:rsid w:val="00EF6B4E"/>
    <w:rsid w:val="00EF6E20"/>
    <w:rsid w:val="00F0013A"/>
    <w:rsid w:val="00F00A39"/>
    <w:rsid w:val="00F00B78"/>
    <w:rsid w:val="00F010B9"/>
    <w:rsid w:val="00F01C29"/>
    <w:rsid w:val="00F026B3"/>
    <w:rsid w:val="00F02DF5"/>
    <w:rsid w:val="00F02FC4"/>
    <w:rsid w:val="00F0395B"/>
    <w:rsid w:val="00F03F6D"/>
    <w:rsid w:val="00F03FB6"/>
    <w:rsid w:val="00F04388"/>
    <w:rsid w:val="00F064F8"/>
    <w:rsid w:val="00F066E6"/>
    <w:rsid w:val="00F07EEC"/>
    <w:rsid w:val="00F111A8"/>
    <w:rsid w:val="00F114A0"/>
    <w:rsid w:val="00F11C17"/>
    <w:rsid w:val="00F11EBD"/>
    <w:rsid w:val="00F1264E"/>
    <w:rsid w:val="00F1274B"/>
    <w:rsid w:val="00F143E0"/>
    <w:rsid w:val="00F14C4F"/>
    <w:rsid w:val="00F15AA2"/>
    <w:rsid w:val="00F16333"/>
    <w:rsid w:val="00F163C3"/>
    <w:rsid w:val="00F16E5E"/>
    <w:rsid w:val="00F179DA"/>
    <w:rsid w:val="00F21BF3"/>
    <w:rsid w:val="00F21DDA"/>
    <w:rsid w:val="00F21F67"/>
    <w:rsid w:val="00F2203F"/>
    <w:rsid w:val="00F22672"/>
    <w:rsid w:val="00F23364"/>
    <w:rsid w:val="00F301D1"/>
    <w:rsid w:val="00F30C15"/>
    <w:rsid w:val="00F3101F"/>
    <w:rsid w:val="00F3129D"/>
    <w:rsid w:val="00F319E0"/>
    <w:rsid w:val="00F31CDF"/>
    <w:rsid w:val="00F323E8"/>
    <w:rsid w:val="00F33312"/>
    <w:rsid w:val="00F33AFA"/>
    <w:rsid w:val="00F3457D"/>
    <w:rsid w:val="00F3594C"/>
    <w:rsid w:val="00F3637A"/>
    <w:rsid w:val="00F36A9C"/>
    <w:rsid w:val="00F375F6"/>
    <w:rsid w:val="00F376BD"/>
    <w:rsid w:val="00F37ED1"/>
    <w:rsid w:val="00F4034E"/>
    <w:rsid w:val="00F40A2A"/>
    <w:rsid w:val="00F41741"/>
    <w:rsid w:val="00F41982"/>
    <w:rsid w:val="00F41A7E"/>
    <w:rsid w:val="00F42396"/>
    <w:rsid w:val="00F42B37"/>
    <w:rsid w:val="00F42DA3"/>
    <w:rsid w:val="00F42E25"/>
    <w:rsid w:val="00F435C8"/>
    <w:rsid w:val="00F437C8"/>
    <w:rsid w:val="00F43DEE"/>
    <w:rsid w:val="00F451EB"/>
    <w:rsid w:val="00F45237"/>
    <w:rsid w:val="00F458D2"/>
    <w:rsid w:val="00F4698E"/>
    <w:rsid w:val="00F50342"/>
    <w:rsid w:val="00F50359"/>
    <w:rsid w:val="00F51004"/>
    <w:rsid w:val="00F51486"/>
    <w:rsid w:val="00F521B8"/>
    <w:rsid w:val="00F52899"/>
    <w:rsid w:val="00F533D5"/>
    <w:rsid w:val="00F54E20"/>
    <w:rsid w:val="00F552A3"/>
    <w:rsid w:val="00F55391"/>
    <w:rsid w:val="00F564FD"/>
    <w:rsid w:val="00F570DF"/>
    <w:rsid w:val="00F6488B"/>
    <w:rsid w:val="00F65C53"/>
    <w:rsid w:val="00F66420"/>
    <w:rsid w:val="00F6741C"/>
    <w:rsid w:val="00F700AE"/>
    <w:rsid w:val="00F7026C"/>
    <w:rsid w:val="00F70440"/>
    <w:rsid w:val="00F704D4"/>
    <w:rsid w:val="00F76259"/>
    <w:rsid w:val="00F76F0D"/>
    <w:rsid w:val="00F80071"/>
    <w:rsid w:val="00F822D2"/>
    <w:rsid w:val="00F822FA"/>
    <w:rsid w:val="00F82691"/>
    <w:rsid w:val="00F833AD"/>
    <w:rsid w:val="00F83AEF"/>
    <w:rsid w:val="00F84B83"/>
    <w:rsid w:val="00F85445"/>
    <w:rsid w:val="00F855C8"/>
    <w:rsid w:val="00F85FBD"/>
    <w:rsid w:val="00F86020"/>
    <w:rsid w:val="00F868E4"/>
    <w:rsid w:val="00F86AFD"/>
    <w:rsid w:val="00F86EC0"/>
    <w:rsid w:val="00F9033B"/>
    <w:rsid w:val="00F935D9"/>
    <w:rsid w:val="00F93856"/>
    <w:rsid w:val="00F95008"/>
    <w:rsid w:val="00F9554D"/>
    <w:rsid w:val="00F95BC3"/>
    <w:rsid w:val="00F95E88"/>
    <w:rsid w:val="00F96471"/>
    <w:rsid w:val="00F9685F"/>
    <w:rsid w:val="00F96A7C"/>
    <w:rsid w:val="00F97632"/>
    <w:rsid w:val="00FA0167"/>
    <w:rsid w:val="00FA024C"/>
    <w:rsid w:val="00FA026C"/>
    <w:rsid w:val="00FA02AA"/>
    <w:rsid w:val="00FA1A25"/>
    <w:rsid w:val="00FA2C81"/>
    <w:rsid w:val="00FA2D8B"/>
    <w:rsid w:val="00FA4002"/>
    <w:rsid w:val="00FA4124"/>
    <w:rsid w:val="00FA529B"/>
    <w:rsid w:val="00FA541A"/>
    <w:rsid w:val="00FA70FF"/>
    <w:rsid w:val="00FA7758"/>
    <w:rsid w:val="00FA7835"/>
    <w:rsid w:val="00FA7E49"/>
    <w:rsid w:val="00FB1204"/>
    <w:rsid w:val="00FB13A4"/>
    <w:rsid w:val="00FB1C52"/>
    <w:rsid w:val="00FB2132"/>
    <w:rsid w:val="00FB328D"/>
    <w:rsid w:val="00FB4B65"/>
    <w:rsid w:val="00FB594E"/>
    <w:rsid w:val="00FB60EC"/>
    <w:rsid w:val="00FB66B3"/>
    <w:rsid w:val="00FB6A79"/>
    <w:rsid w:val="00FB6E29"/>
    <w:rsid w:val="00FC06FA"/>
    <w:rsid w:val="00FC07BA"/>
    <w:rsid w:val="00FC0B59"/>
    <w:rsid w:val="00FC0B62"/>
    <w:rsid w:val="00FC1DE4"/>
    <w:rsid w:val="00FC2AEB"/>
    <w:rsid w:val="00FC2E13"/>
    <w:rsid w:val="00FC3E05"/>
    <w:rsid w:val="00FC79C6"/>
    <w:rsid w:val="00FD25B7"/>
    <w:rsid w:val="00FD4793"/>
    <w:rsid w:val="00FD4B13"/>
    <w:rsid w:val="00FD5131"/>
    <w:rsid w:val="00FE02FF"/>
    <w:rsid w:val="00FE05D5"/>
    <w:rsid w:val="00FE2DE0"/>
    <w:rsid w:val="00FE4366"/>
    <w:rsid w:val="00FE479E"/>
    <w:rsid w:val="00FE4C89"/>
    <w:rsid w:val="00FE521F"/>
    <w:rsid w:val="00FE5253"/>
    <w:rsid w:val="00FE5748"/>
    <w:rsid w:val="00FE5B7E"/>
    <w:rsid w:val="00FE6514"/>
    <w:rsid w:val="00FE7406"/>
    <w:rsid w:val="00FE7C71"/>
    <w:rsid w:val="00FF14A2"/>
    <w:rsid w:val="00FF392C"/>
    <w:rsid w:val="00FF56EB"/>
    <w:rsid w:val="00FF5F6A"/>
    <w:rsid w:val="00FF6A45"/>
    <w:rsid w:val="00FF7B84"/>
    <w:rsid w:val="0102428E"/>
    <w:rsid w:val="01077F36"/>
    <w:rsid w:val="0120095E"/>
    <w:rsid w:val="012C64DF"/>
    <w:rsid w:val="01347108"/>
    <w:rsid w:val="01445F1F"/>
    <w:rsid w:val="014F52CB"/>
    <w:rsid w:val="016B675C"/>
    <w:rsid w:val="01722B83"/>
    <w:rsid w:val="01751F24"/>
    <w:rsid w:val="01973422"/>
    <w:rsid w:val="01A75FB7"/>
    <w:rsid w:val="01A807F6"/>
    <w:rsid w:val="01A87F8F"/>
    <w:rsid w:val="01AA269C"/>
    <w:rsid w:val="01B630ED"/>
    <w:rsid w:val="01BF009F"/>
    <w:rsid w:val="01C13BAE"/>
    <w:rsid w:val="01C423A3"/>
    <w:rsid w:val="01C84E50"/>
    <w:rsid w:val="01C85D98"/>
    <w:rsid w:val="01D778C1"/>
    <w:rsid w:val="01F17807"/>
    <w:rsid w:val="02102F86"/>
    <w:rsid w:val="023F3ECD"/>
    <w:rsid w:val="02441214"/>
    <w:rsid w:val="0251340B"/>
    <w:rsid w:val="02544043"/>
    <w:rsid w:val="025B5036"/>
    <w:rsid w:val="02783167"/>
    <w:rsid w:val="02B26AFB"/>
    <w:rsid w:val="02B54542"/>
    <w:rsid w:val="02C9054F"/>
    <w:rsid w:val="02DD68DE"/>
    <w:rsid w:val="02E913B2"/>
    <w:rsid w:val="03286D5E"/>
    <w:rsid w:val="03370331"/>
    <w:rsid w:val="03586C46"/>
    <w:rsid w:val="039E083E"/>
    <w:rsid w:val="039E6E6A"/>
    <w:rsid w:val="03C149F0"/>
    <w:rsid w:val="03D37675"/>
    <w:rsid w:val="03DF7521"/>
    <w:rsid w:val="03ED2D08"/>
    <w:rsid w:val="03EE312F"/>
    <w:rsid w:val="03FE1FE7"/>
    <w:rsid w:val="040B2A30"/>
    <w:rsid w:val="041F2E05"/>
    <w:rsid w:val="04226013"/>
    <w:rsid w:val="04561417"/>
    <w:rsid w:val="045F71C4"/>
    <w:rsid w:val="04731BFF"/>
    <w:rsid w:val="047A68A2"/>
    <w:rsid w:val="0492215D"/>
    <w:rsid w:val="049459D6"/>
    <w:rsid w:val="04A31648"/>
    <w:rsid w:val="04DB6E66"/>
    <w:rsid w:val="04E35B59"/>
    <w:rsid w:val="05014322"/>
    <w:rsid w:val="050A5C2F"/>
    <w:rsid w:val="051E7D83"/>
    <w:rsid w:val="052C03FA"/>
    <w:rsid w:val="054259CE"/>
    <w:rsid w:val="055D451B"/>
    <w:rsid w:val="057A014C"/>
    <w:rsid w:val="058D71F9"/>
    <w:rsid w:val="059872C3"/>
    <w:rsid w:val="05C01C44"/>
    <w:rsid w:val="05DD31D1"/>
    <w:rsid w:val="05FD41A0"/>
    <w:rsid w:val="061263DF"/>
    <w:rsid w:val="06361DF0"/>
    <w:rsid w:val="064B5503"/>
    <w:rsid w:val="06592872"/>
    <w:rsid w:val="067D3D44"/>
    <w:rsid w:val="068F3169"/>
    <w:rsid w:val="0690422B"/>
    <w:rsid w:val="06A1356A"/>
    <w:rsid w:val="06AE4D64"/>
    <w:rsid w:val="06B547A2"/>
    <w:rsid w:val="06BE0B26"/>
    <w:rsid w:val="06C82A68"/>
    <w:rsid w:val="06D13B5F"/>
    <w:rsid w:val="06D84970"/>
    <w:rsid w:val="06DC7BCC"/>
    <w:rsid w:val="06DC7EB7"/>
    <w:rsid w:val="06DF569E"/>
    <w:rsid w:val="06E16535"/>
    <w:rsid w:val="07032C4F"/>
    <w:rsid w:val="071D2E5B"/>
    <w:rsid w:val="075827E2"/>
    <w:rsid w:val="07672EE2"/>
    <w:rsid w:val="0768741C"/>
    <w:rsid w:val="077A2523"/>
    <w:rsid w:val="077A5841"/>
    <w:rsid w:val="0786269B"/>
    <w:rsid w:val="078922A0"/>
    <w:rsid w:val="079760B9"/>
    <w:rsid w:val="07A3760D"/>
    <w:rsid w:val="07BE4639"/>
    <w:rsid w:val="07C276FD"/>
    <w:rsid w:val="07CB3B03"/>
    <w:rsid w:val="07D934AB"/>
    <w:rsid w:val="07FC149F"/>
    <w:rsid w:val="080C048B"/>
    <w:rsid w:val="081D3303"/>
    <w:rsid w:val="0843349F"/>
    <w:rsid w:val="086955CF"/>
    <w:rsid w:val="08824083"/>
    <w:rsid w:val="08A70EB6"/>
    <w:rsid w:val="08B21F68"/>
    <w:rsid w:val="08B83C8F"/>
    <w:rsid w:val="08B90F2F"/>
    <w:rsid w:val="08D7023E"/>
    <w:rsid w:val="08F54869"/>
    <w:rsid w:val="08F617E1"/>
    <w:rsid w:val="08FB3775"/>
    <w:rsid w:val="0936165D"/>
    <w:rsid w:val="09361F88"/>
    <w:rsid w:val="09362B6E"/>
    <w:rsid w:val="094C7C39"/>
    <w:rsid w:val="095455EE"/>
    <w:rsid w:val="09700A9C"/>
    <w:rsid w:val="097962E1"/>
    <w:rsid w:val="0981425D"/>
    <w:rsid w:val="09842B8F"/>
    <w:rsid w:val="09915ACE"/>
    <w:rsid w:val="099A1FE2"/>
    <w:rsid w:val="099E153B"/>
    <w:rsid w:val="09AB1F14"/>
    <w:rsid w:val="09BF2FB8"/>
    <w:rsid w:val="09C459B2"/>
    <w:rsid w:val="09E674FF"/>
    <w:rsid w:val="09FE17BE"/>
    <w:rsid w:val="0A135E51"/>
    <w:rsid w:val="0A1C4015"/>
    <w:rsid w:val="0A330430"/>
    <w:rsid w:val="0A7E5130"/>
    <w:rsid w:val="0A8A0342"/>
    <w:rsid w:val="0AA558C8"/>
    <w:rsid w:val="0AB9740A"/>
    <w:rsid w:val="0AC859C0"/>
    <w:rsid w:val="0AE25FC7"/>
    <w:rsid w:val="0B113F73"/>
    <w:rsid w:val="0B2649D7"/>
    <w:rsid w:val="0B3B7F06"/>
    <w:rsid w:val="0B3F40F5"/>
    <w:rsid w:val="0B416DD8"/>
    <w:rsid w:val="0B646F2D"/>
    <w:rsid w:val="0B7B2881"/>
    <w:rsid w:val="0B971CE3"/>
    <w:rsid w:val="0BA24413"/>
    <w:rsid w:val="0BA64E39"/>
    <w:rsid w:val="0BAC4B35"/>
    <w:rsid w:val="0BB76F47"/>
    <w:rsid w:val="0BC00B0F"/>
    <w:rsid w:val="0BC24F1B"/>
    <w:rsid w:val="0BCC205F"/>
    <w:rsid w:val="0BD33D84"/>
    <w:rsid w:val="0BE62240"/>
    <w:rsid w:val="0BEB7199"/>
    <w:rsid w:val="0C244C94"/>
    <w:rsid w:val="0C3221F1"/>
    <w:rsid w:val="0C3C540A"/>
    <w:rsid w:val="0C456EA9"/>
    <w:rsid w:val="0C5001CB"/>
    <w:rsid w:val="0C5E55CD"/>
    <w:rsid w:val="0C667B12"/>
    <w:rsid w:val="0C766288"/>
    <w:rsid w:val="0C7B6A2E"/>
    <w:rsid w:val="0C89393D"/>
    <w:rsid w:val="0CC87F38"/>
    <w:rsid w:val="0CD318A9"/>
    <w:rsid w:val="0CE96D8F"/>
    <w:rsid w:val="0CF80D90"/>
    <w:rsid w:val="0CF86480"/>
    <w:rsid w:val="0D495ECA"/>
    <w:rsid w:val="0D56161A"/>
    <w:rsid w:val="0D5E4066"/>
    <w:rsid w:val="0D7D3BCB"/>
    <w:rsid w:val="0D9F4EE3"/>
    <w:rsid w:val="0DA177AC"/>
    <w:rsid w:val="0DAF5C9A"/>
    <w:rsid w:val="0DB126AD"/>
    <w:rsid w:val="0DB662F4"/>
    <w:rsid w:val="0DC06A14"/>
    <w:rsid w:val="0DC6435A"/>
    <w:rsid w:val="0DD45E9E"/>
    <w:rsid w:val="0E0C6344"/>
    <w:rsid w:val="0E267A37"/>
    <w:rsid w:val="0E292C9E"/>
    <w:rsid w:val="0E2A1853"/>
    <w:rsid w:val="0E420345"/>
    <w:rsid w:val="0E532EB2"/>
    <w:rsid w:val="0E640F8A"/>
    <w:rsid w:val="0E9224E5"/>
    <w:rsid w:val="0E9831B2"/>
    <w:rsid w:val="0E9945A9"/>
    <w:rsid w:val="0ED16C02"/>
    <w:rsid w:val="0EF4489F"/>
    <w:rsid w:val="0EF501BC"/>
    <w:rsid w:val="0F056DD9"/>
    <w:rsid w:val="0F0B597E"/>
    <w:rsid w:val="0F0B7D93"/>
    <w:rsid w:val="0F14661F"/>
    <w:rsid w:val="0F193B3A"/>
    <w:rsid w:val="0F4F47EB"/>
    <w:rsid w:val="0F5B7A44"/>
    <w:rsid w:val="0F772080"/>
    <w:rsid w:val="0F83017B"/>
    <w:rsid w:val="0F8808E2"/>
    <w:rsid w:val="0F8A3031"/>
    <w:rsid w:val="0FB53EF8"/>
    <w:rsid w:val="0FB55AB7"/>
    <w:rsid w:val="0FE051D9"/>
    <w:rsid w:val="0FFF1925"/>
    <w:rsid w:val="100B0A76"/>
    <w:rsid w:val="10156D97"/>
    <w:rsid w:val="1017276C"/>
    <w:rsid w:val="101C545E"/>
    <w:rsid w:val="1029067A"/>
    <w:rsid w:val="10395BC9"/>
    <w:rsid w:val="104C28F7"/>
    <w:rsid w:val="104D0192"/>
    <w:rsid w:val="104D480C"/>
    <w:rsid w:val="104F57F2"/>
    <w:rsid w:val="1050023E"/>
    <w:rsid w:val="1076228B"/>
    <w:rsid w:val="107D3BE8"/>
    <w:rsid w:val="109D7F23"/>
    <w:rsid w:val="10C25803"/>
    <w:rsid w:val="10C94C4B"/>
    <w:rsid w:val="10D23693"/>
    <w:rsid w:val="10DF11E4"/>
    <w:rsid w:val="10F36A96"/>
    <w:rsid w:val="110047F3"/>
    <w:rsid w:val="11063EEE"/>
    <w:rsid w:val="112F3354"/>
    <w:rsid w:val="11384A66"/>
    <w:rsid w:val="1146221C"/>
    <w:rsid w:val="1164780D"/>
    <w:rsid w:val="116F3A5F"/>
    <w:rsid w:val="117E02FB"/>
    <w:rsid w:val="11801D6A"/>
    <w:rsid w:val="11860259"/>
    <w:rsid w:val="118A01CF"/>
    <w:rsid w:val="1196546C"/>
    <w:rsid w:val="11AB6028"/>
    <w:rsid w:val="11B010CA"/>
    <w:rsid w:val="11BB1A22"/>
    <w:rsid w:val="11C03B7C"/>
    <w:rsid w:val="11C06D9A"/>
    <w:rsid w:val="11C37C66"/>
    <w:rsid w:val="11C663C6"/>
    <w:rsid w:val="11C665AC"/>
    <w:rsid w:val="11F422BB"/>
    <w:rsid w:val="11FD6783"/>
    <w:rsid w:val="120B7733"/>
    <w:rsid w:val="120C122C"/>
    <w:rsid w:val="12173F3A"/>
    <w:rsid w:val="122560F8"/>
    <w:rsid w:val="123B5BAB"/>
    <w:rsid w:val="126A6368"/>
    <w:rsid w:val="12723439"/>
    <w:rsid w:val="12746EA6"/>
    <w:rsid w:val="127E372B"/>
    <w:rsid w:val="12BE65D2"/>
    <w:rsid w:val="12D539C8"/>
    <w:rsid w:val="12DA5EFE"/>
    <w:rsid w:val="12E50449"/>
    <w:rsid w:val="12F06CC0"/>
    <w:rsid w:val="130861EE"/>
    <w:rsid w:val="13185DFA"/>
    <w:rsid w:val="13271225"/>
    <w:rsid w:val="132C47C9"/>
    <w:rsid w:val="1345475B"/>
    <w:rsid w:val="13486FB1"/>
    <w:rsid w:val="134E3D5F"/>
    <w:rsid w:val="13616F53"/>
    <w:rsid w:val="13627872"/>
    <w:rsid w:val="13715F83"/>
    <w:rsid w:val="137C7730"/>
    <w:rsid w:val="138819B2"/>
    <w:rsid w:val="13986B56"/>
    <w:rsid w:val="13A10BDE"/>
    <w:rsid w:val="13AF2A9B"/>
    <w:rsid w:val="13BE3155"/>
    <w:rsid w:val="13C97130"/>
    <w:rsid w:val="13CD47AE"/>
    <w:rsid w:val="13CE332E"/>
    <w:rsid w:val="13D12D8B"/>
    <w:rsid w:val="13FC035B"/>
    <w:rsid w:val="14202332"/>
    <w:rsid w:val="142B4830"/>
    <w:rsid w:val="1435351F"/>
    <w:rsid w:val="143B71D1"/>
    <w:rsid w:val="143C6052"/>
    <w:rsid w:val="1446780E"/>
    <w:rsid w:val="147D1FE9"/>
    <w:rsid w:val="14910464"/>
    <w:rsid w:val="14A17DAA"/>
    <w:rsid w:val="14A71110"/>
    <w:rsid w:val="14A759D0"/>
    <w:rsid w:val="14BA0F10"/>
    <w:rsid w:val="14F1077A"/>
    <w:rsid w:val="14F34823"/>
    <w:rsid w:val="14F65A9D"/>
    <w:rsid w:val="14F94A46"/>
    <w:rsid w:val="14FB7F95"/>
    <w:rsid w:val="15127A31"/>
    <w:rsid w:val="15231F12"/>
    <w:rsid w:val="152447D1"/>
    <w:rsid w:val="152A48D6"/>
    <w:rsid w:val="152C1FDB"/>
    <w:rsid w:val="154850F1"/>
    <w:rsid w:val="15635EA0"/>
    <w:rsid w:val="158B0426"/>
    <w:rsid w:val="158B6338"/>
    <w:rsid w:val="159B702B"/>
    <w:rsid w:val="15B35030"/>
    <w:rsid w:val="15B7403A"/>
    <w:rsid w:val="15B755C4"/>
    <w:rsid w:val="15D1614C"/>
    <w:rsid w:val="15EC1D7B"/>
    <w:rsid w:val="15FE4BC3"/>
    <w:rsid w:val="16042440"/>
    <w:rsid w:val="16073A2D"/>
    <w:rsid w:val="161E0E1F"/>
    <w:rsid w:val="162F481B"/>
    <w:rsid w:val="1635705B"/>
    <w:rsid w:val="16500AE3"/>
    <w:rsid w:val="16562635"/>
    <w:rsid w:val="167A0C2F"/>
    <w:rsid w:val="168C4BE1"/>
    <w:rsid w:val="168D28FE"/>
    <w:rsid w:val="16956377"/>
    <w:rsid w:val="16B0137B"/>
    <w:rsid w:val="16BA60CD"/>
    <w:rsid w:val="16E83123"/>
    <w:rsid w:val="16EC0619"/>
    <w:rsid w:val="170A597F"/>
    <w:rsid w:val="17467DE5"/>
    <w:rsid w:val="17502A60"/>
    <w:rsid w:val="176412DC"/>
    <w:rsid w:val="176E36C9"/>
    <w:rsid w:val="17852BC5"/>
    <w:rsid w:val="17A935BC"/>
    <w:rsid w:val="17B32805"/>
    <w:rsid w:val="17D9039A"/>
    <w:rsid w:val="17EB4EF5"/>
    <w:rsid w:val="180C185E"/>
    <w:rsid w:val="18192203"/>
    <w:rsid w:val="182A5ED6"/>
    <w:rsid w:val="182F3189"/>
    <w:rsid w:val="183D0353"/>
    <w:rsid w:val="185D1332"/>
    <w:rsid w:val="18807213"/>
    <w:rsid w:val="188F07E6"/>
    <w:rsid w:val="18C43E75"/>
    <w:rsid w:val="18CD0582"/>
    <w:rsid w:val="18CD3E1D"/>
    <w:rsid w:val="18CE7748"/>
    <w:rsid w:val="18CF6D80"/>
    <w:rsid w:val="18D92025"/>
    <w:rsid w:val="18DA2D81"/>
    <w:rsid w:val="18F55721"/>
    <w:rsid w:val="190F7C49"/>
    <w:rsid w:val="191853FB"/>
    <w:rsid w:val="192225D8"/>
    <w:rsid w:val="19236A33"/>
    <w:rsid w:val="193423EA"/>
    <w:rsid w:val="193810F1"/>
    <w:rsid w:val="193F0D7C"/>
    <w:rsid w:val="195A34F2"/>
    <w:rsid w:val="19764DC2"/>
    <w:rsid w:val="199947D2"/>
    <w:rsid w:val="19B24F9A"/>
    <w:rsid w:val="19B51BB9"/>
    <w:rsid w:val="19C7008B"/>
    <w:rsid w:val="19D2792B"/>
    <w:rsid w:val="19E8247B"/>
    <w:rsid w:val="19E85B6B"/>
    <w:rsid w:val="19E973A7"/>
    <w:rsid w:val="19EC7A26"/>
    <w:rsid w:val="19FD5266"/>
    <w:rsid w:val="1A0477B2"/>
    <w:rsid w:val="1A13697B"/>
    <w:rsid w:val="1A246364"/>
    <w:rsid w:val="1A323484"/>
    <w:rsid w:val="1A32631C"/>
    <w:rsid w:val="1A5E20DC"/>
    <w:rsid w:val="1A6D2FED"/>
    <w:rsid w:val="1A735983"/>
    <w:rsid w:val="1A7B1501"/>
    <w:rsid w:val="1A7B253B"/>
    <w:rsid w:val="1A883C5E"/>
    <w:rsid w:val="1AA11C9F"/>
    <w:rsid w:val="1AC66266"/>
    <w:rsid w:val="1AC81235"/>
    <w:rsid w:val="1AD42AAD"/>
    <w:rsid w:val="1AD74DEC"/>
    <w:rsid w:val="1AD90D61"/>
    <w:rsid w:val="1AF014C0"/>
    <w:rsid w:val="1AFE24C0"/>
    <w:rsid w:val="1B0375A3"/>
    <w:rsid w:val="1B183E65"/>
    <w:rsid w:val="1B2F61AC"/>
    <w:rsid w:val="1B3F4429"/>
    <w:rsid w:val="1B4212AA"/>
    <w:rsid w:val="1B565316"/>
    <w:rsid w:val="1B620B8A"/>
    <w:rsid w:val="1B672DA3"/>
    <w:rsid w:val="1B6B7312"/>
    <w:rsid w:val="1B6C18E0"/>
    <w:rsid w:val="1B6C61AF"/>
    <w:rsid w:val="1B933F63"/>
    <w:rsid w:val="1B951CDD"/>
    <w:rsid w:val="1B961D9F"/>
    <w:rsid w:val="1B9C7072"/>
    <w:rsid w:val="1BA8775C"/>
    <w:rsid w:val="1BB7736C"/>
    <w:rsid w:val="1BC5384C"/>
    <w:rsid w:val="1BC94716"/>
    <w:rsid w:val="1BE029F8"/>
    <w:rsid w:val="1BF60786"/>
    <w:rsid w:val="1BF607D3"/>
    <w:rsid w:val="1BF764C3"/>
    <w:rsid w:val="1C140C95"/>
    <w:rsid w:val="1C1E18BE"/>
    <w:rsid w:val="1C451CE5"/>
    <w:rsid w:val="1C5C1165"/>
    <w:rsid w:val="1C64117C"/>
    <w:rsid w:val="1C670798"/>
    <w:rsid w:val="1C6A277B"/>
    <w:rsid w:val="1C810B3A"/>
    <w:rsid w:val="1C841B34"/>
    <w:rsid w:val="1C896D72"/>
    <w:rsid w:val="1C8F2D59"/>
    <w:rsid w:val="1CDB22B4"/>
    <w:rsid w:val="1CE55CC2"/>
    <w:rsid w:val="1CFB70F2"/>
    <w:rsid w:val="1D043855"/>
    <w:rsid w:val="1D082E13"/>
    <w:rsid w:val="1D1C4A00"/>
    <w:rsid w:val="1D34477C"/>
    <w:rsid w:val="1D5F04EB"/>
    <w:rsid w:val="1D626D7A"/>
    <w:rsid w:val="1D6D62DB"/>
    <w:rsid w:val="1DA34AD1"/>
    <w:rsid w:val="1DAE15EE"/>
    <w:rsid w:val="1DB025BD"/>
    <w:rsid w:val="1DBE0A40"/>
    <w:rsid w:val="1DCC2334"/>
    <w:rsid w:val="1DD05C59"/>
    <w:rsid w:val="1DD1101C"/>
    <w:rsid w:val="1DFA47BA"/>
    <w:rsid w:val="1E00760C"/>
    <w:rsid w:val="1E10118C"/>
    <w:rsid w:val="1E285D17"/>
    <w:rsid w:val="1E2F6F5E"/>
    <w:rsid w:val="1E6F2865"/>
    <w:rsid w:val="1E7719D1"/>
    <w:rsid w:val="1E86047F"/>
    <w:rsid w:val="1E975DD4"/>
    <w:rsid w:val="1E9F6E87"/>
    <w:rsid w:val="1EA505F8"/>
    <w:rsid w:val="1EAA4071"/>
    <w:rsid w:val="1EAC0151"/>
    <w:rsid w:val="1ED6146A"/>
    <w:rsid w:val="1ED90522"/>
    <w:rsid w:val="1EEE6DEC"/>
    <w:rsid w:val="1F002AF5"/>
    <w:rsid w:val="1F0826C3"/>
    <w:rsid w:val="1F2A386A"/>
    <w:rsid w:val="1F4F2600"/>
    <w:rsid w:val="1F596FBC"/>
    <w:rsid w:val="1F861608"/>
    <w:rsid w:val="1F867CD3"/>
    <w:rsid w:val="1F912DBA"/>
    <w:rsid w:val="1F9754B1"/>
    <w:rsid w:val="1F9A2035"/>
    <w:rsid w:val="1FA03F8A"/>
    <w:rsid w:val="1FCE2244"/>
    <w:rsid w:val="1FD26F5A"/>
    <w:rsid w:val="1FD611B0"/>
    <w:rsid w:val="1FF4474F"/>
    <w:rsid w:val="200467F4"/>
    <w:rsid w:val="200F64CB"/>
    <w:rsid w:val="20203F45"/>
    <w:rsid w:val="203E3DC6"/>
    <w:rsid w:val="20504BDA"/>
    <w:rsid w:val="20610ABC"/>
    <w:rsid w:val="2067232B"/>
    <w:rsid w:val="206F3DE7"/>
    <w:rsid w:val="207B58AE"/>
    <w:rsid w:val="20887D81"/>
    <w:rsid w:val="208D4F1A"/>
    <w:rsid w:val="2093649F"/>
    <w:rsid w:val="20B573DE"/>
    <w:rsid w:val="20B768CF"/>
    <w:rsid w:val="20BA192D"/>
    <w:rsid w:val="20DC71F8"/>
    <w:rsid w:val="20DD19E3"/>
    <w:rsid w:val="20E77F93"/>
    <w:rsid w:val="20F21212"/>
    <w:rsid w:val="210A67E2"/>
    <w:rsid w:val="211149A5"/>
    <w:rsid w:val="213569A7"/>
    <w:rsid w:val="214344D1"/>
    <w:rsid w:val="21495F3F"/>
    <w:rsid w:val="214E495A"/>
    <w:rsid w:val="21704A2F"/>
    <w:rsid w:val="21910ED2"/>
    <w:rsid w:val="219269F7"/>
    <w:rsid w:val="21DE38FE"/>
    <w:rsid w:val="21E17563"/>
    <w:rsid w:val="21E329AD"/>
    <w:rsid w:val="21F67796"/>
    <w:rsid w:val="220F2121"/>
    <w:rsid w:val="221D2977"/>
    <w:rsid w:val="224C01E6"/>
    <w:rsid w:val="224F24C2"/>
    <w:rsid w:val="226E4E9F"/>
    <w:rsid w:val="2299776C"/>
    <w:rsid w:val="22BD09DD"/>
    <w:rsid w:val="22C6642E"/>
    <w:rsid w:val="22D82D1A"/>
    <w:rsid w:val="22DA29F0"/>
    <w:rsid w:val="22EB2032"/>
    <w:rsid w:val="22F541CA"/>
    <w:rsid w:val="22F834C2"/>
    <w:rsid w:val="22FC7BDD"/>
    <w:rsid w:val="23007424"/>
    <w:rsid w:val="232118A1"/>
    <w:rsid w:val="23282D48"/>
    <w:rsid w:val="23323472"/>
    <w:rsid w:val="23397F48"/>
    <w:rsid w:val="234D1E32"/>
    <w:rsid w:val="234F542D"/>
    <w:rsid w:val="2352620F"/>
    <w:rsid w:val="23531294"/>
    <w:rsid w:val="236F4A30"/>
    <w:rsid w:val="237300CF"/>
    <w:rsid w:val="23785A35"/>
    <w:rsid w:val="237D125B"/>
    <w:rsid w:val="23812BEF"/>
    <w:rsid w:val="23A13A10"/>
    <w:rsid w:val="23BC513D"/>
    <w:rsid w:val="23DD5F46"/>
    <w:rsid w:val="23E900DC"/>
    <w:rsid w:val="23FF2617"/>
    <w:rsid w:val="24023842"/>
    <w:rsid w:val="240A1BF6"/>
    <w:rsid w:val="240E3540"/>
    <w:rsid w:val="24137876"/>
    <w:rsid w:val="241D1823"/>
    <w:rsid w:val="241E33EB"/>
    <w:rsid w:val="242315C2"/>
    <w:rsid w:val="242623EF"/>
    <w:rsid w:val="242A4E45"/>
    <w:rsid w:val="242C5263"/>
    <w:rsid w:val="242F2972"/>
    <w:rsid w:val="2435387C"/>
    <w:rsid w:val="243A4BB9"/>
    <w:rsid w:val="244C7635"/>
    <w:rsid w:val="24583B3B"/>
    <w:rsid w:val="24725494"/>
    <w:rsid w:val="24772FB0"/>
    <w:rsid w:val="24987863"/>
    <w:rsid w:val="24996931"/>
    <w:rsid w:val="24B06A45"/>
    <w:rsid w:val="24D01B0C"/>
    <w:rsid w:val="24DC3EBD"/>
    <w:rsid w:val="24EC79A2"/>
    <w:rsid w:val="251B7FA3"/>
    <w:rsid w:val="251D3C6C"/>
    <w:rsid w:val="252C6911"/>
    <w:rsid w:val="25393511"/>
    <w:rsid w:val="253A06AC"/>
    <w:rsid w:val="25536875"/>
    <w:rsid w:val="255B1475"/>
    <w:rsid w:val="255D7F4E"/>
    <w:rsid w:val="25A446B4"/>
    <w:rsid w:val="25BF56A4"/>
    <w:rsid w:val="25D27EA6"/>
    <w:rsid w:val="25DD6D97"/>
    <w:rsid w:val="25E61A2C"/>
    <w:rsid w:val="25E6445D"/>
    <w:rsid w:val="26113930"/>
    <w:rsid w:val="2618448A"/>
    <w:rsid w:val="26245272"/>
    <w:rsid w:val="26307842"/>
    <w:rsid w:val="26352FE1"/>
    <w:rsid w:val="266603AE"/>
    <w:rsid w:val="267B0E58"/>
    <w:rsid w:val="267D64A3"/>
    <w:rsid w:val="26823D85"/>
    <w:rsid w:val="2684061D"/>
    <w:rsid w:val="26AF4254"/>
    <w:rsid w:val="26B73E60"/>
    <w:rsid w:val="26D4008B"/>
    <w:rsid w:val="26D71881"/>
    <w:rsid w:val="26D82B89"/>
    <w:rsid w:val="26DD1F9B"/>
    <w:rsid w:val="26E53EB3"/>
    <w:rsid w:val="26F23FCC"/>
    <w:rsid w:val="26F86F37"/>
    <w:rsid w:val="27144D09"/>
    <w:rsid w:val="271A3801"/>
    <w:rsid w:val="27236410"/>
    <w:rsid w:val="272A5900"/>
    <w:rsid w:val="27366599"/>
    <w:rsid w:val="273E3338"/>
    <w:rsid w:val="277125DE"/>
    <w:rsid w:val="27772330"/>
    <w:rsid w:val="279D700A"/>
    <w:rsid w:val="27B25D42"/>
    <w:rsid w:val="27F24660"/>
    <w:rsid w:val="280A53AD"/>
    <w:rsid w:val="282B1096"/>
    <w:rsid w:val="283402C7"/>
    <w:rsid w:val="28343080"/>
    <w:rsid w:val="283A2654"/>
    <w:rsid w:val="28423C5E"/>
    <w:rsid w:val="28554CB8"/>
    <w:rsid w:val="28650541"/>
    <w:rsid w:val="287B2ED5"/>
    <w:rsid w:val="28877AB5"/>
    <w:rsid w:val="288B6D37"/>
    <w:rsid w:val="28A472A3"/>
    <w:rsid w:val="28BC2408"/>
    <w:rsid w:val="28C46FB1"/>
    <w:rsid w:val="28C969B7"/>
    <w:rsid w:val="28D92FC8"/>
    <w:rsid w:val="28ED7887"/>
    <w:rsid w:val="28F36932"/>
    <w:rsid w:val="28FC4AF2"/>
    <w:rsid w:val="2917524F"/>
    <w:rsid w:val="29176926"/>
    <w:rsid w:val="29194200"/>
    <w:rsid w:val="294514E7"/>
    <w:rsid w:val="294E26B1"/>
    <w:rsid w:val="29886BDE"/>
    <w:rsid w:val="29927718"/>
    <w:rsid w:val="2995264B"/>
    <w:rsid w:val="29953440"/>
    <w:rsid w:val="299C1342"/>
    <w:rsid w:val="29D040E0"/>
    <w:rsid w:val="29D4310F"/>
    <w:rsid w:val="29DE5326"/>
    <w:rsid w:val="2A196322"/>
    <w:rsid w:val="2A2B1632"/>
    <w:rsid w:val="2A4E51B9"/>
    <w:rsid w:val="2A4F60D4"/>
    <w:rsid w:val="2A53377C"/>
    <w:rsid w:val="2A5A7540"/>
    <w:rsid w:val="2A8C49A7"/>
    <w:rsid w:val="2A9B41FE"/>
    <w:rsid w:val="2AA908E2"/>
    <w:rsid w:val="2AB83290"/>
    <w:rsid w:val="2AC11F52"/>
    <w:rsid w:val="2AD22101"/>
    <w:rsid w:val="2ADA7C5B"/>
    <w:rsid w:val="2ADF3423"/>
    <w:rsid w:val="2AE101D7"/>
    <w:rsid w:val="2AEB3AA9"/>
    <w:rsid w:val="2AEC4FEF"/>
    <w:rsid w:val="2AFA1997"/>
    <w:rsid w:val="2AFF27C3"/>
    <w:rsid w:val="2B053EBF"/>
    <w:rsid w:val="2B0E0FEE"/>
    <w:rsid w:val="2B2A2C98"/>
    <w:rsid w:val="2B3953AC"/>
    <w:rsid w:val="2B7814B0"/>
    <w:rsid w:val="2B827B86"/>
    <w:rsid w:val="2B882AAB"/>
    <w:rsid w:val="2BB81EDB"/>
    <w:rsid w:val="2BEA7A40"/>
    <w:rsid w:val="2C002C11"/>
    <w:rsid w:val="2C34085A"/>
    <w:rsid w:val="2C404FBC"/>
    <w:rsid w:val="2C4D6062"/>
    <w:rsid w:val="2C6C2B2F"/>
    <w:rsid w:val="2C766CC2"/>
    <w:rsid w:val="2C791C66"/>
    <w:rsid w:val="2C8D5B2A"/>
    <w:rsid w:val="2C8E3D66"/>
    <w:rsid w:val="2CBF2DE1"/>
    <w:rsid w:val="2CC477B4"/>
    <w:rsid w:val="2CDB6F83"/>
    <w:rsid w:val="2D1A3F25"/>
    <w:rsid w:val="2D2C561B"/>
    <w:rsid w:val="2D300E50"/>
    <w:rsid w:val="2D3047F6"/>
    <w:rsid w:val="2D3D3E14"/>
    <w:rsid w:val="2D551CF8"/>
    <w:rsid w:val="2D682467"/>
    <w:rsid w:val="2D6C7E9E"/>
    <w:rsid w:val="2D6F0806"/>
    <w:rsid w:val="2D7A2D0A"/>
    <w:rsid w:val="2D890EC3"/>
    <w:rsid w:val="2D9524F3"/>
    <w:rsid w:val="2DB34E5C"/>
    <w:rsid w:val="2DBA76F6"/>
    <w:rsid w:val="2DD36BD5"/>
    <w:rsid w:val="2DDC3D2F"/>
    <w:rsid w:val="2DDD32C7"/>
    <w:rsid w:val="2E007E7C"/>
    <w:rsid w:val="2E196BF8"/>
    <w:rsid w:val="2E1A0B4B"/>
    <w:rsid w:val="2E487FC6"/>
    <w:rsid w:val="2E4C01BC"/>
    <w:rsid w:val="2E656740"/>
    <w:rsid w:val="2E6C2016"/>
    <w:rsid w:val="2E8217B5"/>
    <w:rsid w:val="2E885DF9"/>
    <w:rsid w:val="2E8A0898"/>
    <w:rsid w:val="2E9147C0"/>
    <w:rsid w:val="2E976270"/>
    <w:rsid w:val="2EAB44E6"/>
    <w:rsid w:val="2EB77A95"/>
    <w:rsid w:val="2ECE0647"/>
    <w:rsid w:val="2ECF1C8E"/>
    <w:rsid w:val="2EF747D5"/>
    <w:rsid w:val="2F0933DC"/>
    <w:rsid w:val="2F110CB9"/>
    <w:rsid w:val="2F196ABE"/>
    <w:rsid w:val="2F531548"/>
    <w:rsid w:val="2F5B5C00"/>
    <w:rsid w:val="2F5C22EF"/>
    <w:rsid w:val="2F606957"/>
    <w:rsid w:val="2F78578E"/>
    <w:rsid w:val="2F8823F3"/>
    <w:rsid w:val="2F9E303E"/>
    <w:rsid w:val="2FCC4EDE"/>
    <w:rsid w:val="2FD7264E"/>
    <w:rsid w:val="2FE36C21"/>
    <w:rsid w:val="2FE76CF0"/>
    <w:rsid w:val="2FEC31EC"/>
    <w:rsid w:val="2FF856ED"/>
    <w:rsid w:val="30065514"/>
    <w:rsid w:val="301E5576"/>
    <w:rsid w:val="301F1A17"/>
    <w:rsid w:val="302F59D4"/>
    <w:rsid w:val="304B70A7"/>
    <w:rsid w:val="305C0056"/>
    <w:rsid w:val="308645AD"/>
    <w:rsid w:val="309073EA"/>
    <w:rsid w:val="309A4C71"/>
    <w:rsid w:val="30FA743C"/>
    <w:rsid w:val="30FF09FD"/>
    <w:rsid w:val="310009AC"/>
    <w:rsid w:val="311C0CEE"/>
    <w:rsid w:val="312251CD"/>
    <w:rsid w:val="31322B8C"/>
    <w:rsid w:val="31352F76"/>
    <w:rsid w:val="31487F5E"/>
    <w:rsid w:val="315D4429"/>
    <w:rsid w:val="31747CA8"/>
    <w:rsid w:val="31777241"/>
    <w:rsid w:val="317F6DF5"/>
    <w:rsid w:val="3188075B"/>
    <w:rsid w:val="319B4F86"/>
    <w:rsid w:val="319E04AA"/>
    <w:rsid w:val="31A30247"/>
    <w:rsid w:val="31B3672B"/>
    <w:rsid w:val="31C02F70"/>
    <w:rsid w:val="31DD05AB"/>
    <w:rsid w:val="31E46DDE"/>
    <w:rsid w:val="31F63791"/>
    <w:rsid w:val="322462FD"/>
    <w:rsid w:val="32250499"/>
    <w:rsid w:val="32434DAB"/>
    <w:rsid w:val="325C7237"/>
    <w:rsid w:val="326E6859"/>
    <w:rsid w:val="32712008"/>
    <w:rsid w:val="32A0526F"/>
    <w:rsid w:val="32A6087B"/>
    <w:rsid w:val="32A71B8A"/>
    <w:rsid w:val="32AA3758"/>
    <w:rsid w:val="32AC5700"/>
    <w:rsid w:val="32E76DBA"/>
    <w:rsid w:val="32FA3D3D"/>
    <w:rsid w:val="332722F8"/>
    <w:rsid w:val="33340EA3"/>
    <w:rsid w:val="333647C1"/>
    <w:rsid w:val="333C65E1"/>
    <w:rsid w:val="33481291"/>
    <w:rsid w:val="33696D18"/>
    <w:rsid w:val="33830122"/>
    <w:rsid w:val="33840333"/>
    <w:rsid w:val="3395225A"/>
    <w:rsid w:val="33C60BDB"/>
    <w:rsid w:val="33E554EB"/>
    <w:rsid w:val="33F24C99"/>
    <w:rsid w:val="33FD00A1"/>
    <w:rsid w:val="341648D0"/>
    <w:rsid w:val="341F26BB"/>
    <w:rsid w:val="34204032"/>
    <w:rsid w:val="342B79DF"/>
    <w:rsid w:val="343139D5"/>
    <w:rsid w:val="34320D1B"/>
    <w:rsid w:val="34434565"/>
    <w:rsid w:val="344779A2"/>
    <w:rsid w:val="344A1A65"/>
    <w:rsid w:val="34627019"/>
    <w:rsid w:val="34681C21"/>
    <w:rsid w:val="347E6EA7"/>
    <w:rsid w:val="34906FF3"/>
    <w:rsid w:val="34BD1CF3"/>
    <w:rsid w:val="34EF4CF2"/>
    <w:rsid w:val="351176FE"/>
    <w:rsid w:val="351D67FC"/>
    <w:rsid w:val="351D68E7"/>
    <w:rsid w:val="353324CF"/>
    <w:rsid w:val="357B44CC"/>
    <w:rsid w:val="357D26C3"/>
    <w:rsid w:val="358154E0"/>
    <w:rsid w:val="358702E0"/>
    <w:rsid w:val="35E12EAD"/>
    <w:rsid w:val="35EC3002"/>
    <w:rsid w:val="35F92AC5"/>
    <w:rsid w:val="360410B2"/>
    <w:rsid w:val="36103D65"/>
    <w:rsid w:val="3616215F"/>
    <w:rsid w:val="36270312"/>
    <w:rsid w:val="362F730F"/>
    <w:rsid w:val="36304D9D"/>
    <w:rsid w:val="364C2530"/>
    <w:rsid w:val="365050CB"/>
    <w:rsid w:val="36580160"/>
    <w:rsid w:val="366820A3"/>
    <w:rsid w:val="36901D5F"/>
    <w:rsid w:val="36AA25D3"/>
    <w:rsid w:val="36B107C4"/>
    <w:rsid w:val="36BC732D"/>
    <w:rsid w:val="36DA46B4"/>
    <w:rsid w:val="36DF19EE"/>
    <w:rsid w:val="37085B2A"/>
    <w:rsid w:val="372D7CB0"/>
    <w:rsid w:val="373560D7"/>
    <w:rsid w:val="37375658"/>
    <w:rsid w:val="373D1EA0"/>
    <w:rsid w:val="378C76F0"/>
    <w:rsid w:val="37A17D5C"/>
    <w:rsid w:val="37A91450"/>
    <w:rsid w:val="37AC5BA4"/>
    <w:rsid w:val="37B32FFF"/>
    <w:rsid w:val="37B54F32"/>
    <w:rsid w:val="37B741B8"/>
    <w:rsid w:val="37BE62CB"/>
    <w:rsid w:val="37E55DCD"/>
    <w:rsid w:val="37EA004F"/>
    <w:rsid w:val="38010909"/>
    <w:rsid w:val="38093676"/>
    <w:rsid w:val="380D645B"/>
    <w:rsid w:val="381116F5"/>
    <w:rsid w:val="38161FE3"/>
    <w:rsid w:val="38337F1A"/>
    <w:rsid w:val="38352540"/>
    <w:rsid w:val="383A4500"/>
    <w:rsid w:val="383D2069"/>
    <w:rsid w:val="38403F57"/>
    <w:rsid w:val="38455284"/>
    <w:rsid w:val="38653084"/>
    <w:rsid w:val="386E07E9"/>
    <w:rsid w:val="3870159D"/>
    <w:rsid w:val="38784380"/>
    <w:rsid w:val="387F50F1"/>
    <w:rsid w:val="3895496F"/>
    <w:rsid w:val="389D0E0D"/>
    <w:rsid w:val="38AA23F4"/>
    <w:rsid w:val="38C07E06"/>
    <w:rsid w:val="38E90BE4"/>
    <w:rsid w:val="38F92ECD"/>
    <w:rsid w:val="39001512"/>
    <w:rsid w:val="390768D2"/>
    <w:rsid w:val="391424C6"/>
    <w:rsid w:val="39365C84"/>
    <w:rsid w:val="393A45CF"/>
    <w:rsid w:val="3952389C"/>
    <w:rsid w:val="39971FE7"/>
    <w:rsid w:val="39B05A2E"/>
    <w:rsid w:val="39D1348D"/>
    <w:rsid w:val="39D32B84"/>
    <w:rsid w:val="39F86850"/>
    <w:rsid w:val="3A0072D5"/>
    <w:rsid w:val="3A0360B6"/>
    <w:rsid w:val="3A24714F"/>
    <w:rsid w:val="3A2702CF"/>
    <w:rsid w:val="3A2B771B"/>
    <w:rsid w:val="3A2C0518"/>
    <w:rsid w:val="3A31254A"/>
    <w:rsid w:val="3A3D22C3"/>
    <w:rsid w:val="3A535B2A"/>
    <w:rsid w:val="3A7964D7"/>
    <w:rsid w:val="3A7A1532"/>
    <w:rsid w:val="3AA940F9"/>
    <w:rsid w:val="3AAA4189"/>
    <w:rsid w:val="3AB362A7"/>
    <w:rsid w:val="3AB8670A"/>
    <w:rsid w:val="3AC42093"/>
    <w:rsid w:val="3ACD46F3"/>
    <w:rsid w:val="3AE046E1"/>
    <w:rsid w:val="3AE64C55"/>
    <w:rsid w:val="3AEB449B"/>
    <w:rsid w:val="3AEC43AC"/>
    <w:rsid w:val="3AF85B1D"/>
    <w:rsid w:val="3B1960F7"/>
    <w:rsid w:val="3B2327F4"/>
    <w:rsid w:val="3B232DBF"/>
    <w:rsid w:val="3B2950B1"/>
    <w:rsid w:val="3B5D2098"/>
    <w:rsid w:val="3B636FC4"/>
    <w:rsid w:val="3B877D54"/>
    <w:rsid w:val="3B917EBD"/>
    <w:rsid w:val="3BA00AA7"/>
    <w:rsid w:val="3BC93306"/>
    <w:rsid w:val="3BE82A9E"/>
    <w:rsid w:val="3BF8033E"/>
    <w:rsid w:val="3BFA1A4E"/>
    <w:rsid w:val="3BFF16D3"/>
    <w:rsid w:val="3C1346C4"/>
    <w:rsid w:val="3C2420B2"/>
    <w:rsid w:val="3C2B7AA1"/>
    <w:rsid w:val="3C451E06"/>
    <w:rsid w:val="3C560E17"/>
    <w:rsid w:val="3C5A67F2"/>
    <w:rsid w:val="3C5B52AE"/>
    <w:rsid w:val="3C767A6E"/>
    <w:rsid w:val="3C7E4E47"/>
    <w:rsid w:val="3C855AD6"/>
    <w:rsid w:val="3C917055"/>
    <w:rsid w:val="3CB304EB"/>
    <w:rsid w:val="3CD5409A"/>
    <w:rsid w:val="3CE44D15"/>
    <w:rsid w:val="3D0D3316"/>
    <w:rsid w:val="3D0E03D0"/>
    <w:rsid w:val="3D121D33"/>
    <w:rsid w:val="3D321936"/>
    <w:rsid w:val="3D366AD9"/>
    <w:rsid w:val="3D6F25B0"/>
    <w:rsid w:val="3D7C1129"/>
    <w:rsid w:val="3DB6391A"/>
    <w:rsid w:val="3DC67A00"/>
    <w:rsid w:val="3DCE20F9"/>
    <w:rsid w:val="3DEF4EEB"/>
    <w:rsid w:val="3DF514DD"/>
    <w:rsid w:val="3DF97569"/>
    <w:rsid w:val="3E0C42B1"/>
    <w:rsid w:val="3E2D5F22"/>
    <w:rsid w:val="3E4F2EDD"/>
    <w:rsid w:val="3E582B75"/>
    <w:rsid w:val="3E686EF0"/>
    <w:rsid w:val="3E736236"/>
    <w:rsid w:val="3E8C1513"/>
    <w:rsid w:val="3E8C5D3F"/>
    <w:rsid w:val="3E8F51E3"/>
    <w:rsid w:val="3E97532B"/>
    <w:rsid w:val="3E9E26C8"/>
    <w:rsid w:val="3EA66A34"/>
    <w:rsid w:val="3EE36819"/>
    <w:rsid w:val="3F046999"/>
    <w:rsid w:val="3F0817CB"/>
    <w:rsid w:val="3F253654"/>
    <w:rsid w:val="3F4A43D2"/>
    <w:rsid w:val="3F4A6B06"/>
    <w:rsid w:val="3F7056FF"/>
    <w:rsid w:val="3F823ACB"/>
    <w:rsid w:val="3F8E25AB"/>
    <w:rsid w:val="3F9E0207"/>
    <w:rsid w:val="3FBF40EA"/>
    <w:rsid w:val="3FCA1440"/>
    <w:rsid w:val="3FCD19C2"/>
    <w:rsid w:val="3FCE40CE"/>
    <w:rsid w:val="3FE31A88"/>
    <w:rsid w:val="3FE84698"/>
    <w:rsid w:val="3FF377D2"/>
    <w:rsid w:val="3FF85D5E"/>
    <w:rsid w:val="4016769E"/>
    <w:rsid w:val="403024C6"/>
    <w:rsid w:val="403E3B5B"/>
    <w:rsid w:val="405909D7"/>
    <w:rsid w:val="40945B54"/>
    <w:rsid w:val="409959B5"/>
    <w:rsid w:val="40AD227E"/>
    <w:rsid w:val="40B12BCB"/>
    <w:rsid w:val="40B160B6"/>
    <w:rsid w:val="40B74478"/>
    <w:rsid w:val="40E009E2"/>
    <w:rsid w:val="40EA0047"/>
    <w:rsid w:val="40EB0F8E"/>
    <w:rsid w:val="40F1251E"/>
    <w:rsid w:val="40F91620"/>
    <w:rsid w:val="40FF6C30"/>
    <w:rsid w:val="412861F6"/>
    <w:rsid w:val="413405E1"/>
    <w:rsid w:val="414B2834"/>
    <w:rsid w:val="418E11C1"/>
    <w:rsid w:val="4192158C"/>
    <w:rsid w:val="419F6E6B"/>
    <w:rsid w:val="41AA0A48"/>
    <w:rsid w:val="41AF477B"/>
    <w:rsid w:val="41B75257"/>
    <w:rsid w:val="41C4511C"/>
    <w:rsid w:val="41D13A5F"/>
    <w:rsid w:val="41EA6A29"/>
    <w:rsid w:val="41F1219E"/>
    <w:rsid w:val="41F80479"/>
    <w:rsid w:val="42031E2F"/>
    <w:rsid w:val="422205CA"/>
    <w:rsid w:val="423F56C8"/>
    <w:rsid w:val="425046FB"/>
    <w:rsid w:val="42507AA8"/>
    <w:rsid w:val="426E112E"/>
    <w:rsid w:val="427F693E"/>
    <w:rsid w:val="42862244"/>
    <w:rsid w:val="42966FCB"/>
    <w:rsid w:val="429676E5"/>
    <w:rsid w:val="42C5151C"/>
    <w:rsid w:val="42DB7AAF"/>
    <w:rsid w:val="42E4113B"/>
    <w:rsid w:val="42E92DCA"/>
    <w:rsid w:val="42F3453E"/>
    <w:rsid w:val="430A08D1"/>
    <w:rsid w:val="43115E82"/>
    <w:rsid w:val="43140523"/>
    <w:rsid w:val="431A3F5E"/>
    <w:rsid w:val="431C43A1"/>
    <w:rsid w:val="431D29A5"/>
    <w:rsid w:val="4327538A"/>
    <w:rsid w:val="433609F9"/>
    <w:rsid w:val="43376B6F"/>
    <w:rsid w:val="43471140"/>
    <w:rsid w:val="43515AAB"/>
    <w:rsid w:val="435B02ED"/>
    <w:rsid w:val="436056FE"/>
    <w:rsid w:val="4373441D"/>
    <w:rsid w:val="43973431"/>
    <w:rsid w:val="4398453D"/>
    <w:rsid w:val="43A740AC"/>
    <w:rsid w:val="43B51646"/>
    <w:rsid w:val="43B60B6D"/>
    <w:rsid w:val="43C15946"/>
    <w:rsid w:val="43C3282D"/>
    <w:rsid w:val="43C53763"/>
    <w:rsid w:val="43D21F43"/>
    <w:rsid w:val="43F06FF4"/>
    <w:rsid w:val="43F91EEB"/>
    <w:rsid w:val="44021ADD"/>
    <w:rsid w:val="44193327"/>
    <w:rsid w:val="44434F51"/>
    <w:rsid w:val="444C08C3"/>
    <w:rsid w:val="445225A7"/>
    <w:rsid w:val="44580A2E"/>
    <w:rsid w:val="44584512"/>
    <w:rsid w:val="44633305"/>
    <w:rsid w:val="44863DD8"/>
    <w:rsid w:val="448D14D9"/>
    <w:rsid w:val="448F381B"/>
    <w:rsid w:val="44901642"/>
    <w:rsid w:val="44A47A37"/>
    <w:rsid w:val="44B12C12"/>
    <w:rsid w:val="44B827A9"/>
    <w:rsid w:val="44D63D51"/>
    <w:rsid w:val="44DD079C"/>
    <w:rsid w:val="44ED56DF"/>
    <w:rsid w:val="44F74CCF"/>
    <w:rsid w:val="44FB7845"/>
    <w:rsid w:val="44FE6B1E"/>
    <w:rsid w:val="450C206A"/>
    <w:rsid w:val="450E5A32"/>
    <w:rsid w:val="45106FB5"/>
    <w:rsid w:val="45124F55"/>
    <w:rsid w:val="451F2F07"/>
    <w:rsid w:val="4539052B"/>
    <w:rsid w:val="45396ED1"/>
    <w:rsid w:val="453C027D"/>
    <w:rsid w:val="4544381F"/>
    <w:rsid w:val="45550058"/>
    <w:rsid w:val="455D6DCB"/>
    <w:rsid w:val="455F6D5B"/>
    <w:rsid w:val="4569797E"/>
    <w:rsid w:val="456E37DA"/>
    <w:rsid w:val="457612E2"/>
    <w:rsid w:val="457C0206"/>
    <w:rsid w:val="45B535B5"/>
    <w:rsid w:val="45C10B40"/>
    <w:rsid w:val="45C655A9"/>
    <w:rsid w:val="45CC3D73"/>
    <w:rsid w:val="45E52C92"/>
    <w:rsid w:val="460B75F6"/>
    <w:rsid w:val="4618306F"/>
    <w:rsid w:val="46195739"/>
    <w:rsid w:val="46267359"/>
    <w:rsid w:val="464131EE"/>
    <w:rsid w:val="46526907"/>
    <w:rsid w:val="46641CC3"/>
    <w:rsid w:val="46706196"/>
    <w:rsid w:val="46741BE3"/>
    <w:rsid w:val="467D7EA0"/>
    <w:rsid w:val="469D2977"/>
    <w:rsid w:val="46A77947"/>
    <w:rsid w:val="46A87CE7"/>
    <w:rsid w:val="46C71096"/>
    <w:rsid w:val="46D174AF"/>
    <w:rsid w:val="4707040F"/>
    <w:rsid w:val="470B22C1"/>
    <w:rsid w:val="47106C5B"/>
    <w:rsid w:val="47116A8B"/>
    <w:rsid w:val="471C7A56"/>
    <w:rsid w:val="4727437F"/>
    <w:rsid w:val="47284431"/>
    <w:rsid w:val="474B003E"/>
    <w:rsid w:val="474B7E6E"/>
    <w:rsid w:val="474D735B"/>
    <w:rsid w:val="475C586D"/>
    <w:rsid w:val="476449EE"/>
    <w:rsid w:val="47691FED"/>
    <w:rsid w:val="4779758D"/>
    <w:rsid w:val="47BB5B52"/>
    <w:rsid w:val="47BD548B"/>
    <w:rsid w:val="4803055C"/>
    <w:rsid w:val="481454BC"/>
    <w:rsid w:val="481E0935"/>
    <w:rsid w:val="484A524E"/>
    <w:rsid w:val="484F09B1"/>
    <w:rsid w:val="485D6BCB"/>
    <w:rsid w:val="485D7505"/>
    <w:rsid w:val="485E7F00"/>
    <w:rsid w:val="486B22A2"/>
    <w:rsid w:val="486E3B45"/>
    <w:rsid w:val="48A14C0B"/>
    <w:rsid w:val="48A853B1"/>
    <w:rsid w:val="48AB16E3"/>
    <w:rsid w:val="48AD64D4"/>
    <w:rsid w:val="48BC384C"/>
    <w:rsid w:val="48F80B8B"/>
    <w:rsid w:val="48FB445A"/>
    <w:rsid w:val="4904336F"/>
    <w:rsid w:val="49251CC7"/>
    <w:rsid w:val="49431BA5"/>
    <w:rsid w:val="496222A6"/>
    <w:rsid w:val="496443F4"/>
    <w:rsid w:val="497919F8"/>
    <w:rsid w:val="49957F35"/>
    <w:rsid w:val="49B43048"/>
    <w:rsid w:val="49CA6670"/>
    <w:rsid w:val="49D4149B"/>
    <w:rsid w:val="49D55EF4"/>
    <w:rsid w:val="49E955EC"/>
    <w:rsid w:val="49EC4AF4"/>
    <w:rsid w:val="49ED24A5"/>
    <w:rsid w:val="49EF46A5"/>
    <w:rsid w:val="4A17277E"/>
    <w:rsid w:val="4A242A96"/>
    <w:rsid w:val="4A2D5F96"/>
    <w:rsid w:val="4A364C94"/>
    <w:rsid w:val="4A4A2C31"/>
    <w:rsid w:val="4A5632F2"/>
    <w:rsid w:val="4A74079B"/>
    <w:rsid w:val="4A7E0608"/>
    <w:rsid w:val="4A923E06"/>
    <w:rsid w:val="4A9358CE"/>
    <w:rsid w:val="4AE827A1"/>
    <w:rsid w:val="4AEA16C6"/>
    <w:rsid w:val="4B2E4CFE"/>
    <w:rsid w:val="4B46604B"/>
    <w:rsid w:val="4B4A0D6F"/>
    <w:rsid w:val="4B515EEF"/>
    <w:rsid w:val="4B5D1B59"/>
    <w:rsid w:val="4B7C7C3B"/>
    <w:rsid w:val="4B8A355C"/>
    <w:rsid w:val="4BB80389"/>
    <w:rsid w:val="4BC9319F"/>
    <w:rsid w:val="4BE472EC"/>
    <w:rsid w:val="4BFB1958"/>
    <w:rsid w:val="4BFF1F13"/>
    <w:rsid w:val="4C1B1006"/>
    <w:rsid w:val="4C30474D"/>
    <w:rsid w:val="4C3C11CF"/>
    <w:rsid w:val="4C4A3D5A"/>
    <w:rsid w:val="4C6055C7"/>
    <w:rsid w:val="4C6156E6"/>
    <w:rsid w:val="4C761E6C"/>
    <w:rsid w:val="4C791B35"/>
    <w:rsid w:val="4C862852"/>
    <w:rsid w:val="4CA03C5C"/>
    <w:rsid w:val="4CCB25EC"/>
    <w:rsid w:val="4CD0523E"/>
    <w:rsid w:val="4CEB05E0"/>
    <w:rsid w:val="4CFC6BA3"/>
    <w:rsid w:val="4D097282"/>
    <w:rsid w:val="4D1019B7"/>
    <w:rsid w:val="4D394A31"/>
    <w:rsid w:val="4D4E5790"/>
    <w:rsid w:val="4D596925"/>
    <w:rsid w:val="4D7B21B0"/>
    <w:rsid w:val="4D7B259D"/>
    <w:rsid w:val="4D7F38B4"/>
    <w:rsid w:val="4D932DC8"/>
    <w:rsid w:val="4D972362"/>
    <w:rsid w:val="4DB06B32"/>
    <w:rsid w:val="4DD50076"/>
    <w:rsid w:val="4E053303"/>
    <w:rsid w:val="4E1F1E2E"/>
    <w:rsid w:val="4E21437F"/>
    <w:rsid w:val="4E46126D"/>
    <w:rsid w:val="4E5A5E98"/>
    <w:rsid w:val="4E5E5303"/>
    <w:rsid w:val="4E797547"/>
    <w:rsid w:val="4E8F4D13"/>
    <w:rsid w:val="4E9864E6"/>
    <w:rsid w:val="4EA27BA2"/>
    <w:rsid w:val="4EB70B80"/>
    <w:rsid w:val="4EB80324"/>
    <w:rsid w:val="4EBA27C3"/>
    <w:rsid w:val="4EBC72BF"/>
    <w:rsid w:val="4EC5586D"/>
    <w:rsid w:val="4EDB5A34"/>
    <w:rsid w:val="4EF667B3"/>
    <w:rsid w:val="4EF875E0"/>
    <w:rsid w:val="4F050BF8"/>
    <w:rsid w:val="4F0C200E"/>
    <w:rsid w:val="4F0F7FE4"/>
    <w:rsid w:val="4F104AF1"/>
    <w:rsid w:val="4F170B40"/>
    <w:rsid w:val="4F1D08CB"/>
    <w:rsid w:val="4F535296"/>
    <w:rsid w:val="4F6A6A40"/>
    <w:rsid w:val="4F6C5948"/>
    <w:rsid w:val="4F7233B2"/>
    <w:rsid w:val="4F930C8B"/>
    <w:rsid w:val="4F95153F"/>
    <w:rsid w:val="4F995213"/>
    <w:rsid w:val="4FA61C4A"/>
    <w:rsid w:val="4FC83ED7"/>
    <w:rsid w:val="4FD128B0"/>
    <w:rsid w:val="4FD95FD8"/>
    <w:rsid w:val="4FDC76ED"/>
    <w:rsid w:val="500C12B2"/>
    <w:rsid w:val="501A7837"/>
    <w:rsid w:val="502A69FA"/>
    <w:rsid w:val="503D3E5D"/>
    <w:rsid w:val="503E44E1"/>
    <w:rsid w:val="50407574"/>
    <w:rsid w:val="50544B58"/>
    <w:rsid w:val="505703A3"/>
    <w:rsid w:val="50723CA2"/>
    <w:rsid w:val="50765F5E"/>
    <w:rsid w:val="50773EDB"/>
    <w:rsid w:val="508C448C"/>
    <w:rsid w:val="50CA1424"/>
    <w:rsid w:val="50D61EFF"/>
    <w:rsid w:val="50E34D0F"/>
    <w:rsid w:val="50E85318"/>
    <w:rsid w:val="510277E5"/>
    <w:rsid w:val="51061F04"/>
    <w:rsid w:val="510A2EF8"/>
    <w:rsid w:val="51196446"/>
    <w:rsid w:val="513879D1"/>
    <w:rsid w:val="515A0AD8"/>
    <w:rsid w:val="515F31D9"/>
    <w:rsid w:val="516B1742"/>
    <w:rsid w:val="51706120"/>
    <w:rsid w:val="517E061E"/>
    <w:rsid w:val="5181460D"/>
    <w:rsid w:val="51934EFB"/>
    <w:rsid w:val="519470EB"/>
    <w:rsid w:val="519D6284"/>
    <w:rsid w:val="51A1643C"/>
    <w:rsid w:val="51A739FA"/>
    <w:rsid w:val="51A821A9"/>
    <w:rsid w:val="51AD423D"/>
    <w:rsid w:val="51C75E24"/>
    <w:rsid w:val="51CD771F"/>
    <w:rsid w:val="51D25A5D"/>
    <w:rsid w:val="51D5560F"/>
    <w:rsid w:val="520D2955"/>
    <w:rsid w:val="520D7A2F"/>
    <w:rsid w:val="520E272B"/>
    <w:rsid w:val="52123F76"/>
    <w:rsid w:val="5214599F"/>
    <w:rsid w:val="52180EE7"/>
    <w:rsid w:val="52270296"/>
    <w:rsid w:val="522D1B45"/>
    <w:rsid w:val="52384B37"/>
    <w:rsid w:val="524B450F"/>
    <w:rsid w:val="525D19FD"/>
    <w:rsid w:val="52665F22"/>
    <w:rsid w:val="527922E8"/>
    <w:rsid w:val="527C666D"/>
    <w:rsid w:val="527C76F4"/>
    <w:rsid w:val="52A7609F"/>
    <w:rsid w:val="52A90CCB"/>
    <w:rsid w:val="52C7565C"/>
    <w:rsid w:val="52D02B0D"/>
    <w:rsid w:val="52EC670B"/>
    <w:rsid w:val="5303421B"/>
    <w:rsid w:val="530D3001"/>
    <w:rsid w:val="5311518E"/>
    <w:rsid w:val="53131209"/>
    <w:rsid w:val="531A6ED5"/>
    <w:rsid w:val="532916CB"/>
    <w:rsid w:val="53353D5F"/>
    <w:rsid w:val="53416ED5"/>
    <w:rsid w:val="534400AE"/>
    <w:rsid w:val="53446185"/>
    <w:rsid w:val="53511C47"/>
    <w:rsid w:val="53543C4D"/>
    <w:rsid w:val="536520CB"/>
    <w:rsid w:val="53672C3E"/>
    <w:rsid w:val="537101FE"/>
    <w:rsid w:val="538A0254"/>
    <w:rsid w:val="5393037A"/>
    <w:rsid w:val="539C5E5D"/>
    <w:rsid w:val="54051036"/>
    <w:rsid w:val="54066F21"/>
    <w:rsid w:val="54123711"/>
    <w:rsid w:val="54195615"/>
    <w:rsid w:val="54380497"/>
    <w:rsid w:val="54582035"/>
    <w:rsid w:val="545A5E3F"/>
    <w:rsid w:val="547564F9"/>
    <w:rsid w:val="54854615"/>
    <w:rsid w:val="54BE5F33"/>
    <w:rsid w:val="54C52291"/>
    <w:rsid w:val="54C6397B"/>
    <w:rsid w:val="54CF47DC"/>
    <w:rsid w:val="54D737FF"/>
    <w:rsid w:val="54F01149"/>
    <w:rsid w:val="54FC211C"/>
    <w:rsid w:val="550E35CA"/>
    <w:rsid w:val="55141D10"/>
    <w:rsid w:val="552A7C40"/>
    <w:rsid w:val="55312680"/>
    <w:rsid w:val="553C32A6"/>
    <w:rsid w:val="554266BF"/>
    <w:rsid w:val="5544562E"/>
    <w:rsid w:val="556254B3"/>
    <w:rsid w:val="5562580C"/>
    <w:rsid w:val="55743EA8"/>
    <w:rsid w:val="55AB687A"/>
    <w:rsid w:val="55BF5FB4"/>
    <w:rsid w:val="55CC68B6"/>
    <w:rsid w:val="55D50C35"/>
    <w:rsid w:val="55EA38EF"/>
    <w:rsid w:val="56106CD7"/>
    <w:rsid w:val="5618076D"/>
    <w:rsid w:val="561A5B45"/>
    <w:rsid w:val="56337B7B"/>
    <w:rsid w:val="56426352"/>
    <w:rsid w:val="56444F64"/>
    <w:rsid w:val="564F3C3B"/>
    <w:rsid w:val="567A0D83"/>
    <w:rsid w:val="568D41F4"/>
    <w:rsid w:val="569C66E4"/>
    <w:rsid w:val="56A81A69"/>
    <w:rsid w:val="56B96A07"/>
    <w:rsid w:val="56C3185E"/>
    <w:rsid w:val="56CF789B"/>
    <w:rsid w:val="56E0423F"/>
    <w:rsid w:val="56E82636"/>
    <w:rsid w:val="56EB5FA5"/>
    <w:rsid w:val="5702678B"/>
    <w:rsid w:val="570B11B9"/>
    <w:rsid w:val="57122BD2"/>
    <w:rsid w:val="57243C23"/>
    <w:rsid w:val="575B7FD5"/>
    <w:rsid w:val="57622DDC"/>
    <w:rsid w:val="576436F6"/>
    <w:rsid w:val="576E1466"/>
    <w:rsid w:val="57706EEF"/>
    <w:rsid w:val="57792339"/>
    <w:rsid w:val="579735C9"/>
    <w:rsid w:val="57A90A28"/>
    <w:rsid w:val="57B178EC"/>
    <w:rsid w:val="57BB38E3"/>
    <w:rsid w:val="57EC2D78"/>
    <w:rsid w:val="57F946AA"/>
    <w:rsid w:val="585245D1"/>
    <w:rsid w:val="58527595"/>
    <w:rsid w:val="585C65ED"/>
    <w:rsid w:val="58666F83"/>
    <w:rsid w:val="586B7D43"/>
    <w:rsid w:val="586D53E4"/>
    <w:rsid w:val="587A2494"/>
    <w:rsid w:val="587D77CC"/>
    <w:rsid w:val="588C1004"/>
    <w:rsid w:val="58912FE4"/>
    <w:rsid w:val="58973759"/>
    <w:rsid w:val="58973849"/>
    <w:rsid w:val="58A82320"/>
    <w:rsid w:val="58AB2CDF"/>
    <w:rsid w:val="58AE5C94"/>
    <w:rsid w:val="58D300BB"/>
    <w:rsid w:val="58DF3287"/>
    <w:rsid w:val="58ED3DA6"/>
    <w:rsid w:val="58F3791F"/>
    <w:rsid w:val="59031375"/>
    <w:rsid w:val="590D05B6"/>
    <w:rsid w:val="59160D3F"/>
    <w:rsid w:val="593507B6"/>
    <w:rsid w:val="5939706D"/>
    <w:rsid w:val="594370E1"/>
    <w:rsid w:val="59570A34"/>
    <w:rsid w:val="59582ACA"/>
    <w:rsid w:val="595929C4"/>
    <w:rsid w:val="59657CC3"/>
    <w:rsid w:val="5968554F"/>
    <w:rsid w:val="59691F87"/>
    <w:rsid w:val="596C7679"/>
    <w:rsid w:val="597237CE"/>
    <w:rsid w:val="59A84F93"/>
    <w:rsid w:val="59B32554"/>
    <w:rsid w:val="59B90316"/>
    <w:rsid w:val="59C57308"/>
    <w:rsid w:val="59F46A2D"/>
    <w:rsid w:val="59FF0FA5"/>
    <w:rsid w:val="5A000A8E"/>
    <w:rsid w:val="5A080571"/>
    <w:rsid w:val="5A17285D"/>
    <w:rsid w:val="5A240C83"/>
    <w:rsid w:val="5A263841"/>
    <w:rsid w:val="5A291CD3"/>
    <w:rsid w:val="5A2942C5"/>
    <w:rsid w:val="5A2972E7"/>
    <w:rsid w:val="5A2D35A6"/>
    <w:rsid w:val="5A354144"/>
    <w:rsid w:val="5A5844B4"/>
    <w:rsid w:val="5A592752"/>
    <w:rsid w:val="5A612694"/>
    <w:rsid w:val="5A676E7E"/>
    <w:rsid w:val="5A6D5E64"/>
    <w:rsid w:val="5A72262B"/>
    <w:rsid w:val="5AA67D2A"/>
    <w:rsid w:val="5AAD35EA"/>
    <w:rsid w:val="5AC46778"/>
    <w:rsid w:val="5AC6317C"/>
    <w:rsid w:val="5AC6753D"/>
    <w:rsid w:val="5AC73BA1"/>
    <w:rsid w:val="5AD10443"/>
    <w:rsid w:val="5AED7FCA"/>
    <w:rsid w:val="5AF22D23"/>
    <w:rsid w:val="5AF7771D"/>
    <w:rsid w:val="5AFE2A62"/>
    <w:rsid w:val="5B0E4D1A"/>
    <w:rsid w:val="5B194559"/>
    <w:rsid w:val="5B4116AF"/>
    <w:rsid w:val="5B452071"/>
    <w:rsid w:val="5B4A19C1"/>
    <w:rsid w:val="5B61160A"/>
    <w:rsid w:val="5B725AF8"/>
    <w:rsid w:val="5B7648A8"/>
    <w:rsid w:val="5B775D7E"/>
    <w:rsid w:val="5B8A48E6"/>
    <w:rsid w:val="5B956418"/>
    <w:rsid w:val="5B991A3B"/>
    <w:rsid w:val="5BC563D1"/>
    <w:rsid w:val="5BD67568"/>
    <w:rsid w:val="5BE55149"/>
    <w:rsid w:val="5BE863BE"/>
    <w:rsid w:val="5C015F06"/>
    <w:rsid w:val="5C0A4429"/>
    <w:rsid w:val="5C3B6616"/>
    <w:rsid w:val="5C4D074E"/>
    <w:rsid w:val="5C5550EE"/>
    <w:rsid w:val="5C6A5EFC"/>
    <w:rsid w:val="5C761D5A"/>
    <w:rsid w:val="5C7F6811"/>
    <w:rsid w:val="5C84305D"/>
    <w:rsid w:val="5C8E069F"/>
    <w:rsid w:val="5C921182"/>
    <w:rsid w:val="5C93233C"/>
    <w:rsid w:val="5C9E53E4"/>
    <w:rsid w:val="5CB4024F"/>
    <w:rsid w:val="5CBA439E"/>
    <w:rsid w:val="5CCC28F6"/>
    <w:rsid w:val="5CDF2350"/>
    <w:rsid w:val="5CED4BD8"/>
    <w:rsid w:val="5CF165D1"/>
    <w:rsid w:val="5CF676B9"/>
    <w:rsid w:val="5CFB3226"/>
    <w:rsid w:val="5D0367DE"/>
    <w:rsid w:val="5D2F1FDE"/>
    <w:rsid w:val="5D3B7777"/>
    <w:rsid w:val="5D590770"/>
    <w:rsid w:val="5D63361F"/>
    <w:rsid w:val="5D8A3913"/>
    <w:rsid w:val="5D93041A"/>
    <w:rsid w:val="5DAD3772"/>
    <w:rsid w:val="5DB36DEC"/>
    <w:rsid w:val="5DC22276"/>
    <w:rsid w:val="5DC30C15"/>
    <w:rsid w:val="5DD249DA"/>
    <w:rsid w:val="5DD84E0C"/>
    <w:rsid w:val="5DE3356C"/>
    <w:rsid w:val="5DE61BF8"/>
    <w:rsid w:val="5DE97671"/>
    <w:rsid w:val="5DF12E1B"/>
    <w:rsid w:val="5DF33E16"/>
    <w:rsid w:val="5DFA4130"/>
    <w:rsid w:val="5DFE4A93"/>
    <w:rsid w:val="5E0153A7"/>
    <w:rsid w:val="5E0868B7"/>
    <w:rsid w:val="5E0C2AB6"/>
    <w:rsid w:val="5E144FE2"/>
    <w:rsid w:val="5E2D192C"/>
    <w:rsid w:val="5E575091"/>
    <w:rsid w:val="5E625D85"/>
    <w:rsid w:val="5E6B2E94"/>
    <w:rsid w:val="5E890F4D"/>
    <w:rsid w:val="5EA41AFF"/>
    <w:rsid w:val="5EAD3AAF"/>
    <w:rsid w:val="5EB5707F"/>
    <w:rsid w:val="5EBB3F36"/>
    <w:rsid w:val="5EE16E0E"/>
    <w:rsid w:val="5F104F47"/>
    <w:rsid w:val="5F1B7634"/>
    <w:rsid w:val="5F2226A1"/>
    <w:rsid w:val="5F31342E"/>
    <w:rsid w:val="5F480BF8"/>
    <w:rsid w:val="5F641260"/>
    <w:rsid w:val="5F6C11F1"/>
    <w:rsid w:val="5F6E5D32"/>
    <w:rsid w:val="5F7B792D"/>
    <w:rsid w:val="5FAC233E"/>
    <w:rsid w:val="5FB07DDE"/>
    <w:rsid w:val="5FBD609D"/>
    <w:rsid w:val="5FBE23A6"/>
    <w:rsid w:val="5FE200B1"/>
    <w:rsid w:val="5FEF518B"/>
    <w:rsid w:val="5FFE2601"/>
    <w:rsid w:val="600F4F78"/>
    <w:rsid w:val="60527CA1"/>
    <w:rsid w:val="60570E14"/>
    <w:rsid w:val="60636760"/>
    <w:rsid w:val="606E1E25"/>
    <w:rsid w:val="60847206"/>
    <w:rsid w:val="60A21976"/>
    <w:rsid w:val="60AC053A"/>
    <w:rsid w:val="60BD4A3E"/>
    <w:rsid w:val="60CE031B"/>
    <w:rsid w:val="60CF4167"/>
    <w:rsid w:val="60F20110"/>
    <w:rsid w:val="614E6FE2"/>
    <w:rsid w:val="615C55A7"/>
    <w:rsid w:val="61685495"/>
    <w:rsid w:val="617B63B1"/>
    <w:rsid w:val="61811998"/>
    <w:rsid w:val="61921F93"/>
    <w:rsid w:val="619A73AE"/>
    <w:rsid w:val="61A032B0"/>
    <w:rsid w:val="61C160E6"/>
    <w:rsid w:val="61C20D3A"/>
    <w:rsid w:val="61C324D0"/>
    <w:rsid w:val="61D84B3F"/>
    <w:rsid w:val="61D95CD0"/>
    <w:rsid w:val="61E10519"/>
    <w:rsid w:val="61E1456D"/>
    <w:rsid w:val="61E1471A"/>
    <w:rsid w:val="61E45BED"/>
    <w:rsid w:val="61E94EBF"/>
    <w:rsid w:val="61F10178"/>
    <w:rsid w:val="62003806"/>
    <w:rsid w:val="620A350F"/>
    <w:rsid w:val="6211635F"/>
    <w:rsid w:val="62150AC1"/>
    <w:rsid w:val="62330AA5"/>
    <w:rsid w:val="625C5DA2"/>
    <w:rsid w:val="626C5C77"/>
    <w:rsid w:val="62881C83"/>
    <w:rsid w:val="628B47E5"/>
    <w:rsid w:val="628E1E84"/>
    <w:rsid w:val="62980FE4"/>
    <w:rsid w:val="62A7161C"/>
    <w:rsid w:val="62CD4B5C"/>
    <w:rsid w:val="62DE4A0F"/>
    <w:rsid w:val="62ED370F"/>
    <w:rsid w:val="63083742"/>
    <w:rsid w:val="630D7E7A"/>
    <w:rsid w:val="632E59D5"/>
    <w:rsid w:val="635E4C90"/>
    <w:rsid w:val="63694B77"/>
    <w:rsid w:val="63802955"/>
    <w:rsid w:val="639C550B"/>
    <w:rsid w:val="63A33F1E"/>
    <w:rsid w:val="63B25644"/>
    <w:rsid w:val="63BF7F7E"/>
    <w:rsid w:val="63C312E6"/>
    <w:rsid w:val="63C31335"/>
    <w:rsid w:val="63D73651"/>
    <w:rsid w:val="63DB371A"/>
    <w:rsid w:val="63DB4780"/>
    <w:rsid w:val="63E52BFB"/>
    <w:rsid w:val="63E6123B"/>
    <w:rsid w:val="63F11FE7"/>
    <w:rsid w:val="63F15318"/>
    <w:rsid w:val="63F56294"/>
    <w:rsid w:val="63FC771A"/>
    <w:rsid w:val="640234D7"/>
    <w:rsid w:val="640D2243"/>
    <w:rsid w:val="644351B8"/>
    <w:rsid w:val="64465CE7"/>
    <w:rsid w:val="64682521"/>
    <w:rsid w:val="646A39FC"/>
    <w:rsid w:val="64704411"/>
    <w:rsid w:val="647761E1"/>
    <w:rsid w:val="64966E25"/>
    <w:rsid w:val="64B536C3"/>
    <w:rsid w:val="64BE6C38"/>
    <w:rsid w:val="64C646E6"/>
    <w:rsid w:val="64DA261E"/>
    <w:rsid w:val="652A5C0C"/>
    <w:rsid w:val="653C190A"/>
    <w:rsid w:val="65472E33"/>
    <w:rsid w:val="65481BA0"/>
    <w:rsid w:val="658409F7"/>
    <w:rsid w:val="65854DD2"/>
    <w:rsid w:val="658940E4"/>
    <w:rsid w:val="65A47938"/>
    <w:rsid w:val="65A57CF2"/>
    <w:rsid w:val="65B63B72"/>
    <w:rsid w:val="65C55701"/>
    <w:rsid w:val="65D91285"/>
    <w:rsid w:val="65DE057C"/>
    <w:rsid w:val="65F9003F"/>
    <w:rsid w:val="660D3B23"/>
    <w:rsid w:val="6616737C"/>
    <w:rsid w:val="661D6733"/>
    <w:rsid w:val="663267E5"/>
    <w:rsid w:val="663A4275"/>
    <w:rsid w:val="663B2F37"/>
    <w:rsid w:val="66507FAF"/>
    <w:rsid w:val="66636452"/>
    <w:rsid w:val="669153D1"/>
    <w:rsid w:val="66BC66FE"/>
    <w:rsid w:val="66BE185F"/>
    <w:rsid w:val="66CD6E2A"/>
    <w:rsid w:val="66D3287C"/>
    <w:rsid w:val="67275F6C"/>
    <w:rsid w:val="67312B7E"/>
    <w:rsid w:val="67391F20"/>
    <w:rsid w:val="676B0E03"/>
    <w:rsid w:val="67790397"/>
    <w:rsid w:val="67883959"/>
    <w:rsid w:val="67CA6A38"/>
    <w:rsid w:val="67CE65D4"/>
    <w:rsid w:val="67F54DB5"/>
    <w:rsid w:val="6804739B"/>
    <w:rsid w:val="680F5B22"/>
    <w:rsid w:val="68137502"/>
    <w:rsid w:val="68205402"/>
    <w:rsid w:val="682A65E5"/>
    <w:rsid w:val="6832438A"/>
    <w:rsid w:val="68491A66"/>
    <w:rsid w:val="6868376A"/>
    <w:rsid w:val="68724A69"/>
    <w:rsid w:val="687B0736"/>
    <w:rsid w:val="688713AF"/>
    <w:rsid w:val="689612CC"/>
    <w:rsid w:val="68A0304A"/>
    <w:rsid w:val="68B04992"/>
    <w:rsid w:val="68B2588B"/>
    <w:rsid w:val="68B32221"/>
    <w:rsid w:val="68B9615D"/>
    <w:rsid w:val="68C47C0A"/>
    <w:rsid w:val="68C62888"/>
    <w:rsid w:val="68CF7917"/>
    <w:rsid w:val="68D51266"/>
    <w:rsid w:val="68D777C2"/>
    <w:rsid w:val="68EB6164"/>
    <w:rsid w:val="68EC4303"/>
    <w:rsid w:val="69020CD3"/>
    <w:rsid w:val="69146D17"/>
    <w:rsid w:val="691778A8"/>
    <w:rsid w:val="69233F76"/>
    <w:rsid w:val="6924015A"/>
    <w:rsid w:val="69284EF1"/>
    <w:rsid w:val="692C188E"/>
    <w:rsid w:val="692F289B"/>
    <w:rsid w:val="69327721"/>
    <w:rsid w:val="69395F9B"/>
    <w:rsid w:val="69443FAB"/>
    <w:rsid w:val="69562625"/>
    <w:rsid w:val="696109F5"/>
    <w:rsid w:val="698526A2"/>
    <w:rsid w:val="69D8552F"/>
    <w:rsid w:val="69DC16B1"/>
    <w:rsid w:val="69E13D28"/>
    <w:rsid w:val="69E929EA"/>
    <w:rsid w:val="69ED1100"/>
    <w:rsid w:val="69EF4645"/>
    <w:rsid w:val="69F13364"/>
    <w:rsid w:val="69FC164B"/>
    <w:rsid w:val="6A0076BE"/>
    <w:rsid w:val="6A163846"/>
    <w:rsid w:val="6A3B53B4"/>
    <w:rsid w:val="6A4C7AD8"/>
    <w:rsid w:val="6A5B6C86"/>
    <w:rsid w:val="6A6A5158"/>
    <w:rsid w:val="6A980BFC"/>
    <w:rsid w:val="6AA212E8"/>
    <w:rsid w:val="6AB97C5B"/>
    <w:rsid w:val="6ABA6636"/>
    <w:rsid w:val="6AC8024C"/>
    <w:rsid w:val="6AD7688F"/>
    <w:rsid w:val="6B001D33"/>
    <w:rsid w:val="6B0B47C9"/>
    <w:rsid w:val="6B280993"/>
    <w:rsid w:val="6B3F0FA2"/>
    <w:rsid w:val="6B590CDE"/>
    <w:rsid w:val="6B5A0BC0"/>
    <w:rsid w:val="6B633DD7"/>
    <w:rsid w:val="6B6C0E24"/>
    <w:rsid w:val="6B6D1890"/>
    <w:rsid w:val="6B733597"/>
    <w:rsid w:val="6B890B35"/>
    <w:rsid w:val="6B972F4D"/>
    <w:rsid w:val="6BA0599A"/>
    <w:rsid w:val="6BB35C52"/>
    <w:rsid w:val="6BB54B38"/>
    <w:rsid w:val="6BB7007D"/>
    <w:rsid w:val="6BCA288B"/>
    <w:rsid w:val="6BE05625"/>
    <w:rsid w:val="6BF85153"/>
    <w:rsid w:val="6C1F4EC8"/>
    <w:rsid w:val="6C2569E5"/>
    <w:rsid w:val="6C307F06"/>
    <w:rsid w:val="6C5972EA"/>
    <w:rsid w:val="6C7171CF"/>
    <w:rsid w:val="6CA57488"/>
    <w:rsid w:val="6CA973BE"/>
    <w:rsid w:val="6CB455A7"/>
    <w:rsid w:val="6CEA4349"/>
    <w:rsid w:val="6CEE5050"/>
    <w:rsid w:val="6D010CFF"/>
    <w:rsid w:val="6D0C4EFB"/>
    <w:rsid w:val="6D0D13E3"/>
    <w:rsid w:val="6D243E1C"/>
    <w:rsid w:val="6D341C46"/>
    <w:rsid w:val="6D4336BC"/>
    <w:rsid w:val="6D534CF3"/>
    <w:rsid w:val="6D5542BD"/>
    <w:rsid w:val="6D5928D5"/>
    <w:rsid w:val="6D6166E1"/>
    <w:rsid w:val="6D616D8E"/>
    <w:rsid w:val="6D6A7068"/>
    <w:rsid w:val="6D864C97"/>
    <w:rsid w:val="6D8A3C7B"/>
    <w:rsid w:val="6DAE0101"/>
    <w:rsid w:val="6DAE05EF"/>
    <w:rsid w:val="6DB07230"/>
    <w:rsid w:val="6DB46F24"/>
    <w:rsid w:val="6DB73F4B"/>
    <w:rsid w:val="6DC16788"/>
    <w:rsid w:val="6DC477FF"/>
    <w:rsid w:val="6DCF2441"/>
    <w:rsid w:val="6DF54CD6"/>
    <w:rsid w:val="6E265EA9"/>
    <w:rsid w:val="6E441836"/>
    <w:rsid w:val="6E60162D"/>
    <w:rsid w:val="6E641AE9"/>
    <w:rsid w:val="6E6A440A"/>
    <w:rsid w:val="6E6A793B"/>
    <w:rsid w:val="6E8B1D94"/>
    <w:rsid w:val="6EFA7870"/>
    <w:rsid w:val="6F3665C3"/>
    <w:rsid w:val="6F3C4304"/>
    <w:rsid w:val="6F811C72"/>
    <w:rsid w:val="6F974E52"/>
    <w:rsid w:val="6FA025A5"/>
    <w:rsid w:val="6FA260BF"/>
    <w:rsid w:val="6FA80488"/>
    <w:rsid w:val="6FC07B14"/>
    <w:rsid w:val="6FDC13C6"/>
    <w:rsid w:val="6FE07396"/>
    <w:rsid w:val="6FE27098"/>
    <w:rsid w:val="6FF94564"/>
    <w:rsid w:val="7006384D"/>
    <w:rsid w:val="70067B35"/>
    <w:rsid w:val="70092A0C"/>
    <w:rsid w:val="701D4BDA"/>
    <w:rsid w:val="701D7397"/>
    <w:rsid w:val="70200D94"/>
    <w:rsid w:val="70231795"/>
    <w:rsid w:val="70375916"/>
    <w:rsid w:val="703A77A5"/>
    <w:rsid w:val="703C6E40"/>
    <w:rsid w:val="703D7F53"/>
    <w:rsid w:val="704E6FBD"/>
    <w:rsid w:val="705813EC"/>
    <w:rsid w:val="70677A20"/>
    <w:rsid w:val="707F65FF"/>
    <w:rsid w:val="709C0C7D"/>
    <w:rsid w:val="70B37AA7"/>
    <w:rsid w:val="70CB63AF"/>
    <w:rsid w:val="70CE5AF3"/>
    <w:rsid w:val="710279EA"/>
    <w:rsid w:val="710A79DF"/>
    <w:rsid w:val="711E5048"/>
    <w:rsid w:val="712B645D"/>
    <w:rsid w:val="712C539E"/>
    <w:rsid w:val="71420E5F"/>
    <w:rsid w:val="715C2618"/>
    <w:rsid w:val="716D7ACD"/>
    <w:rsid w:val="717D5E4E"/>
    <w:rsid w:val="718B5580"/>
    <w:rsid w:val="719B274F"/>
    <w:rsid w:val="71A80E71"/>
    <w:rsid w:val="71B77E8E"/>
    <w:rsid w:val="71BE3029"/>
    <w:rsid w:val="71C729CE"/>
    <w:rsid w:val="71F23ADD"/>
    <w:rsid w:val="722571DC"/>
    <w:rsid w:val="72264B1A"/>
    <w:rsid w:val="725132FD"/>
    <w:rsid w:val="725E7720"/>
    <w:rsid w:val="7270170F"/>
    <w:rsid w:val="727037E1"/>
    <w:rsid w:val="72734A41"/>
    <w:rsid w:val="727E70F4"/>
    <w:rsid w:val="72850327"/>
    <w:rsid w:val="728C277F"/>
    <w:rsid w:val="72961155"/>
    <w:rsid w:val="72980C08"/>
    <w:rsid w:val="72A47C2A"/>
    <w:rsid w:val="72B52B54"/>
    <w:rsid w:val="72B70F5F"/>
    <w:rsid w:val="72C03987"/>
    <w:rsid w:val="72E00899"/>
    <w:rsid w:val="72E4665D"/>
    <w:rsid w:val="72E7797E"/>
    <w:rsid w:val="72EF06E6"/>
    <w:rsid w:val="72F169F8"/>
    <w:rsid w:val="72F239E0"/>
    <w:rsid w:val="73125F7B"/>
    <w:rsid w:val="732279B6"/>
    <w:rsid w:val="73323E35"/>
    <w:rsid w:val="733D2D00"/>
    <w:rsid w:val="733F6F0B"/>
    <w:rsid w:val="7343086C"/>
    <w:rsid w:val="734D2FED"/>
    <w:rsid w:val="734E4564"/>
    <w:rsid w:val="7352238B"/>
    <w:rsid w:val="73724F46"/>
    <w:rsid w:val="737D315F"/>
    <w:rsid w:val="73880656"/>
    <w:rsid w:val="73995530"/>
    <w:rsid w:val="739E795E"/>
    <w:rsid w:val="73AB1664"/>
    <w:rsid w:val="73B269D2"/>
    <w:rsid w:val="73C7335D"/>
    <w:rsid w:val="73EC13F0"/>
    <w:rsid w:val="73FD2197"/>
    <w:rsid w:val="74031FE6"/>
    <w:rsid w:val="741208A1"/>
    <w:rsid w:val="742F5638"/>
    <w:rsid w:val="744B310A"/>
    <w:rsid w:val="747163C5"/>
    <w:rsid w:val="7488519F"/>
    <w:rsid w:val="749C6B81"/>
    <w:rsid w:val="74A6563D"/>
    <w:rsid w:val="74A707E6"/>
    <w:rsid w:val="74AA218F"/>
    <w:rsid w:val="74B71269"/>
    <w:rsid w:val="74BE2736"/>
    <w:rsid w:val="74D7788F"/>
    <w:rsid w:val="74E31211"/>
    <w:rsid w:val="74E33970"/>
    <w:rsid w:val="74FF2FE5"/>
    <w:rsid w:val="756834A7"/>
    <w:rsid w:val="756B0B18"/>
    <w:rsid w:val="757C6655"/>
    <w:rsid w:val="75A20102"/>
    <w:rsid w:val="75A343C2"/>
    <w:rsid w:val="75A97885"/>
    <w:rsid w:val="75BB607F"/>
    <w:rsid w:val="75C36913"/>
    <w:rsid w:val="75CD7D84"/>
    <w:rsid w:val="760F4CF5"/>
    <w:rsid w:val="76403D18"/>
    <w:rsid w:val="764560C3"/>
    <w:rsid w:val="76507930"/>
    <w:rsid w:val="76553392"/>
    <w:rsid w:val="76750F70"/>
    <w:rsid w:val="76834F48"/>
    <w:rsid w:val="76C9542E"/>
    <w:rsid w:val="76D04BB8"/>
    <w:rsid w:val="76D27E5D"/>
    <w:rsid w:val="76DD386E"/>
    <w:rsid w:val="76E532AD"/>
    <w:rsid w:val="76F00B6C"/>
    <w:rsid w:val="76F3620E"/>
    <w:rsid w:val="76FB1F0E"/>
    <w:rsid w:val="771B403E"/>
    <w:rsid w:val="7739366A"/>
    <w:rsid w:val="7747507C"/>
    <w:rsid w:val="77532C27"/>
    <w:rsid w:val="775C11AD"/>
    <w:rsid w:val="77866058"/>
    <w:rsid w:val="77A35C04"/>
    <w:rsid w:val="77D6542D"/>
    <w:rsid w:val="77F67DFB"/>
    <w:rsid w:val="78254845"/>
    <w:rsid w:val="782F61A1"/>
    <w:rsid w:val="78492554"/>
    <w:rsid w:val="78681A98"/>
    <w:rsid w:val="78772807"/>
    <w:rsid w:val="789548ED"/>
    <w:rsid w:val="78982086"/>
    <w:rsid w:val="789E4AD6"/>
    <w:rsid w:val="78A34357"/>
    <w:rsid w:val="78A959BC"/>
    <w:rsid w:val="78C859B2"/>
    <w:rsid w:val="78DE4E02"/>
    <w:rsid w:val="78EB12C5"/>
    <w:rsid w:val="792955BB"/>
    <w:rsid w:val="7930558A"/>
    <w:rsid w:val="79571931"/>
    <w:rsid w:val="798D0687"/>
    <w:rsid w:val="79906B5C"/>
    <w:rsid w:val="79BD69CB"/>
    <w:rsid w:val="79CB4C86"/>
    <w:rsid w:val="79E66EC1"/>
    <w:rsid w:val="79FF112C"/>
    <w:rsid w:val="7A1B35DE"/>
    <w:rsid w:val="7A48612B"/>
    <w:rsid w:val="7A5458DF"/>
    <w:rsid w:val="7A7E71F1"/>
    <w:rsid w:val="7A8B3449"/>
    <w:rsid w:val="7A9816B9"/>
    <w:rsid w:val="7AA55208"/>
    <w:rsid w:val="7AD05098"/>
    <w:rsid w:val="7AD06809"/>
    <w:rsid w:val="7ADE2270"/>
    <w:rsid w:val="7AE025A8"/>
    <w:rsid w:val="7AE02E9C"/>
    <w:rsid w:val="7AE33A6B"/>
    <w:rsid w:val="7B0F4634"/>
    <w:rsid w:val="7B1B25CA"/>
    <w:rsid w:val="7B1C13F5"/>
    <w:rsid w:val="7B1F341A"/>
    <w:rsid w:val="7B3724AE"/>
    <w:rsid w:val="7B547E0B"/>
    <w:rsid w:val="7B7A5427"/>
    <w:rsid w:val="7B977F07"/>
    <w:rsid w:val="7B9B282B"/>
    <w:rsid w:val="7B9D5C07"/>
    <w:rsid w:val="7BA57A05"/>
    <w:rsid w:val="7BCC5D3F"/>
    <w:rsid w:val="7BD065B5"/>
    <w:rsid w:val="7BDB4B49"/>
    <w:rsid w:val="7BF5711D"/>
    <w:rsid w:val="7BF80FE3"/>
    <w:rsid w:val="7BFB2554"/>
    <w:rsid w:val="7BFB7768"/>
    <w:rsid w:val="7C054F62"/>
    <w:rsid w:val="7C0B3E2F"/>
    <w:rsid w:val="7C0E537A"/>
    <w:rsid w:val="7C104F71"/>
    <w:rsid w:val="7C196A02"/>
    <w:rsid w:val="7C1F16AC"/>
    <w:rsid w:val="7C3C65FB"/>
    <w:rsid w:val="7C797A5A"/>
    <w:rsid w:val="7C7F2EF2"/>
    <w:rsid w:val="7C975E12"/>
    <w:rsid w:val="7C9B1245"/>
    <w:rsid w:val="7C9F240C"/>
    <w:rsid w:val="7CAD7C4E"/>
    <w:rsid w:val="7CC066D6"/>
    <w:rsid w:val="7CC4561D"/>
    <w:rsid w:val="7CDF1E37"/>
    <w:rsid w:val="7CE4166E"/>
    <w:rsid w:val="7CE67A59"/>
    <w:rsid w:val="7CF019D3"/>
    <w:rsid w:val="7D1439CC"/>
    <w:rsid w:val="7D1B5CBF"/>
    <w:rsid w:val="7D273147"/>
    <w:rsid w:val="7D4A22CA"/>
    <w:rsid w:val="7D5B7581"/>
    <w:rsid w:val="7D617F7F"/>
    <w:rsid w:val="7D635875"/>
    <w:rsid w:val="7D8E200E"/>
    <w:rsid w:val="7D9B4B4D"/>
    <w:rsid w:val="7DB276D4"/>
    <w:rsid w:val="7DC67286"/>
    <w:rsid w:val="7DE27D06"/>
    <w:rsid w:val="7DFF52F9"/>
    <w:rsid w:val="7E0A1BD7"/>
    <w:rsid w:val="7E11114B"/>
    <w:rsid w:val="7E19106A"/>
    <w:rsid w:val="7E296DD9"/>
    <w:rsid w:val="7E2D7A47"/>
    <w:rsid w:val="7E350EA6"/>
    <w:rsid w:val="7E3A3BF6"/>
    <w:rsid w:val="7E46136A"/>
    <w:rsid w:val="7E567589"/>
    <w:rsid w:val="7E7056CF"/>
    <w:rsid w:val="7E712F98"/>
    <w:rsid w:val="7E7F5159"/>
    <w:rsid w:val="7E820D27"/>
    <w:rsid w:val="7E8675BA"/>
    <w:rsid w:val="7E922E04"/>
    <w:rsid w:val="7E9D31BD"/>
    <w:rsid w:val="7EBB0F2A"/>
    <w:rsid w:val="7EEA196E"/>
    <w:rsid w:val="7EFE1D6A"/>
    <w:rsid w:val="7F0763E3"/>
    <w:rsid w:val="7F0D5B14"/>
    <w:rsid w:val="7F1A2C7C"/>
    <w:rsid w:val="7F2D4624"/>
    <w:rsid w:val="7F2E19D4"/>
    <w:rsid w:val="7F367CF6"/>
    <w:rsid w:val="7F4B2814"/>
    <w:rsid w:val="7F6B6B15"/>
    <w:rsid w:val="7F6F0A79"/>
    <w:rsid w:val="7F6F34A7"/>
    <w:rsid w:val="7F822E69"/>
    <w:rsid w:val="7F8E7819"/>
    <w:rsid w:val="7F985618"/>
    <w:rsid w:val="7F9B1752"/>
    <w:rsid w:val="7F9D0730"/>
    <w:rsid w:val="7F9F683C"/>
    <w:rsid w:val="7FD46327"/>
    <w:rsid w:val="7FE77D5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iPriority="9"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qFormat="1" w:unhideWhenUsed="0" w:uiPriority="0"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iPriority="99"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0" w:semiHidden="0" w:name="Date"/>
    <w:lsdException w:qFormat="1" w:uiPriority="99" w:semiHidden="0" w:name="Body Text First Indent"/>
    <w:lsdException w:qFormat="1" w:unhideWhenUsed="0" w:uiPriority="0" w:semiHidden="0" w:name="Body Text First Indent 2"/>
    <w:lsdException w:qFormat="1" w:unhideWhenUsed="0" w:uiPriority="0" w:semiHidden="0" w:name="Note Heading"/>
    <w:lsdException w:qFormat="1" w:uiPriority="99" w:semiHidden="0" w:name="Body Text 2"/>
    <w:lsdException w:uiPriority="99" w:name="Body Text 3"/>
    <w:lsdException w:qFormat="1" w:uiPriority="99" w:semiHidden="0" w:name="Body Text Indent 2"/>
    <w:lsdException w:qFormat="1" w:unhideWhenUsed="0" w:uiPriority="0" w:semiHidden="0" w:name="Body Text Indent 3"/>
    <w:lsdException w:qFormat="1" w:uiPriority="99" w:name="Block Text"/>
    <w:lsdException w:qFormat="1" w:uiPriority="99" w:semiHidden="0" w:name="Hyperlink"/>
    <w:lsdException w:qFormat="1" w:uiPriority="99" w:name="FollowedHyperlink"/>
    <w:lsdException w:qFormat="1" w:unhideWhenUsed="0" w:uiPriority="0" w:semiHidden="0" w:name="Strong"/>
    <w:lsdException w:qFormat="1" w:unhideWhenUsed="0" w:uiPriority="0" w:semiHidden="0" w:name="Emphasis"/>
    <w:lsdException w:qFormat="1" w:uiPriority="0" w:semiHidden="0"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4"/>
      <w:szCs w:val="24"/>
      <w:lang w:val="en-US" w:eastAsia="zh-CN" w:bidi="ar-SA"/>
    </w:rPr>
  </w:style>
  <w:style w:type="paragraph" w:styleId="4">
    <w:name w:val="heading 1"/>
    <w:basedOn w:val="1"/>
    <w:next w:val="1"/>
    <w:link w:val="104"/>
    <w:qFormat/>
    <w:uiPriority w:val="9"/>
    <w:pPr>
      <w:keepNext/>
      <w:keepLines/>
      <w:spacing w:before="340" w:after="330" w:line="578" w:lineRule="auto"/>
      <w:outlineLvl w:val="0"/>
    </w:pPr>
    <w:rPr>
      <w:b/>
      <w:bCs/>
      <w:kern w:val="44"/>
      <w:sz w:val="44"/>
      <w:szCs w:val="44"/>
    </w:rPr>
  </w:style>
  <w:style w:type="paragraph" w:styleId="5">
    <w:name w:val="heading 2"/>
    <w:basedOn w:val="1"/>
    <w:next w:val="1"/>
    <w:link w:val="69"/>
    <w:unhideWhenUsed/>
    <w:qFormat/>
    <w:uiPriority w:val="0"/>
    <w:pPr>
      <w:keepNext/>
      <w:keepLines/>
      <w:spacing w:before="260" w:after="260" w:line="416" w:lineRule="auto"/>
      <w:outlineLvl w:val="1"/>
    </w:pPr>
    <w:rPr>
      <w:rFonts w:ascii="Cambria" w:hAnsi="Cambria"/>
      <w:b/>
      <w:bCs/>
      <w:sz w:val="32"/>
      <w:szCs w:val="32"/>
    </w:rPr>
  </w:style>
  <w:style w:type="paragraph" w:styleId="6">
    <w:name w:val="heading 3"/>
    <w:basedOn w:val="1"/>
    <w:next w:val="1"/>
    <w:link w:val="99"/>
    <w:unhideWhenUsed/>
    <w:qFormat/>
    <w:uiPriority w:val="0"/>
    <w:pPr>
      <w:keepNext/>
      <w:keepLines/>
      <w:spacing w:before="260" w:after="260" w:line="416" w:lineRule="auto"/>
      <w:outlineLvl w:val="2"/>
    </w:pPr>
    <w:rPr>
      <w:b/>
      <w:bCs/>
      <w:sz w:val="32"/>
      <w:szCs w:val="32"/>
    </w:rPr>
  </w:style>
  <w:style w:type="paragraph" w:styleId="7">
    <w:name w:val="heading 4"/>
    <w:basedOn w:val="1"/>
    <w:next w:val="1"/>
    <w:link w:val="126"/>
    <w:qFormat/>
    <w:uiPriority w:val="0"/>
    <w:pPr>
      <w:spacing w:before="26"/>
      <w:ind w:left="212"/>
      <w:outlineLvl w:val="3"/>
    </w:pPr>
    <w:rPr>
      <w:rFonts w:ascii="宋体" w:hAnsi="宋体"/>
      <w:b/>
      <w:bCs/>
    </w:rPr>
  </w:style>
  <w:style w:type="paragraph" w:styleId="8">
    <w:name w:val="heading 5"/>
    <w:basedOn w:val="1"/>
    <w:next w:val="1"/>
    <w:link w:val="123"/>
    <w:qFormat/>
    <w:uiPriority w:val="0"/>
    <w:pPr>
      <w:keepNext/>
      <w:keepLines/>
      <w:spacing w:before="280" w:after="290" w:line="376" w:lineRule="auto"/>
      <w:outlineLvl w:val="4"/>
    </w:pPr>
    <w:rPr>
      <w:b/>
      <w:bCs/>
      <w:sz w:val="28"/>
      <w:szCs w:val="28"/>
    </w:rPr>
  </w:style>
  <w:style w:type="paragraph" w:styleId="9">
    <w:name w:val="heading 6"/>
    <w:basedOn w:val="1"/>
    <w:next w:val="10"/>
    <w:link w:val="124"/>
    <w:qFormat/>
    <w:uiPriority w:val="0"/>
    <w:pPr>
      <w:keepNext/>
      <w:keepLines/>
      <w:widowControl/>
      <w:tabs>
        <w:tab w:val="left" w:pos="3260"/>
      </w:tabs>
      <w:adjustRightInd w:val="0"/>
      <w:snapToGrid w:val="0"/>
      <w:spacing w:before="240" w:after="64" w:line="320" w:lineRule="auto"/>
      <w:ind w:left="3260" w:hanging="3260"/>
      <w:outlineLvl w:val="5"/>
    </w:pPr>
    <w:rPr>
      <w:rFonts w:ascii="Arial" w:hAnsi="Arial" w:eastAsia="黑体"/>
      <w:b/>
      <w:snapToGrid w:val="0"/>
      <w:kern w:val="0"/>
      <w:szCs w:val="20"/>
    </w:rPr>
  </w:style>
  <w:style w:type="paragraph" w:styleId="11">
    <w:name w:val="heading 7"/>
    <w:basedOn w:val="1"/>
    <w:next w:val="1"/>
    <w:link w:val="125"/>
    <w:qFormat/>
    <w:uiPriority w:val="0"/>
    <w:pPr>
      <w:keepNext/>
      <w:keepLines/>
      <w:overflowPunct w:val="0"/>
      <w:spacing w:line="360" w:lineRule="auto"/>
      <w:jc w:val="left"/>
      <w:textAlignment w:val="baseline"/>
      <w:outlineLvl w:val="6"/>
    </w:pPr>
    <w:rPr>
      <w:spacing w:val="-4"/>
      <w:kern w:val="20"/>
      <w:sz w:val="28"/>
      <w:szCs w:val="20"/>
    </w:rPr>
  </w:style>
  <w:style w:type="paragraph" w:styleId="12">
    <w:name w:val="heading 8"/>
    <w:basedOn w:val="1"/>
    <w:next w:val="1"/>
    <w:link w:val="63"/>
    <w:qFormat/>
    <w:uiPriority w:val="0"/>
    <w:pPr>
      <w:keepNext/>
      <w:keepLines/>
      <w:spacing w:line="312" w:lineRule="auto"/>
      <w:jc w:val="right"/>
      <w:outlineLvl w:val="7"/>
    </w:pPr>
    <w:rPr>
      <w:b/>
      <w:kern w:val="0"/>
      <w:sz w:val="21"/>
      <w:szCs w:val="21"/>
    </w:rPr>
  </w:style>
  <w:style w:type="character" w:default="1" w:styleId="46">
    <w:name w:val="Default Paragraph Font"/>
    <w:semiHidden/>
    <w:unhideWhenUsed/>
    <w:qFormat/>
    <w:uiPriority w:val="1"/>
  </w:style>
  <w:style w:type="table" w:default="1" w:styleId="44">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153"/>
    <w:unhideWhenUsed/>
    <w:qFormat/>
    <w:uiPriority w:val="99"/>
    <w:pPr>
      <w:spacing w:after="120"/>
      <w:ind w:firstLine="420" w:firstLineChars="100"/>
    </w:pPr>
    <w:rPr>
      <w:rFonts w:eastAsiaTheme="minorEastAsia" w:cstheme="minorBidi"/>
      <w:b w:val="0"/>
      <w:bCs w:val="0"/>
      <w:sz w:val="21"/>
      <w:szCs w:val="22"/>
    </w:rPr>
  </w:style>
  <w:style w:type="paragraph" w:styleId="3">
    <w:name w:val="Body Text"/>
    <w:basedOn w:val="1"/>
    <w:next w:val="1"/>
    <w:link w:val="57"/>
    <w:qFormat/>
    <w:uiPriority w:val="0"/>
    <w:rPr>
      <w:b/>
      <w:bCs/>
    </w:rPr>
  </w:style>
  <w:style w:type="paragraph" w:styleId="10">
    <w:name w:val="Normal Indent"/>
    <w:basedOn w:val="1"/>
    <w:link w:val="82"/>
    <w:qFormat/>
    <w:uiPriority w:val="0"/>
    <w:pPr>
      <w:ind w:firstLine="420" w:firstLineChars="200"/>
    </w:pPr>
    <w:rPr>
      <w:szCs w:val="20"/>
    </w:rPr>
  </w:style>
  <w:style w:type="paragraph" w:styleId="13">
    <w:name w:val="toc 7"/>
    <w:basedOn w:val="1"/>
    <w:next w:val="1"/>
    <w:unhideWhenUsed/>
    <w:qFormat/>
    <w:uiPriority w:val="39"/>
    <w:pPr>
      <w:ind w:left="1440"/>
      <w:jc w:val="left"/>
    </w:pPr>
    <w:rPr>
      <w:rFonts w:asciiTheme="minorHAnsi" w:hAnsiTheme="minorHAnsi"/>
      <w:sz w:val="18"/>
      <w:szCs w:val="18"/>
    </w:rPr>
  </w:style>
  <w:style w:type="paragraph" w:styleId="14">
    <w:name w:val="Note Heading"/>
    <w:basedOn w:val="1"/>
    <w:next w:val="1"/>
    <w:link w:val="121"/>
    <w:qFormat/>
    <w:uiPriority w:val="0"/>
    <w:pPr>
      <w:jc w:val="center"/>
    </w:pPr>
    <w:rPr>
      <w:rFonts w:ascii="Calibri" w:hAnsi="Calibri"/>
    </w:rPr>
  </w:style>
  <w:style w:type="paragraph" w:styleId="15">
    <w:name w:val="caption"/>
    <w:basedOn w:val="1"/>
    <w:next w:val="1"/>
    <w:qFormat/>
    <w:uiPriority w:val="0"/>
    <w:pPr>
      <w:spacing w:before="6" w:after="6" w:line="0" w:lineRule="atLeast"/>
    </w:pPr>
    <w:rPr>
      <w:rFonts w:hint="eastAsia" w:ascii="Arial" w:hAnsi="Arial" w:cs="黑体"/>
      <w:kern w:val="24"/>
    </w:rPr>
  </w:style>
  <w:style w:type="paragraph" w:styleId="16">
    <w:name w:val="Document Map"/>
    <w:basedOn w:val="1"/>
    <w:link w:val="95"/>
    <w:unhideWhenUsed/>
    <w:qFormat/>
    <w:uiPriority w:val="0"/>
    <w:rPr>
      <w:rFonts w:ascii="宋体"/>
      <w:sz w:val="18"/>
      <w:szCs w:val="18"/>
    </w:rPr>
  </w:style>
  <w:style w:type="paragraph" w:styleId="17">
    <w:name w:val="annotation text"/>
    <w:basedOn w:val="1"/>
    <w:link w:val="83"/>
    <w:qFormat/>
    <w:uiPriority w:val="0"/>
    <w:pPr>
      <w:ind w:firstLine="425"/>
      <w:jc w:val="left"/>
    </w:pPr>
    <w:rPr>
      <w:szCs w:val="20"/>
    </w:rPr>
  </w:style>
  <w:style w:type="paragraph" w:styleId="18">
    <w:name w:val="Body Text Indent"/>
    <w:basedOn w:val="1"/>
    <w:link w:val="62"/>
    <w:unhideWhenUsed/>
    <w:qFormat/>
    <w:uiPriority w:val="0"/>
    <w:pPr>
      <w:spacing w:after="120"/>
      <w:ind w:left="420" w:leftChars="200"/>
    </w:pPr>
  </w:style>
  <w:style w:type="paragraph" w:styleId="19">
    <w:name w:val="Block Text"/>
    <w:basedOn w:val="1"/>
    <w:semiHidden/>
    <w:unhideWhenUsed/>
    <w:qFormat/>
    <w:uiPriority w:val="99"/>
    <w:pPr>
      <w:spacing w:after="120"/>
      <w:ind w:left="1440" w:leftChars="700" w:right="1440" w:rightChars="700"/>
    </w:pPr>
  </w:style>
  <w:style w:type="paragraph" w:styleId="20">
    <w:name w:val="toc 5"/>
    <w:basedOn w:val="1"/>
    <w:next w:val="1"/>
    <w:unhideWhenUsed/>
    <w:qFormat/>
    <w:uiPriority w:val="39"/>
    <w:pPr>
      <w:ind w:left="960"/>
      <w:jc w:val="left"/>
    </w:pPr>
    <w:rPr>
      <w:rFonts w:asciiTheme="minorHAnsi" w:hAnsiTheme="minorHAnsi"/>
      <w:sz w:val="18"/>
      <w:szCs w:val="18"/>
    </w:rPr>
  </w:style>
  <w:style w:type="paragraph" w:styleId="21">
    <w:name w:val="toc 3"/>
    <w:basedOn w:val="1"/>
    <w:next w:val="1"/>
    <w:unhideWhenUsed/>
    <w:qFormat/>
    <w:uiPriority w:val="39"/>
    <w:pPr>
      <w:ind w:left="480"/>
      <w:jc w:val="left"/>
    </w:pPr>
    <w:rPr>
      <w:rFonts w:asciiTheme="minorHAnsi" w:hAnsiTheme="minorHAnsi"/>
      <w:i/>
      <w:iCs/>
      <w:sz w:val="20"/>
      <w:szCs w:val="20"/>
    </w:rPr>
  </w:style>
  <w:style w:type="paragraph" w:styleId="22">
    <w:name w:val="Plain Text"/>
    <w:basedOn w:val="1"/>
    <w:link w:val="77"/>
    <w:qFormat/>
    <w:uiPriority w:val="0"/>
    <w:rPr>
      <w:rFonts w:ascii="宋体" w:hAnsi="Courier New"/>
      <w:sz w:val="21"/>
      <w:szCs w:val="21"/>
    </w:rPr>
  </w:style>
  <w:style w:type="paragraph" w:styleId="23">
    <w:name w:val="toc 8"/>
    <w:basedOn w:val="1"/>
    <w:next w:val="1"/>
    <w:unhideWhenUsed/>
    <w:qFormat/>
    <w:uiPriority w:val="39"/>
    <w:pPr>
      <w:ind w:left="1680"/>
      <w:jc w:val="left"/>
    </w:pPr>
    <w:rPr>
      <w:rFonts w:asciiTheme="minorHAnsi" w:hAnsiTheme="minorHAnsi"/>
      <w:sz w:val="18"/>
      <w:szCs w:val="18"/>
    </w:rPr>
  </w:style>
  <w:style w:type="paragraph" w:styleId="24">
    <w:name w:val="Date"/>
    <w:basedOn w:val="1"/>
    <w:next w:val="1"/>
    <w:link w:val="151"/>
    <w:unhideWhenUsed/>
    <w:qFormat/>
    <w:uiPriority w:val="0"/>
    <w:pPr>
      <w:ind w:left="100" w:leftChars="2500"/>
    </w:pPr>
    <w:rPr>
      <w:rFonts w:eastAsiaTheme="minorEastAsia" w:cstheme="minorBidi"/>
      <w:sz w:val="21"/>
      <w:szCs w:val="20"/>
    </w:rPr>
  </w:style>
  <w:style w:type="paragraph" w:styleId="25">
    <w:name w:val="Body Text Indent 2"/>
    <w:basedOn w:val="1"/>
    <w:link w:val="72"/>
    <w:unhideWhenUsed/>
    <w:qFormat/>
    <w:uiPriority w:val="99"/>
    <w:pPr>
      <w:spacing w:after="120" w:line="480" w:lineRule="auto"/>
      <w:ind w:left="420" w:leftChars="200"/>
    </w:pPr>
  </w:style>
  <w:style w:type="paragraph" w:styleId="26">
    <w:name w:val="Balloon Text"/>
    <w:basedOn w:val="1"/>
    <w:link w:val="97"/>
    <w:unhideWhenUsed/>
    <w:qFormat/>
    <w:uiPriority w:val="99"/>
    <w:rPr>
      <w:sz w:val="18"/>
      <w:szCs w:val="18"/>
    </w:rPr>
  </w:style>
  <w:style w:type="paragraph" w:styleId="27">
    <w:name w:val="footer"/>
    <w:basedOn w:val="1"/>
    <w:link w:val="56"/>
    <w:unhideWhenUsed/>
    <w:qFormat/>
    <w:uiPriority w:val="99"/>
    <w:pPr>
      <w:tabs>
        <w:tab w:val="center" w:pos="4153"/>
        <w:tab w:val="right" w:pos="8306"/>
      </w:tabs>
      <w:snapToGrid w:val="0"/>
      <w:jc w:val="left"/>
    </w:pPr>
    <w:rPr>
      <w:sz w:val="18"/>
      <w:szCs w:val="18"/>
    </w:rPr>
  </w:style>
  <w:style w:type="paragraph" w:styleId="28">
    <w:name w:val="header"/>
    <w:basedOn w:val="1"/>
    <w:link w:val="55"/>
    <w:unhideWhenUsed/>
    <w:qFormat/>
    <w:uiPriority w:val="99"/>
    <w:pPr>
      <w:pBdr>
        <w:bottom w:val="single" w:color="auto" w:sz="6" w:space="1"/>
      </w:pBdr>
      <w:tabs>
        <w:tab w:val="center" w:pos="4153"/>
        <w:tab w:val="right" w:pos="8306"/>
      </w:tabs>
      <w:snapToGrid w:val="0"/>
      <w:jc w:val="center"/>
    </w:pPr>
    <w:rPr>
      <w:sz w:val="18"/>
      <w:szCs w:val="18"/>
    </w:rPr>
  </w:style>
  <w:style w:type="paragraph" w:styleId="29">
    <w:name w:val="toc 1"/>
    <w:basedOn w:val="1"/>
    <w:next w:val="1"/>
    <w:unhideWhenUsed/>
    <w:qFormat/>
    <w:uiPriority w:val="39"/>
    <w:pPr>
      <w:spacing w:before="120" w:after="120"/>
      <w:jc w:val="left"/>
    </w:pPr>
    <w:rPr>
      <w:rFonts w:asciiTheme="minorHAnsi" w:hAnsiTheme="minorHAnsi"/>
      <w:b/>
      <w:bCs/>
      <w:caps/>
      <w:sz w:val="20"/>
      <w:szCs w:val="20"/>
    </w:rPr>
  </w:style>
  <w:style w:type="paragraph" w:styleId="30">
    <w:name w:val="toc 4"/>
    <w:basedOn w:val="1"/>
    <w:next w:val="1"/>
    <w:unhideWhenUsed/>
    <w:qFormat/>
    <w:uiPriority w:val="39"/>
    <w:pPr>
      <w:ind w:left="720"/>
      <w:jc w:val="left"/>
    </w:pPr>
    <w:rPr>
      <w:rFonts w:asciiTheme="minorHAnsi" w:hAnsiTheme="minorHAnsi"/>
      <w:sz w:val="18"/>
      <w:szCs w:val="18"/>
    </w:rPr>
  </w:style>
  <w:style w:type="paragraph" w:styleId="31">
    <w:name w:val="Subtitle"/>
    <w:basedOn w:val="1"/>
    <w:next w:val="1"/>
    <w:link w:val="58"/>
    <w:qFormat/>
    <w:uiPriority w:val="11"/>
    <w:pPr>
      <w:spacing w:line="360" w:lineRule="auto"/>
      <w:ind w:firstLine="200" w:firstLineChars="200"/>
      <w:outlineLvl w:val="1"/>
    </w:pPr>
    <w:rPr>
      <w:bCs/>
      <w:kern w:val="28"/>
      <w:szCs w:val="32"/>
    </w:rPr>
  </w:style>
  <w:style w:type="paragraph" w:styleId="32">
    <w:name w:val="List"/>
    <w:basedOn w:val="1"/>
    <w:unhideWhenUsed/>
    <w:qFormat/>
    <w:uiPriority w:val="99"/>
    <w:pPr>
      <w:ind w:left="200" w:hanging="200" w:hangingChars="200"/>
      <w:contextualSpacing/>
    </w:pPr>
    <w:rPr>
      <w:sz w:val="21"/>
      <w:szCs w:val="20"/>
    </w:rPr>
  </w:style>
  <w:style w:type="paragraph" w:styleId="33">
    <w:name w:val="toc 6"/>
    <w:basedOn w:val="1"/>
    <w:next w:val="1"/>
    <w:unhideWhenUsed/>
    <w:qFormat/>
    <w:uiPriority w:val="39"/>
    <w:pPr>
      <w:ind w:left="1200"/>
      <w:jc w:val="left"/>
    </w:pPr>
    <w:rPr>
      <w:rFonts w:asciiTheme="minorHAnsi" w:hAnsiTheme="minorHAnsi"/>
      <w:sz w:val="18"/>
      <w:szCs w:val="18"/>
    </w:rPr>
  </w:style>
  <w:style w:type="paragraph" w:styleId="34">
    <w:name w:val="Body Text Indent 3"/>
    <w:basedOn w:val="1"/>
    <w:link w:val="148"/>
    <w:qFormat/>
    <w:uiPriority w:val="0"/>
    <w:pPr>
      <w:spacing w:after="120"/>
      <w:ind w:left="420" w:leftChars="200"/>
    </w:pPr>
    <w:rPr>
      <w:rFonts w:eastAsiaTheme="minorEastAsia" w:cstheme="minorBidi"/>
      <w:sz w:val="16"/>
      <w:szCs w:val="16"/>
    </w:rPr>
  </w:style>
  <w:style w:type="paragraph" w:styleId="35">
    <w:name w:val="table of figures"/>
    <w:basedOn w:val="1"/>
    <w:next w:val="1"/>
    <w:semiHidden/>
    <w:qFormat/>
    <w:uiPriority w:val="0"/>
    <w:pPr>
      <w:ind w:left="400" w:leftChars="200" w:hanging="200" w:hangingChars="200"/>
      <w:jc w:val="center"/>
    </w:pPr>
    <w:rPr>
      <w:b/>
      <w:color w:val="666600"/>
      <w:szCs w:val="20"/>
    </w:rPr>
  </w:style>
  <w:style w:type="paragraph" w:styleId="36">
    <w:name w:val="toc 2"/>
    <w:basedOn w:val="1"/>
    <w:next w:val="1"/>
    <w:unhideWhenUsed/>
    <w:qFormat/>
    <w:uiPriority w:val="39"/>
    <w:pPr>
      <w:ind w:left="240"/>
      <w:jc w:val="left"/>
    </w:pPr>
    <w:rPr>
      <w:rFonts w:asciiTheme="minorHAnsi" w:hAnsiTheme="minorHAnsi"/>
      <w:smallCaps/>
      <w:sz w:val="20"/>
      <w:szCs w:val="20"/>
    </w:rPr>
  </w:style>
  <w:style w:type="paragraph" w:styleId="37">
    <w:name w:val="toc 9"/>
    <w:basedOn w:val="1"/>
    <w:next w:val="1"/>
    <w:unhideWhenUsed/>
    <w:qFormat/>
    <w:uiPriority w:val="39"/>
    <w:pPr>
      <w:ind w:left="1920"/>
      <w:jc w:val="left"/>
    </w:pPr>
    <w:rPr>
      <w:rFonts w:asciiTheme="minorHAnsi" w:hAnsiTheme="minorHAnsi"/>
      <w:sz w:val="18"/>
      <w:szCs w:val="18"/>
    </w:rPr>
  </w:style>
  <w:style w:type="paragraph" w:styleId="38">
    <w:name w:val="Body Text 2"/>
    <w:basedOn w:val="1"/>
    <w:link w:val="137"/>
    <w:unhideWhenUsed/>
    <w:qFormat/>
    <w:uiPriority w:val="99"/>
    <w:pPr>
      <w:spacing w:after="120" w:line="480" w:lineRule="auto"/>
    </w:pPr>
    <w:rPr>
      <w:rFonts w:eastAsiaTheme="minorEastAsia" w:cstheme="minorBidi"/>
      <w:sz w:val="21"/>
      <w:szCs w:val="20"/>
    </w:rPr>
  </w:style>
  <w:style w:type="paragraph" w:styleId="39">
    <w:name w:val="HTML Preformatted"/>
    <w:basedOn w:val="1"/>
    <w:link w:val="133"/>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Theme="minorEastAsia" w:cstheme="minorBidi"/>
      <w:kern w:val="0"/>
    </w:rPr>
  </w:style>
  <w:style w:type="paragraph" w:styleId="40">
    <w:name w:val="Normal (Web)"/>
    <w:basedOn w:val="1"/>
    <w:unhideWhenUsed/>
    <w:qFormat/>
    <w:uiPriority w:val="0"/>
    <w:pPr>
      <w:widowControl/>
      <w:spacing w:before="100" w:beforeAutospacing="1" w:after="100" w:afterAutospacing="1"/>
      <w:jc w:val="left"/>
    </w:pPr>
    <w:rPr>
      <w:rFonts w:ascii="宋体" w:hAnsi="宋体" w:cs="宋体"/>
      <w:kern w:val="0"/>
    </w:rPr>
  </w:style>
  <w:style w:type="paragraph" w:styleId="41">
    <w:name w:val="index 1"/>
    <w:basedOn w:val="1"/>
    <w:next w:val="1"/>
    <w:semiHidden/>
    <w:qFormat/>
    <w:uiPriority w:val="0"/>
    <w:pPr>
      <w:tabs>
        <w:tab w:val="left" w:pos="-105"/>
        <w:tab w:val="left" w:pos="0"/>
      </w:tabs>
      <w:jc w:val="center"/>
    </w:pPr>
    <w:rPr>
      <w:rFonts w:ascii="Arial" w:hAnsi="Arial" w:eastAsia="楷体_GB2312"/>
      <w:sz w:val="21"/>
      <w:szCs w:val="20"/>
    </w:rPr>
  </w:style>
  <w:style w:type="paragraph" w:styleId="42">
    <w:name w:val="annotation subject"/>
    <w:basedOn w:val="17"/>
    <w:next w:val="17"/>
    <w:link w:val="96"/>
    <w:unhideWhenUsed/>
    <w:qFormat/>
    <w:uiPriority w:val="0"/>
    <w:pPr>
      <w:ind w:firstLine="0"/>
    </w:pPr>
    <w:rPr>
      <w:b/>
      <w:bCs/>
      <w:szCs w:val="24"/>
    </w:rPr>
  </w:style>
  <w:style w:type="paragraph" w:styleId="43">
    <w:name w:val="Body Text First Indent 2"/>
    <w:basedOn w:val="18"/>
    <w:next w:val="2"/>
    <w:link w:val="139"/>
    <w:qFormat/>
    <w:uiPriority w:val="0"/>
    <w:pPr>
      <w:ind w:firstLine="420" w:firstLineChars="200"/>
    </w:pPr>
    <w:rPr>
      <w:rFonts w:eastAsiaTheme="minorEastAsia" w:cstheme="minorBidi"/>
      <w:sz w:val="21"/>
    </w:rPr>
  </w:style>
  <w:style w:type="table" w:styleId="45">
    <w:name w:val="Table Grid"/>
    <w:basedOn w:val="44"/>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7">
    <w:name w:val="Strong"/>
    <w:qFormat/>
    <w:uiPriority w:val="0"/>
    <w:rPr>
      <w:b/>
      <w:bCs/>
    </w:rPr>
  </w:style>
  <w:style w:type="character" w:styleId="48">
    <w:name w:val="page number"/>
    <w:basedOn w:val="46"/>
    <w:qFormat/>
    <w:uiPriority w:val="0"/>
  </w:style>
  <w:style w:type="character" w:styleId="49">
    <w:name w:val="FollowedHyperlink"/>
    <w:basedOn w:val="46"/>
    <w:semiHidden/>
    <w:unhideWhenUsed/>
    <w:qFormat/>
    <w:uiPriority w:val="99"/>
    <w:rPr>
      <w:color w:val="800080" w:themeColor="followedHyperlink"/>
      <w:u w:val="single"/>
      <w14:textFill>
        <w14:solidFill>
          <w14:schemeClr w14:val="folHlink"/>
        </w14:solidFill>
      </w14:textFill>
    </w:rPr>
  </w:style>
  <w:style w:type="character" w:styleId="50">
    <w:name w:val="Emphasis"/>
    <w:qFormat/>
    <w:uiPriority w:val="0"/>
    <w:rPr>
      <w:i/>
      <w:iCs/>
    </w:rPr>
  </w:style>
  <w:style w:type="character" w:styleId="51">
    <w:name w:val="Hyperlink"/>
    <w:basedOn w:val="46"/>
    <w:unhideWhenUsed/>
    <w:qFormat/>
    <w:uiPriority w:val="99"/>
    <w:rPr>
      <w:color w:val="0000FF"/>
      <w:u w:val="single"/>
    </w:rPr>
  </w:style>
  <w:style w:type="character" w:styleId="52">
    <w:name w:val="annotation reference"/>
    <w:unhideWhenUsed/>
    <w:qFormat/>
    <w:uiPriority w:val="0"/>
    <w:rPr>
      <w:sz w:val="21"/>
      <w:szCs w:val="21"/>
    </w:rPr>
  </w:style>
  <w:style w:type="character" w:styleId="53">
    <w:name w:val="footnote reference"/>
    <w:qFormat/>
    <w:uiPriority w:val="0"/>
    <w:rPr>
      <w:vertAlign w:val="superscript"/>
    </w:rPr>
  </w:style>
  <w:style w:type="paragraph" w:customStyle="1" w:styleId="54">
    <w:name w:val="Default"/>
    <w:link w:val="118"/>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5">
    <w:name w:val="页眉 字符"/>
    <w:link w:val="28"/>
    <w:qFormat/>
    <w:uiPriority w:val="99"/>
    <w:rPr>
      <w:kern w:val="2"/>
      <w:sz w:val="18"/>
      <w:szCs w:val="18"/>
    </w:rPr>
  </w:style>
  <w:style w:type="character" w:customStyle="1" w:styleId="56">
    <w:name w:val="页脚 字符"/>
    <w:link w:val="27"/>
    <w:qFormat/>
    <w:uiPriority w:val="99"/>
    <w:rPr>
      <w:kern w:val="2"/>
      <w:sz w:val="18"/>
      <w:szCs w:val="18"/>
    </w:rPr>
  </w:style>
  <w:style w:type="character" w:customStyle="1" w:styleId="57">
    <w:name w:val="正文文本 字符"/>
    <w:link w:val="3"/>
    <w:qFormat/>
    <w:uiPriority w:val="99"/>
    <w:rPr>
      <w:b/>
      <w:bCs/>
      <w:kern w:val="2"/>
      <w:sz w:val="24"/>
      <w:szCs w:val="24"/>
    </w:rPr>
  </w:style>
  <w:style w:type="character" w:customStyle="1" w:styleId="58">
    <w:name w:val="副标题 字符"/>
    <w:link w:val="31"/>
    <w:qFormat/>
    <w:uiPriority w:val="11"/>
    <w:rPr>
      <w:bCs/>
      <w:kern w:val="28"/>
      <w:sz w:val="24"/>
      <w:szCs w:val="32"/>
    </w:rPr>
  </w:style>
  <w:style w:type="character" w:customStyle="1" w:styleId="59">
    <w:name w:val="表格 Char"/>
    <w:link w:val="60"/>
    <w:qFormat/>
    <w:uiPriority w:val="0"/>
    <w:rPr>
      <w:kern w:val="11"/>
      <w:sz w:val="21"/>
      <w:szCs w:val="24"/>
    </w:rPr>
  </w:style>
  <w:style w:type="paragraph" w:customStyle="1" w:styleId="60">
    <w:name w:val="表格"/>
    <w:basedOn w:val="1"/>
    <w:next w:val="61"/>
    <w:link w:val="59"/>
    <w:qFormat/>
    <w:uiPriority w:val="0"/>
    <w:pPr>
      <w:jc w:val="center"/>
      <w:textAlignment w:val="center"/>
    </w:pPr>
    <w:rPr>
      <w:kern w:val="11"/>
      <w:sz w:val="21"/>
    </w:rPr>
  </w:style>
  <w:style w:type="paragraph" w:customStyle="1" w:styleId="61">
    <w:name w:val="正文首行"/>
    <w:basedOn w:val="10"/>
    <w:qFormat/>
    <w:uiPriority w:val="0"/>
    <w:pPr>
      <w:spacing w:line="480" w:lineRule="exact"/>
      <w:ind w:firstLine="1440"/>
    </w:pPr>
  </w:style>
  <w:style w:type="character" w:customStyle="1" w:styleId="62">
    <w:name w:val="正文文本缩进 字符"/>
    <w:link w:val="18"/>
    <w:qFormat/>
    <w:uiPriority w:val="0"/>
    <w:rPr>
      <w:kern w:val="2"/>
      <w:sz w:val="24"/>
      <w:szCs w:val="24"/>
    </w:rPr>
  </w:style>
  <w:style w:type="character" w:customStyle="1" w:styleId="63">
    <w:name w:val="标题 8 字符"/>
    <w:link w:val="12"/>
    <w:qFormat/>
    <w:uiPriority w:val="0"/>
    <w:rPr>
      <w:b/>
      <w:sz w:val="21"/>
      <w:szCs w:val="21"/>
    </w:rPr>
  </w:style>
  <w:style w:type="paragraph" w:customStyle="1" w:styleId="64">
    <w:name w:val="正文1"/>
    <w:basedOn w:val="65"/>
    <w:next w:val="66"/>
    <w:link w:val="68"/>
    <w:qFormat/>
    <w:uiPriority w:val="0"/>
    <w:pPr>
      <w:spacing w:before="60" w:after="60" w:line="360" w:lineRule="auto"/>
      <w:ind w:firstLine="200" w:firstLineChars="200"/>
    </w:pPr>
    <w:rPr>
      <w:rFonts w:ascii="Calibri"/>
      <w:szCs w:val="20"/>
    </w:rPr>
  </w:style>
  <w:style w:type="paragraph" w:customStyle="1" w:styleId="65">
    <w:name w:val="CM27"/>
    <w:basedOn w:val="54"/>
    <w:next w:val="54"/>
    <w:qFormat/>
    <w:uiPriority w:val="0"/>
    <w:pPr>
      <w:spacing w:line="436" w:lineRule="atLeast"/>
    </w:pPr>
    <w:rPr>
      <w:rFonts w:hAnsi="Calibri"/>
      <w:color w:val="auto"/>
    </w:rPr>
  </w:style>
  <w:style w:type="paragraph" w:customStyle="1" w:styleId="66">
    <w:name w:val="表格标题"/>
    <w:basedOn w:val="2"/>
    <w:qFormat/>
    <w:uiPriority w:val="0"/>
    <w:pPr>
      <w:ind w:firstLine="0" w:firstLineChars="0"/>
      <w:jc w:val="center"/>
    </w:pPr>
    <w:rPr>
      <w:rFonts w:eastAsia="黑体"/>
    </w:rPr>
  </w:style>
  <w:style w:type="character" w:customStyle="1" w:styleId="67">
    <w:name w:val="apple-style-span"/>
    <w:basedOn w:val="46"/>
    <w:qFormat/>
    <w:uiPriority w:val="0"/>
  </w:style>
  <w:style w:type="character" w:customStyle="1" w:styleId="68">
    <w:name w:val="正文1 Char"/>
    <w:link w:val="64"/>
    <w:qFormat/>
    <w:uiPriority w:val="0"/>
    <w:rPr>
      <w:rFonts w:ascii="Calibri" w:hAnsi="Calibri"/>
      <w:kern w:val="2"/>
      <w:sz w:val="24"/>
    </w:rPr>
  </w:style>
  <w:style w:type="character" w:customStyle="1" w:styleId="69">
    <w:name w:val="标题 2 字符"/>
    <w:link w:val="5"/>
    <w:qFormat/>
    <w:uiPriority w:val="0"/>
    <w:rPr>
      <w:rFonts w:ascii="Cambria" w:hAnsi="Cambria" w:eastAsia="宋体" w:cs="Times New Roman"/>
      <w:b/>
      <w:bCs/>
      <w:kern w:val="2"/>
      <w:sz w:val="32"/>
      <w:szCs w:val="32"/>
    </w:rPr>
  </w:style>
  <w:style w:type="character" w:customStyle="1" w:styleId="70">
    <w:name w:val="表格 32 Char Char"/>
    <w:link w:val="71"/>
    <w:qFormat/>
    <w:uiPriority w:val="0"/>
    <w:rPr>
      <w:rFonts w:eastAsia="楷体_GB2312"/>
      <w:sz w:val="24"/>
      <w:lang w:val="en-US" w:eastAsia="zh-CN"/>
    </w:rPr>
  </w:style>
  <w:style w:type="paragraph" w:customStyle="1" w:styleId="71">
    <w:name w:val="表格 32"/>
    <w:basedOn w:val="1"/>
    <w:link w:val="70"/>
    <w:qFormat/>
    <w:uiPriority w:val="0"/>
    <w:pPr>
      <w:autoSpaceDE w:val="0"/>
      <w:autoSpaceDN w:val="0"/>
      <w:adjustRightInd w:val="0"/>
      <w:spacing w:line="360" w:lineRule="auto"/>
      <w:ind w:firstLine="200" w:firstLineChars="200"/>
      <w:jc w:val="center"/>
      <w:textAlignment w:val="baseline"/>
    </w:pPr>
    <w:rPr>
      <w:rFonts w:eastAsia="楷体_GB2312"/>
      <w:kern w:val="0"/>
      <w:szCs w:val="20"/>
    </w:rPr>
  </w:style>
  <w:style w:type="character" w:customStyle="1" w:styleId="72">
    <w:name w:val="正文文本缩进 2 字符"/>
    <w:link w:val="25"/>
    <w:qFormat/>
    <w:uiPriority w:val="99"/>
    <w:rPr>
      <w:kern w:val="2"/>
      <w:sz w:val="24"/>
      <w:szCs w:val="24"/>
    </w:rPr>
  </w:style>
  <w:style w:type="paragraph" w:customStyle="1" w:styleId="73">
    <w:name w:val="表格正文"/>
    <w:basedOn w:val="1"/>
    <w:qFormat/>
    <w:uiPriority w:val="0"/>
    <w:pPr>
      <w:autoSpaceDE w:val="0"/>
      <w:autoSpaceDN w:val="0"/>
      <w:adjustRightInd w:val="0"/>
      <w:snapToGrid w:val="0"/>
      <w:spacing w:line="360" w:lineRule="auto"/>
      <w:ind w:right="6"/>
      <w:jc w:val="center"/>
    </w:pPr>
    <w:rPr>
      <w:rFonts w:ascii="宋体" w:hAnsi="宋体"/>
      <w:color w:val="000000"/>
      <w:sz w:val="21"/>
      <w:szCs w:val="20"/>
    </w:rPr>
  </w:style>
  <w:style w:type="paragraph" w:customStyle="1" w:styleId="74">
    <w:name w:val="表后正文"/>
    <w:basedOn w:val="25"/>
    <w:qFormat/>
    <w:uiPriority w:val="0"/>
    <w:pPr>
      <w:adjustRightInd w:val="0"/>
      <w:spacing w:beforeLines="50" w:after="0" w:line="480" w:lineRule="exact"/>
      <w:ind w:left="0" w:leftChars="0" w:firstLine="560" w:firstLineChars="200"/>
      <w:textAlignment w:val="baseline"/>
    </w:pPr>
    <w:rPr>
      <w:rFonts w:eastAsia="楷体_GB2312"/>
      <w:color w:val="000000"/>
      <w:sz w:val="28"/>
      <w:szCs w:val="20"/>
    </w:rPr>
  </w:style>
  <w:style w:type="paragraph" w:customStyle="1" w:styleId="75">
    <w:name w:val="表格内容"/>
    <w:link w:val="238"/>
    <w:qFormat/>
    <w:uiPriority w:val="0"/>
    <w:pPr>
      <w:widowControl w:val="0"/>
      <w:ind w:left="-84" w:leftChars="-30" w:right="-84" w:rightChars="-30"/>
      <w:jc w:val="center"/>
    </w:pPr>
    <w:rPr>
      <w:rFonts w:ascii="Times New Roman" w:hAnsi="Times New Roman" w:eastAsia="宋体" w:cs="Times New Roman"/>
      <w:sz w:val="21"/>
      <w:lang w:val="en-US" w:eastAsia="zh-CN" w:bidi="ar-SA"/>
    </w:rPr>
  </w:style>
  <w:style w:type="character" w:customStyle="1" w:styleId="76">
    <w:name w:val="纯文本 Char"/>
    <w:qFormat/>
    <w:uiPriority w:val="0"/>
    <w:rPr>
      <w:rFonts w:ascii="宋体" w:hAnsi="Courier New" w:eastAsia="仿宋_GB2312"/>
      <w:kern w:val="2"/>
      <w:sz w:val="28"/>
    </w:rPr>
  </w:style>
  <w:style w:type="character" w:customStyle="1" w:styleId="77">
    <w:name w:val="纯文本 字符"/>
    <w:link w:val="22"/>
    <w:semiHidden/>
    <w:qFormat/>
    <w:uiPriority w:val="99"/>
    <w:rPr>
      <w:rFonts w:ascii="宋体" w:hAnsi="Courier New" w:cs="Courier New"/>
      <w:kern w:val="2"/>
      <w:sz w:val="21"/>
      <w:szCs w:val="21"/>
    </w:rPr>
  </w:style>
  <w:style w:type="paragraph" w:customStyle="1" w:styleId="78">
    <w:name w:val="表1表2"/>
    <w:basedOn w:val="1"/>
    <w:qFormat/>
    <w:uiPriority w:val="0"/>
    <w:pPr>
      <w:autoSpaceDE w:val="0"/>
      <w:autoSpaceDN w:val="0"/>
      <w:adjustRightInd w:val="0"/>
      <w:jc w:val="center"/>
      <w:textAlignment w:val="center"/>
    </w:pPr>
    <w:rPr>
      <w:rFonts w:eastAsia="仿宋体"/>
      <w:kern w:val="0"/>
      <w:szCs w:val="20"/>
    </w:rPr>
  </w:style>
  <w:style w:type="paragraph" w:customStyle="1" w:styleId="79">
    <w:name w:val="1"/>
    <w:basedOn w:val="1"/>
    <w:next w:val="19"/>
    <w:qFormat/>
    <w:uiPriority w:val="0"/>
    <w:pPr>
      <w:spacing w:line="360" w:lineRule="auto"/>
      <w:ind w:left="603" w:leftChars="287" w:right="170" w:firstLine="418" w:firstLineChars="174"/>
    </w:pPr>
    <w:rPr>
      <w:rFonts w:eastAsia="仿宋_GB2312"/>
      <w:szCs w:val="20"/>
    </w:rPr>
  </w:style>
  <w:style w:type="paragraph" w:customStyle="1" w:styleId="80">
    <w:name w:val="我的表格"/>
    <w:qFormat/>
    <w:uiPriority w:val="0"/>
    <w:pPr>
      <w:jc w:val="center"/>
    </w:pPr>
    <w:rPr>
      <w:rFonts w:ascii="Times New Roman" w:hAnsi="Times New Roman" w:eastAsia="宋体" w:cs="Times New Roman"/>
      <w:sz w:val="21"/>
      <w:szCs w:val="24"/>
      <w:lang w:val="en-US" w:eastAsia="zh-CN" w:bidi="ar-SA"/>
    </w:rPr>
  </w:style>
  <w:style w:type="paragraph" w:customStyle="1" w:styleId="81">
    <w:name w:val="正文报告"/>
    <w:basedOn w:val="1"/>
    <w:qFormat/>
    <w:uiPriority w:val="0"/>
    <w:pPr>
      <w:topLinePunct/>
      <w:snapToGrid w:val="0"/>
      <w:spacing w:line="480" w:lineRule="exact"/>
      <w:ind w:left="210" w:firstLine="567"/>
    </w:pPr>
    <w:rPr>
      <w:rFonts w:ascii="宋体" w:hAnsi="宋体" w:cs="宋体"/>
      <w:i/>
      <w:color w:val="000000"/>
      <w:sz w:val="28"/>
      <w:szCs w:val="28"/>
    </w:rPr>
  </w:style>
  <w:style w:type="character" w:customStyle="1" w:styleId="82">
    <w:name w:val="正文缩进 字符"/>
    <w:link w:val="10"/>
    <w:qFormat/>
    <w:uiPriority w:val="0"/>
    <w:rPr>
      <w:kern w:val="2"/>
      <w:sz w:val="24"/>
    </w:rPr>
  </w:style>
  <w:style w:type="character" w:customStyle="1" w:styleId="83">
    <w:name w:val="批注文字 字符"/>
    <w:link w:val="17"/>
    <w:qFormat/>
    <w:uiPriority w:val="0"/>
    <w:rPr>
      <w:kern w:val="2"/>
      <w:sz w:val="24"/>
    </w:rPr>
  </w:style>
  <w:style w:type="character" w:customStyle="1" w:styleId="84">
    <w:name w:val="小四 间距1.5 缩进2 Char Char"/>
    <w:link w:val="85"/>
    <w:qFormat/>
    <w:uiPriority w:val="0"/>
    <w:rPr>
      <w:kern w:val="2"/>
      <w:sz w:val="24"/>
      <w:szCs w:val="24"/>
    </w:rPr>
  </w:style>
  <w:style w:type="paragraph" w:customStyle="1" w:styleId="85">
    <w:name w:val="小四 间距1.5 缩进2"/>
    <w:basedOn w:val="1"/>
    <w:link w:val="84"/>
    <w:qFormat/>
    <w:uiPriority w:val="0"/>
    <w:pPr>
      <w:spacing w:line="360" w:lineRule="auto"/>
      <w:ind w:firstLine="415" w:firstLineChars="173"/>
    </w:pPr>
  </w:style>
  <w:style w:type="paragraph" w:customStyle="1" w:styleId="86">
    <w:name w:val="表格字体"/>
    <w:basedOn w:val="1"/>
    <w:link w:val="87"/>
    <w:qFormat/>
    <w:uiPriority w:val="0"/>
    <w:pPr>
      <w:jc w:val="center"/>
    </w:pPr>
    <w:rPr>
      <w:sz w:val="21"/>
      <w:szCs w:val="20"/>
    </w:rPr>
  </w:style>
  <w:style w:type="character" w:customStyle="1" w:styleId="87">
    <w:name w:val="表格字体 Char Char"/>
    <w:link w:val="86"/>
    <w:qFormat/>
    <w:uiPriority w:val="0"/>
    <w:rPr>
      <w:kern w:val="2"/>
      <w:sz w:val="21"/>
    </w:rPr>
  </w:style>
  <w:style w:type="character" w:customStyle="1" w:styleId="88">
    <w:name w:val="words-outer-wrap"/>
    <w:basedOn w:val="46"/>
    <w:qFormat/>
    <w:uiPriority w:val="0"/>
  </w:style>
  <w:style w:type="character" w:customStyle="1" w:styleId="89">
    <w:name w:val="split-word"/>
    <w:basedOn w:val="46"/>
    <w:qFormat/>
    <w:uiPriority w:val="0"/>
  </w:style>
  <w:style w:type="character" w:customStyle="1" w:styleId="90">
    <w:name w:val="apple-converted-space"/>
    <w:basedOn w:val="46"/>
    <w:qFormat/>
    <w:uiPriority w:val="0"/>
  </w:style>
  <w:style w:type="paragraph" w:customStyle="1" w:styleId="91">
    <w:name w:val="表格文字！！！！"/>
    <w:basedOn w:val="1"/>
    <w:link w:val="93"/>
    <w:qFormat/>
    <w:uiPriority w:val="0"/>
    <w:pPr>
      <w:jc w:val="center"/>
    </w:pPr>
    <w:rPr>
      <w:sz w:val="21"/>
    </w:rPr>
  </w:style>
  <w:style w:type="paragraph" w:customStyle="1" w:styleId="92">
    <w:name w:val="表格名"/>
    <w:basedOn w:val="31"/>
    <w:link w:val="94"/>
    <w:qFormat/>
    <w:uiPriority w:val="0"/>
    <w:pPr>
      <w:ind w:firstLine="0" w:firstLineChars="0"/>
      <w:jc w:val="center"/>
    </w:pPr>
    <w:rPr>
      <w:b/>
      <w:sz w:val="21"/>
      <w:szCs w:val="21"/>
    </w:rPr>
  </w:style>
  <w:style w:type="character" w:customStyle="1" w:styleId="93">
    <w:name w:val="表格文字！！！！ Char"/>
    <w:link w:val="91"/>
    <w:qFormat/>
    <w:uiPriority w:val="0"/>
    <w:rPr>
      <w:kern w:val="2"/>
      <w:sz w:val="21"/>
      <w:szCs w:val="24"/>
    </w:rPr>
  </w:style>
  <w:style w:type="character" w:customStyle="1" w:styleId="94">
    <w:name w:val="表格名 Char"/>
    <w:link w:val="92"/>
    <w:qFormat/>
    <w:uiPriority w:val="0"/>
    <w:rPr>
      <w:b/>
      <w:bCs/>
      <w:kern w:val="28"/>
      <w:sz w:val="21"/>
      <w:szCs w:val="21"/>
    </w:rPr>
  </w:style>
  <w:style w:type="character" w:customStyle="1" w:styleId="95">
    <w:name w:val="文档结构图 字符"/>
    <w:link w:val="16"/>
    <w:semiHidden/>
    <w:qFormat/>
    <w:uiPriority w:val="99"/>
    <w:rPr>
      <w:rFonts w:ascii="宋体"/>
      <w:kern w:val="2"/>
      <w:sz w:val="18"/>
      <w:szCs w:val="18"/>
    </w:rPr>
  </w:style>
  <w:style w:type="character" w:customStyle="1" w:styleId="96">
    <w:name w:val="批注主题 字符"/>
    <w:link w:val="42"/>
    <w:qFormat/>
    <w:uiPriority w:val="0"/>
    <w:rPr>
      <w:b/>
      <w:bCs/>
      <w:kern w:val="2"/>
      <w:sz w:val="24"/>
      <w:szCs w:val="24"/>
    </w:rPr>
  </w:style>
  <w:style w:type="character" w:customStyle="1" w:styleId="97">
    <w:name w:val="批注框文本 字符"/>
    <w:link w:val="26"/>
    <w:semiHidden/>
    <w:qFormat/>
    <w:uiPriority w:val="99"/>
    <w:rPr>
      <w:kern w:val="2"/>
      <w:sz w:val="18"/>
      <w:szCs w:val="18"/>
    </w:rPr>
  </w:style>
  <w:style w:type="paragraph" w:customStyle="1" w:styleId="98">
    <w:name w:val="表格 33"/>
    <w:basedOn w:val="1"/>
    <w:qFormat/>
    <w:uiPriority w:val="0"/>
    <w:pPr>
      <w:autoSpaceDE w:val="0"/>
      <w:autoSpaceDN w:val="0"/>
      <w:adjustRightInd w:val="0"/>
      <w:jc w:val="center"/>
      <w:textAlignment w:val="baseline"/>
    </w:pPr>
    <w:rPr>
      <w:rFonts w:eastAsia="楷体"/>
      <w:kern w:val="0"/>
      <w:sz w:val="21"/>
      <w:szCs w:val="20"/>
    </w:rPr>
  </w:style>
  <w:style w:type="character" w:customStyle="1" w:styleId="99">
    <w:name w:val="标题 3 字符"/>
    <w:link w:val="6"/>
    <w:qFormat/>
    <w:uiPriority w:val="0"/>
    <w:rPr>
      <w:b/>
      <w:bCs/>
      <w:kern w:val="2"/>
      <w:sz w:val="32"/>
      <w:szCs w:val="32"/>
    </w:rPr>
  </w:style>
  <w:style w:type="character" w:customStyle="1" w:styleId="100">
    <w:name w:val="style11"/>
    <w:qFormat/>
    <w:uiPriority w:val="0"/>
    <w:rPr>
      <w:sz w:val="18"/>
      <w:szCs w:val="18"/>
    </w:rPr>
  </w:style>
  <w:style w:type="paragraph" w:styleId="101">
    <w:name w:val="List Paragraph"/>
    <w:basedOn w:val="1"/>
    <w:qFormat/>
    <w:uiPriority w:val="34"/>
    <w:pPr>
      <w:ind w:firstLine="420" w:firstLineChars="200"/>
    </w:pPr>
  </w:style>
  <w:style w:type="paragraph" w:customStyle="1" w:styleId="102">
    <w:name w:val="修订1"/>
    <w:hidden/>
    <w:semiHidden/>
    <w:qFormat/>
    <w:uiPriority w:val="99"/>
    <w:rPr>
      <w:rFonts w:ascii="Times New Roman" w:hAnsi="Times New Roman" w:eastAsia="宋体" w:cs="Times New Roman"/>
      <w:kern w:val="2"/>
      <w:sz w:val="24"/>
      <w:szCs w:val="24"/>
      <w:lang w:val="en-US" w:eastAsia="zh-CN" w:bidi="ar-SA"/>
    </w:rPr>
  </w:style>
  <w:style w:type="character" w:customStyle="1" w:styleId="103">
    <w:name w:val="明显强调1"/>
    <w:qFormat/>
    <w:uiPriority w:val="21"/>
    <w:rPr>
      <w:b/>
      <w:bCs/>
      <w:i/>
      <w:iCs/>
      <w:color w:val="4F81BD"/>
    </w:rPr>
  </w:style>
  <w:style w:type="character" w:customStyle="1" w:styleId="104">
    <w:name w:val="标题 1 字符"/>
    <w:link w:val="4"/>
    <w:qFormat/>
    <w:uiPriority w:val="9"/>
    <w:rPr>
      <w:b/>
      <w:bCs/>
      <w:kern w:val="44"/>
      <w:sz w:val="44"/>
      <w:szCs w:val="44"/>
    </w:rPr>
  </w:style>
  <w:style w:type="paragraph" w:customStyle="1" w:styleId="105">
    <w:name w:val="TOC 标题1"/>
    <w:basedOn w:val="4"/>
    <w:next w:val="1"/>
    <w:unhideWhenUsed/>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106">
    <w:name w:val="Table Paragraph"/>
    <w:basedOn w:val="1"/>
    <w:qFormat/>
    <w:uiPriority w:val="1"/>
    <w:pPr>
      <w:jc w:val="center"/>
    </w:pPr>
    <w:rPr>
      <w:rFonts w:ascii="宋体" w:hAnsi="宋体" w:cs="宋体"/>
      <w:kern w:val="0"/>
      <w:sz w:val="22"/>
      <w:szCs w:val="22"/>
      <w:lang w:eastAsia="en-US"/>
    </w:rPr>
  </w:style>
  <w:style w:type="character" w:customStyle="1" w:styleId="107">
    <w:name w:val="东莞仓库正文 Char Char 字符"/>
    <w:link w:val="108"/>
    <w:qFormat/>
    <w:locked/>
    <w:uiPriority w:val="0"/>
    <w:rPr>
      <w:sz w:val="24"/>
      <w:szCs w:val="24"/>
    </w:rPr>
  </w:style>
  <w:style w:type="paragraph" w:customStyle="1" w:styleId="108">
    <w:name w:val="东莞仓库正文 Char Char"/>
    <w:basedOn w:val="1"/>
    <w:link w:val="107"/>
    <w:qFormat/>
    <w:uiPriority w:val="0"/>
    <w:pPr>
      <w:spacing w:line="324" w:lineRule="auto"/>
      <w:ind w:firstLine="200" w:firstLineChars="200"/>
    </w:pPr>
    <w:rPr>
      <w:kern w:val="0"/>
    </w:rPr>
  </w:style>
  <w:style w:type="character" w:customStyle="1" w:styleId="109">
    <w:name w:val="正文文本 + 10 pt"/>
    <w:qFormat/>
    <w:uiPriority w:val="0"/>
    <w:rPr>
      <w:rFonts w:hint="eastAsia" w:ascii="MingLiU" w:hAnsi="MingLiU" w:eastAsia="MingLiU" w:cs="MingLiU"/>
      <w:b/>
      <w:bCs/>
      <w:spacing w:val="-7"/>
      <w:sz w:val="20"/>
      <w:szCs w:val="20"/>
      <w:u w:val="none"/>
      <w:lang w:val="en-US" w:eastAsia="en-US"/>
    </w:rPr>
  </w:style>
  <w:style w:type="character" w:customStyle="1" w:styleId="110">
    <w:name w:val="正文文本 + AngsanaUPC1"/>
    <w:qFormat/>
    <w:uiPriority w:val="0"/>
    <w:rPr>
      <w:rFonts w:hint="default" w:ascii="AngsanaUPC" w:hAnsi="AngsanaUPC" w:cs="AngsanaUPC"/>
      <w:spacing w:val="0"/>
      <w:sz w:val="19"/>
      <w:szCs w:val="19"/>
      <w:u w:val="none"/>
      <w:lang w:val="en-US" w:eastAsia="zh-CN"/>
    </w:rPr>
  </w:style>
  <w:style w:type="paragraph" w:customStyle="1" w:styleId="111">
    <w:name w:val="表 内容"/>
    <w:basedOn w:val="1"/>
    <w:qFormat/>
    <w:uiPriority w:val="0"/>
    <w:pPr>
      <w:spacing w:line="440" w:lineRule="exact"/>
      <w:jc w:val="center"/>
    </w:pPr>
    <w:rPr>
      <w:rFonts w:ascii="宋体" w:hAnsi="宋体"/>
      <w:color w:val="000000"/>
      <w:szCs w:val="21"/>
    </w:rPr>
  </w:style>
  <w:style w:type="paragraph" w:customStyle="1" w:styleId="112">
    <w:name w:val="Char"/>
    <w:basedOn w:val="1"/>
    <w:qFormat/>
    <w:uiPriority w:val="0"/>
    <w:pPr>
      <w:snapToGrid w:val="0"/>
      <w:spacing w:line="360" w:lineRule="auto"/>
      <w:ind w:firstLine="529" w:firstLineChars="200"/>
    </w:pPr>
    <w:rPr>
      <w:rFonts w:ascii="宋体" w:hAnsi="宋体"/>
      <w:b/>
    </w:rPr>
  </w:style>
  <w:style w:type="paragraph" w:customStyle="1" w:styleId="113">
    <w:name w:val="!正文"/>
    <w:basedOn w:val="1"/>
    <w:qFormat/>
    <w:uiPriority w:val="0"/>
    <w:pPr>
      <w:spacing w:line="480" w:lineRule="exact"/>
      <w:ind w:firstLine="480" w:firstLineChars="200"/>
    </w:pPr>
    <w:rPr>
      <w:rFonts w:hAnsi="宋体" w:cs="宋体"/>
      <w:szCs w:val="20"/>
    </w:rPr>
  </w:style>
  <w:style w:type="character" w:styleId="114">
    <w:name w:val="Placeholder Text"/>
    <w:basedOn w:val="46"/>
    <w:semiHidden/>
    <w:qFormat/>
    <w:uiPriority w:val="99"/>
    <w:rPr>
      <w:color w:val="808080"/>
    </w:rPr>
  </w:style>
  <w:style w:type="paragraph" w:customStyle="1" w:styleId="115">
    <w:name w:val="！正文"/>
    <w:basedOn w:val="1"/>
    <w:link w:val="116"/>
    <w:qFormat/>
    <w:uiPriority w:val="0"/>
    <w:pPr>
      <w:spacing w:line="360" w:lineRule="auto"/>
      <w:ind w:firstLine="200" w:firstLineChars="200"/>
    </w:pPr>
    <w:rPr>
      <w:rFonts w:cs="宋体"/>
      <w:kern w:val="0"/>
      <w:szCs w:val="20"/>
    </w:rPr>
  </w:style>
  <w:style w:type="character" w:customStyle="1" w:styleId="116">
    <w:name w:val="！正文 Char"/>
    <w:basedOn w:val="46"/>
    <w:link w:val="115"/>
    <w:qFormat/>
    <w:locked/>
    <w:uiPriority w:val="0"/>
    <w:rPr>
      <w:rFonts w:ascii="Times New Roman" w:hAnsi="Times New Roman" w:cs="宋体"/>
      <w:sz w:val="24"/>
    </w:rPr>
  </w:style>
  <w:style w:type="character" w:customStyle="1" w:styleId="117">
    <w:name w:val="标题 1 Char1"/>
    <w:basedOn w:val="46"/>
    <w:qFormat/>
    <w:uiPriority w:val="0"/>
    <w:rPr>
      <w:rFonts w:ascii="Times New Roman" w:hAnsi="Times New Roman" w:eastAsia="宋体" w:cs="Times New Roman"/>
      <w:b/>
      <w:bCs/>
      <w:kern w:val="44"/>
      <w:sz w:val="28"/>
      <w:szCs w:val="44"/>
    </w:rPr>
  </w:style>
  <w:style w:type="character" w:customStyle="1" w:styleId="118">
    <w:name w:val="Default Char Char"/>
    <w:link w:val="54"/>
    <w:qFormat/>
    <w:uiPriority w:val="0"/>
    <w:rPr>
      <w:rFonts w:ascii="宋体" w:hAnsi="Times New Roman" w:cs="宋体"/>
      <w:color w:val="000000"/>
      <w:sz w:val="24"/>
      <w:szCs w:val="24"/>
    </w:rPr>
  </w:style>
  <w:style w:type="paragraph" w:customStyle="1" w:styleId="119">
    <w:name w:val="无间隔1"/>
    <w:link w:val="167"/>
    <w:qFormat/>
    <w:uiPriority w:val="1"/>
    <w:pPr>
      <w:widowControl w:val="0"/>
      <w:jc w:val="both"/>
    </w:pPr>
    <w:rPr>
      <w:rFonts w:ascii="Calibri" w:hAnsi="Calibri" w:eastAsia="宋体" w:cs="Times New Roman"/>
      <w:kern w:val="2"/>
      <w:sz w:val="24"/>
      <w:szCs w:val="24"/>
      <w:lang w:val="en-US" w:eastAsia="zh-CN" w:bidi="ar-SA"/>
    </w:rPr>
  </w:style>
  <w:style w:type="paragraph" w:customStyle="1" w:styleId="120">
    <w:name w:val="默认段落字体 Para Char Char Char Char"/>
    <w:basedOn w:val="1"/>
    <w:qFormat/>
    <w:uiPriority w:val="0"/>
    <w:rPr>
      <w:rFonts w:ascii="Calibri" w:hAnsi="Calibri"/>
    </w:rPr>
  </w:style>
  <w:style w:type="character" w:customStyle="1" w:styleId="121">
    <w:name w:val="注释标题 字符"/>
    <w:basedOn w:val="46"/>
    <w:link w:val="14"/>
    <w:qFormat/>
    <w:uiPriority w:val="0"/>
    <w:rPr>
      <w:rFonts w:ascii="Calibri" w:hAnsi="Calibri" w:eastAsia="宋体" w:cs="Times New Roman"/>
      <w:kern w:val="2"/>
      <w:sz w:val="24"/>
      <w:szCs w:val="24"/>
    </w:rPr>
  </w:style>
  <w:style w:type="paragraph" w:customStyle="1" w:styleId="122">
    <w:name w:val="xl26"/>
    <w:basedOn w:val="1"/>
    <w:qFormat/>
    <w:uiPriority w:val="0"/>
    <w:pPr>
      <w:widowControl/>
      <w:spacing w:before="100" w:after="100"/>
      <w:jc w:val="center"/>
    </w:pPr>
    <w:rPr>
      <w:rFonts w:ascii="Calibri" w:hAnsi="Calibri"/>
      <w:kern w:val="0"/>
    </w:rPr>
  </w:style>
  <w:style w:type="character" w:customStyle="1" w:styleId="123">
    <w:name w:val="标题 5 字符"/>
    <w:basedOn w:val="46"/>
    <w:link w:val="8"/>
    <w:qFormat/>
    <w:uiPriority w:val="0"/>
    <w:rPr>
      <w:rFonts w:ascii="Times New Roman" w:hAnsi="Times New Roman" w:eastAsia="宋体" w:cs="Times New Roman"/>
      <w:b/>
      <w:bCs/>
      <w:kern w:val="2"/>
      <w:sz w:val="28"/>
      <w:szCs w:val="28"/>
    </w:rPr>
  </w:style>
  <w:style w:type="character" w:customStyle="1" w:styleId="124">
    <w:name w:val="标题 6 字符"/>
    <w:basedOn w:val="46"/>
    <w:link w:val="9"/>
    <w:qFormat/>
    <w:uiPriority w:val="0"/>
    <w:rPr>
      <w:rFonts w:ascii="Arial" w:hAnsi="Arial" w:eastAsia="黑体" w:cs="Times New Roman"/>
      <w:b/>
      <w:snapToGrid w:val="0"/>
      <w:sz w:val="24"/>
    </w:rPr>
  </w:style>
  <w:style w:type="character" w:customStyle="1" w:styleId="125">
    <w:name w:val="标题 7 字符"/>
    <w:basedOn w:val="46"/>
    <w:link w:val="11"/>
    <w:qFormat/>
    <w:uiPriority w:val="0"/>
    <w:rPr>
      <w:rFonts w:ascii="Times New Roman" w:hAnsi="Times New Roman" w:eastAsia="宋体" w:cs="Times New Roman"/>
      <w:spacing w:val="-4"/>
      <w:kern w:val="20"/>
      <w:sz w:val="28"/>
    </w:rPr>
  </w:style>
  <w:style w:type="character" w:customStyle="1" w:styleId="126">
    <w:name w:val="标题 4 字符"/>
    <w:basedOn w:val="46"/>
    <w:link w:val="7"/>
    <w:qFormat/>
    <w:uiPriority w:val="0"/>
    <w:rPr>
      <w:rFonts w:ascii="宋体" w:hAnsi="宋体" w:eastAsia="宋体" w:cs="Times New Roman"/>
      <w:b/>
      <w:bCs/>
      <w:kern w:val="2"/>
      <w:sz w:val="24"/>
      <w:szCs w:val="24"/>
    </w:rPr>
  </w:style>
  <w:style w:type="character" w:customStyle="1" w:styleId="127">
    <w:name w:val="fontstyle31"/>
    <w:basedOn w:val="46"/>
    <w:qFormat/>
    <w:uiPriority w:val="0"/>
    <w:rPr>
      <w:rFonts w:hint="default" w:ascii="B5+CAJSymbolA" w:hAnsi="B5+CAJSymbolA"/>
      <w:color w:val="000000"/>
      <w:sz w:val="22"/>
      <w:szCs w:val="22"/>
    </w:rPr>
  </w:style>
  <w:style w:type="character" w:customStyle="1" w:styleId="128">
    <w:name w:val="君邦正文 Char1"/>
    <w:basedOn w:val="46"/>
    <w:link w:val="129"/>
    <w:qFormat/>
    <w:uiPriority w:val="0"/>
    <w:rPr>
      <w:rFonts w:ascii="宋体" w:hAnsi="宋体"/>
      <w:kern w:val="2"/>
      <w:sz w:val="24"/>
    </w:rPr>
  </w:style>
  <w:style w:type="paragraph" w:customStyle="1" w:styleId="129">
    <w:name w:val="君邦正文"/>
    <w:link w:val="128"/>
    <w:qFormat/>
    <w:uiPriority w:val="0"/>
    <w:pPr>
      <w:spacing w:line="360" w:lineRule="auto"/>
      <w:ind w:left="-4" w:leftChars="-2" w:firstLine="480" w:firstLineChars="200"/>
      <w:jc w:val="both"/>
    </w:pPr>
    <w:rPr>
      <w:rFonts w:ascii="宋体" w:hAnsi="宋体" w:eastAsiaTheme="minorEastAsia" w:cstheme="minorBidi"/>
      <w:kern w:val="2"/>
      <w:sz w:val="24"/>
      <w:lang w:val="en-US" w:eastAsia="zh-CN" w:bidi="ar-SA"/>
    </w:rPr>
  </w:style>
  <w:style w:type="character" w:customStyle="1" w:styleId="130">
    <w:name w:val="样式 样式 行距: 1.5 倍行距 + 首行缩进:  2 字符 Char"/>
    <w:link w:val="131"/>
    <w:qFormat/>
    <w:locked/>
    <w:uiPriority w:val="0"/>
    <w:rPr>
      <w:rFonts w:ascii="宋体" w:hAnsi="宋体" w:cs="宋体"/>
      <w:kern w:val="2"/>
      <w:sz w:val="24"/>
      <w:szCs w:val="21"/>
    </w:rPr>
  </w:style>
  <w:style w:type="paragraph" w:customStyle="1" w:styleId="131">
    <w:name w:val="样式 样式 行距: 1.5 倍行距 + 首行缩进:  2 字符"/>
    <w:basedOn w:val="1"/>
    <w:link w:val="130"/>
    <w:qFormat/>
    <w:uiPriority w:val="0"/>
    <w:pPr>
      <w:adjustRightInd w:val="0"/>
      <w:snapToGrid w:val="0"/>
      <w:spacing w:line="360" w:lineRule="auto"/>
      <w:ind w:firstLine="480" w:firstLineChars="200"/>
    </w:pPr>
    <w:rPr>
      <w:rFonts w:ascii="宋体" w:hAnsi="宋体" w:cs="宋体" w:eastAsiaTheme="minorEastAsia"/>
      <w:szCs w:val="21"/>
    </w:rPr>
  </w:style>
  <w:style w:type="character" w:customStyle="1" w:styleId="132">
    <w:name w:val="HTML 预设格式 Char"/>
    <w:basedOn w:val="46"/>
    <w:qFormat/>
    <w:uiPriority w:val="99"/>
    <w:rPr>
      <w:rFonts w:ascii="宋体" w:hAnsi="宋体"/>
      <w:sz w:val="24"/>
      <w:szCs w:val="24"/>
    </w:rPr>
  </w:style>
  <w:style w:type="character" w:customStyle="1" w:styleId="133">
    <w:name w:val="HTML 预设格式 字符"/>
    <w:basedOn w:val="46"/>
    <w:link w:val="39"/>
    <w:semiHidden/>
    <w:qFormat/>
    <w:uiPriority w:val="99"/>
    <w:rPr>
      <w:rFonts w:ascii="Courier New" w:hAnsi="Courier New" w:eastAsia="宋体" w:cs="Courier New"/>
      <w:kern w:val="2"/>
    </w:rPr>
  </w:style>
  <w:style w:type="character" w:customStyle="1" w:styleId="134">
    <w:name w:val="报告正文 Char"/>
    <w:basedOn w:val="46"/>
    <w:link w:val="135"/>
    <w:qFormat/>
    <w:uiPriority w:val="0"/>
    <w:rPr>
      <w:rFonts w:ascii="宋体"/>
      <w:kern w:val="2"/>
      <w:sz w:val="24"/>
    </w:rPr>
  </w:style>
  <w:style w:type="paragraph" w:customStyle="1" w:styleId="135">
    <w:name w:val="报告正文"/>
    <w:basedOn w:val="1"/>
    <w:link w:val="134"/>
    <w:qFormat/>
    <w:uiPriority w:val="0"/>
    <w:pPr>
      <w:adjustRightInd w:val="0"/>
      <w:snapToGrid w:val="0"/>
      <w:spacing w:line="360" w:lineRule="auto"/>
      <w:ind w:firstLine="200" w:firstLineChars="200"/>
    </w:pPr>
    <w:rPr>
      <w:rFonts w:ascii="宋体" w:hAnsiTheme="minorHAnsi" w:eastAsiaTheme="minorEastAsia" w:cstheme="minorBidi"/>
      <w:szCs w:val="20"/>
    </w:rPr>
  </w:style>
  <w:style w:type="character" w:customStyle="1" w:styleId="136">
    <w:name w:val="正文文本 2 Char"/>
    <w:basedOn w:val="46"/>
    <w:qFormat/>
    <w:uiPriority w:val="99"/>
    <w:rPr>
      <w:rFonts w:ascii="Times New Roman" w:hAnsi="Times New Roman"/>
      <w:kern w:val="2"/>
      <w:sz w:val="21"/>
    </w:rPr>
  </w:style>
  <w:style w:type="character" w:customStyle="1" w:styleId="137">
    <w:name w:val="正文文本 2 字符"/>
    <w:basedOn w:val="46"/>
    <w:link w:val="38"/>
    <w:semiHidden/>
    <w:qFormat/>
    <w:uiPriority w:val="99"/>
    <w:rPr>
      <w:rFonts w:ascii="Times New Roman" w:hAnsi="Times New Roman" w:eastAsia="宋体" w:cs="Times New Roman"/>
      <w:kern w:val="2"/>
      <w:sz w:val="24"/>
      <w:szCs w:val="24"/>
    </w:rPr>
  </w:style>
  <w:style w:type="character" w:customStyle="1" w:styleId="138">
    <w:name w:val="正文首行缩进 2 Char"/>
    <w:basedOn w:val="62"/>
    <w:qFormat/>
    <w:uiPriority w:val="0"/>
    <w:rPr>
      <w:rFonts w:ascii="Times New Roman" w:hAnsi="Times New Roman"/>
      <w:kern w:val="2"/>
      <w:sz w:val="21"/>
      <w:szCs w:val="24"/>
    </w:rPr>
  </w:style>
  <w:style w:type="character" w:customStyle="1" w:styleId="139">
    <w:name w:val="正文首行缩进 2 字符"/>
    <w:basedOn w:val="62"/>
    <w:link w:val="43"/>
    <w:semiHidden/>
    <w:qFormat/>
    <w:uiPriority w:val="99"/>
    <w:rPr>
      <w:rFonts w:ascii="Times New Roman" w:hAnsi="Times New Roman" w:eastAsia="宋体" w:cs="Times New Roman"/>
      <w:kern w:val="2"/>
      <w:sz w:val="24"/>
      <w:szCs w:val="24"/>
    </w:rPr>
  </w:style>
  <w:style w:type="character" w:customStyle="1" w:styleId="140">
    <w:name w:val="zw Char"/>
    <w:link w:val="141"/>
    <w:qFormat/>
    <w:uiPriority w:val="0"/>
    <w:rPr>
      <w:color w:val="000000"/>
      <w:position w:val="2"/>
      <w:sz w:val="24"/>
      <w:szCs w:val="24"/>
    </w:rPr>
  </w:style>
  <w:style w:type="paragraph" w:customStyle="1" w:styleId="141">
    <w:name w:val="zw"/>
    <w:basedOn w:val="1"/>
    <w:link w:val="140"/>
    <w:qFormat/>
    <w:uiPriority w:val="0"/>
    <w:pPr>
      <w:adjustRightInd w:val="0"/>
      <w:snapToGrid w:val="0"/>
      <w:spacing w:line="480" w:lineRule="exact"/>
      <w:ind w:firstLine="480" w:firstLineChars="200"/>
    </w:pPr>
    <w:rPr>
      <w:rFonts w:asciiTheme="minorHAnsi" w:hAnsiTheme="minorHAnsi" w:eastAsiaTheme="minorEastAsia" w:cstheme="minorBidi"/>
      <w:color w:val="000000"/>
      <w:kern w:val="0"/>
      <w:position w:val="2"/>
    </w:rPr>
  </w:style>
  <w:style w:type="character" w:customStyle="1" w:styleId="142">
    <w:name w:val="段落 Char"/>
    <w:link w:val="143"/>
    <w:qFormat/>
    <w:uiPriority w:val="0"/>
    <w:rPr>
      <w:rFonts w:ascii="宋体" w:hAnsi="宋体"/>
      <w:kern w:val="2"/>
      <w:sz w:val="28"/>
    </w:rPr>
  </w:style>
  <w:style w:type="paragraph" w:customStyle="1" w:styleId="143">
    <w:name w:val="段落"/>
    <w:basedOn w:val="1"/>
    <w:link w:val="142"/>
    <w:qFormat/>
    <w:uiPriority w:val="0"/>
    <w:pPr>
      <w:adjustRightInd w:val="0"/>
      <w:spacing w:after="120" w:line="360" w:lineRule="auto"/>
      <w:ind w:left="318" w:firstLine="567"/>
    </w:pPr>
    <w:rPr>
      <w:rFonts w:ascii="宋体" w:hAnsi="宋体" w:eastAsiaTheme="minorEastAsia" w:cstheme="minorBidi"/>
      <w:sz w:val="28"/>
      <w:szCs w:val="20"/>
    </w:rPr>
  </w:style>
  <w:style w:type="character" w:customStyle="1" w:styleId="144">
    <w:name w:val="fontstyle01"/>
    <w:basedOn w:val="46"/>
    <w:qFormat/>
    <w:uiPriority w:val="0"/>
    <w:rPr>
      <w:rFonts w:hint="eastAsia" w:ascii="宋体" w:hAnsi="宋体" w:eastAsia="宋体"/>
      <w:color w:val="000000"/>
      <w:sz w:val="24"/>
      <w:szCs w:val="24"/>
    </w:rPr>
  </w:style>
  <w:style w:type="character" w:customStyle="1" w:styleId="145">
    <w:name w:val="引用 Char"/>
    <w:link w:val="146"/>
    <w:qFormat/>
    <w:uiPriority w:val="29"/>
    <w:rPr>
      <w:b/>
      <w:iCs/>
      <w:kern w:val="2"/>
      <w:sz w:val="21"/>
      <w:szCs w:val="24"/>
    </w:rPr>
  </w:style>
  <w:style w:type="paragraph" w:customStyle="1" w:styleId="146">
    <w:name w:val="引用1"/>
    <w:basedOn w:val="1"/>
    <w:next w:val="1"/>
    <w:link w:val="145"/>
    <w:qFormat/>
    <w:uiPriority w:val="29"/>
    <w:pPr>
      <w:jc w:val="center"/>
    </w:pPr>
    <w:rPr>
      <w:rFonts w:asciiTheme="minorHAnsi" w:hAnsiTheme="minorHAnsi" w:eastAsiaTheme="minorEastAsia" w:cstheme="minorBidi"/>
      <w:b/>
      <w:iCs/>
      <w:sz w:val="21"/>
    </w:rPr>
  </w:style>
  <w:style w:type="character" w:customStyle="1" w:styleId="147">
    <w:name w:val="正文文本缩进 3 Char"/>
    <w:basedOn w:val="46"/>
    <w:qFormat/>
    <w:uiPriority w:val="0"/>
    <w:rPr>
      <w:rFonts w:ascii="Times New Roman" w:hAnsi="Times New Roman"/>
      <w:kern w:val="2"/>
      <w:sz w:val="16"/>
      <w:szCs w:val="16"/>
    </w:rPr>
  </w:style>
  <w:style w:type="character" w:customStyle="1" w:styleId="148">
    <w:name w:val="正文文本缩进 3 字符"/>
    <w:basedOn w:val="46"/>
    <w:link w:val="34"/>
    <w:semiHidden/>
    <w:qFormat/>
    <w:uiPriority w:val="99"/>
    <w:rPr>
      <w:rFonts w:ascii="Times New Roman" w:hAnsi="Times New Roman" w:eastAsia="宋体" w:cs="Times New Roman"/>
      <w:kern w:val="2"/>
      <w:sz w:val="16"/>
      <w:szCs w:val="16"/>
    </w:rPr>
  </w:style>
  <w:style w:type="character" w:customStyle="1" w:styleId="149">
    <w:name w:val="fontstyle21"/>
    <w:basedOn w:val="46"/>
    <w:qFormat/>
    <w:uiPriority w:val="0"/>
    <w:rPr>
      <w:rFonts w:hint="default" w:ascii="Times New Roman" w:hAnsi="Times New Roman" w:cs="Times New Roman"/>
      <w:color w:val="000000"/>
      <w:sz w:val="22"/>
      <w:szCs w:val="22"/>
    </w:rPr>
  </w:style>
  <w:style w:type="character" w:customStyle="1" w:styleId="150">
    <w:name w:val="日期 Char"/>
    <w:basedOn w:val="46"/>
    <w:qFormat/>
    <w:uiPriority w:val="99"/>
    <w:rPr>
      <w:rFonts w:ascii="Times New Roman" w:hAnsi="Times New Roman"/>
      <w:kern w:val="2"/>
      <w:sz w:val="21"/>
    </w:rPr>
  </w:style>
  <w:style w:type="character" w:customStyle="1" w:styleId="151">
    <w:name w:val="日期 字符"/>
    <w:basedOn w:val="46"/>
    <w:link w:val="24"/>
    <w:semiHidden/>
    <w:qFormat/>
    <w:uiPriority w:val="99"/>
    <w:rPr>
      <w:rFonts w:ascii="Times New Roman" w:hAnsi="Times New Roman" w:eastAsia="宋体" w:cs="Times New Roman"/>
      <w:kern w:val="2"/>
      <w:sz w:val="24"/>
      <w:szCs w:val="24"/>
    </w:rPr>
  </w:style>
  <w:style w:type="character" w:customStyle="1" w:styleId="152">
    <w:name w:val="正文首行缩进 Char"/>
    <w:basedOn w:val="57"/>
    <w:qFormat/>
    <w:uiPriority w:val="99"/>
    <w:rPr>
      <w:rFonts w:ascii="Times New Roman" w:hAnsi="Times New Roman"/>
      <w:kern w:val="2"/>
      <w:sz w:val="21"/>
      <w:szCs w:val="22"/>
    </w:rPr>
  </w:style>
  <w:style w:type="character" w:customStyle="1" w:styleId="153">
    <w:name w:val="正文首行缩进 字符"/>
    <w:basedOn w:val="57"/>
    <w:link w:val="2"/>
    <w:semiHidden/>
    <w:qFormat/>
    <w:uiPriority w:val="99"/>
    <w:rPr>
      <w:rFonts w:ascii="Times New Roman" w:hAnsi="Times New Roman" w:eastAsia="宋体" w:cs="Times New Roman"/>
      <w:kern w:val="2"/>
      <w:sz w:val="24"/>
      <w:szCs w:val="24"/>
    </w:rPr>
  </w:style>
  <w:style w:type="character" w:customStyle="1" w:styleId="154">
    <w:name w:val="正文文字缩进 21 Char Char"/>
    <w:qFormat/>
    <w:uiPriority w:val="0"/>
    <w:rPr>
      <w:kern w:val="2"/>
      <w:sz w:val="21"/>
      <w:szCs w:val="24"/>
    </w:rPr>
  </w:style>
  <w:style w:type="character" w:customStyle="1" w:styleId="155">
    <w:name w:val="fontstyle41"/>
    <w:basedOn w:val="46"/>
    <w:qFormat/>
    <w:uiPriority w:val="0"/>
    <w:rPr>
      <w:rFonts w:hint="default" w:ascii="Arial" w:hAnsi="Arial" w:cs="Arial"/>
      <w:i/>
      <w:iCs/>
      <w:color w:val="000000"/>
      <w:sz w:val="106"/>
      <w:szCs w:val="106"/>
    </w:rPr>
  </w:style>
  <w:style w:type="character" w:customStyle="1" w:styleId="156">
    <w:name w:val="5表 Char"/>
    <w:qFormat/>
    <w:uiPriority w:val="0"/>
    <w:rPr>
      <w:snapToGrid w:val="0"/>
      <w:kern w:val="24"/>
      <w:sz w:val="24"/>
      <w:lang w:val="en-US" w:eastAsia="zh-CN"/>
    </w:rPr>
  </w:style>
  <w:style w:type="character" w:customStyle="1" w:styleId="157">
    <w:name w:val="表标头jophy Char Char"/>
    <w:link w:val="158"/>
    <w:qFormat/>
    <w:uiPriority w:val="0"/>
    <w:rPr>
      <w:b/>
      <w:bCs/>
      <w:kern w:val="2"/>
      <w:sz w:val="24"/>
      <w:szCs w:val="28"/>
    </w:rPr>
  </w:style>
  <w:style w:type="paragraph" w:customStyle="1" w:styleId="158">
    <w:name w:val="表标头jophy"/>
    <w:link w:val="157"/>
    <w:qFormat/>
    <w:uiPriority w:val="0"/>
    <w:pPr>
      <w:adjustRightInd w:val="0"/>
      <w:snapToGrid w:val="0"/>
      <w:jc w:val="center"/>
    </w:pPr>
    <w:rPr>
      <w:rFonts w:asciiTheme="minorHAnsi" w:hAnsiTheme="minorHAnsi" w:eastAsiaTheme="minorEastAsia" w:cstheme="minorBidi"/>
      <w:b/>
      <w:bCs/>
      <w:kern w:val="2"/>
      <w:sz w:val="24"/>
      <w:szCs w:val="28"/>
      <w:lang w:val="en-US" w:eastAsia="zh-CN" w:bidi="ar-SA"/>
    </w:rPr>
  </w:style>
  <w:style w:type="character" w:customStyle="1" w:styleId="159">
    <w:name w:val="表头 Char2"/>
    <w:link w:val="160"/>
    <w:qFormat/>
    <w:uiPriority w:val="0"/>
    <w:rPr>
      <w:rFonts w:ascii="黑体" w:hAnsi="宋体" w:eastAsia="黑体" w:cs="Arial"/>
      <w:bCs/>
      <w:color w:val="000000"/>
      <w:kern w:val="2"/>
      <w:sz w:val="21"/>
      <w:szCs w:val="21"/>
    </w:rPr>
  </w:style>
  <w:style w:type="paragraph" w:customStyle="1" w:styleId="160">
    <w:name w:val="表头"/>
    <w:basedOn w:val="1"/>
    <w:next w:val="101"/>
    <w:link w:val="159"/>
    <w:qFormat/>
    <w:uiPriority w:val="0"/>
    <w:pPr>
      <w:adjustRightInd w:val="0"/>
      <w:snapToGrid w:val="0"/>
      <w:ind w:firstLine="420" w:firstLineChars="200"/>
      <w:jc w:val="center"/>
    </w:pPr>
    <w:rPr>
      <w:rFonts w:ascii="黑体" w:hAnsi="宋体" w:eastAsia="黑体" w:cs="Arial"/>
      <w:bCs/>
      <w:color w:val="000000"/>
      <w:sz w:val="21"/>
      <w:szCs w:val="21"/>
    </w:rPr>
  </w:style>
  <w:style w:type="character" w:customStyle="1" w:styleId="161">
    <w:name w:val="纯文本 Char2"/>
    <w:basedOn w:val="46"/>
    <w:qFormat/>
    <w:uiPriority w:val="0"/>
    <w:rPr>
      <w:rFonts w:ascii="宋体" w:hAnsi="Courier New" w:eastAsia="宋体"/>
      <w:kern w:val="2"/>
      <w:sz w:val="21"/>
      <w:szCs w:val="21"/>
      <w:lang w:val="en-US" w:eastAsia="zh-CN" w:bidi="ar-SA"/>
    </w:rPr>
  </w:style>
  <w:style w:type="character" w:customStyle="1" w:styleId="162">
    <w:name w:val="表文字 Char"/>
    <w:qFormat/>
    <w:uiPriority w:val="0"/>
    <w:rPr>
      <w:rFonts w:eastAsia="宋体"/>
      <w:sz w:val="24"/>
      <w:szCs w:val="24"/>
      <w:lang w:val="en-US" w:eastAsia="zh-CN" w:bidi="ar-SA"/>
    </w:rPr>
  </w:style>
  <w:style w:type="character" w:customStyle="1" w:styleId="163">
    <w:name w:val="标题 4 + 四号 行距: 固定值 22 磅 Char"/>
    <w:link w:val="164"/>
    <w:qFormat/>
    <w:uiPriority w:val="0"/>
    <w:rPr>
      <w:rFonts w:ascii="宋体" w:hAnsi="宋体"/>
      <w:b/>
      <w:bCs/>
      <w:color w:val="FF0000"/>
      <w:kern w:val="2"/>
      <w:sz w:val="24"/>
      <w:szCs w:val="24"/>
    </w:rPr>
  </w:style>
  <w:style w:type="paragraph" w:customStyle="1" w:styleId="164">
    <w:name w:val="标题 4 + 四号 行距: 固定值 22 磅"/>
    <w:basedOn w:val="6"/>
    <w:link w:val="163"/>
    <w:qFormat/>
    <w:uiPriority w:val="0"/>
    <w:pPr>
      <w:adjustRightInd w:val="0"/>
      <w:snapToGrid w:val="0"/>
      <w:spacing w:before="0" w:after="0" w:line="440" w:lineRule="exact"/>
      <w:jc w:val="left"/>
      <w:outlineLvl w:val="9"/>
    </w:pPr>
    <w:rPr>
      <w:rFonts w:ascii="宋体" w:hAnsi="宋体" w:eastAsiaTheme="minorEastAsia" w:cstheme="minorBidi"/>
      <w:color w:val="FF0000"/>
      <w:sz w:val="24"/>
      <w:szCs w:val="24"/>
    </w:rPr>
  </w:style>
  <w:style w:type="character" w:customStyle="1" w:styleId="165">
    <w:name w:val="表文 Char"/>
    <w:link w:val="166"/>
    <w:qFormat/>
    <w:uiPriority w:val="0"/>
    <w:rPr>
      <w:rFonts w:ascii="楷体_GB2312" w:hAnsi="Times New Roman" w:eastAsia="楷体_GB2312"/>
      <w:sz w:val="21"/>
      <w:szCs w:val="21"/>
      <w:lang w:val="en-US" w:eastAsia="zh-CN"/>
    </w:rPr>
  </w:style>
  <w:style w:type="paragraph" w:customStyle="1" w:styleId="166">
    <w:name w:val="表文"/>
    <w:basedOn w:val="1"/>
    <w:link w:val="165"/>
    <w:qFormat/>
    <w:uiPriority w:val="0"/>
    <w:pPr>
      <w:tabs>
        <w:tab w:val="left" w:pos="1021"/>
      </w:tabs>
      <w:overflowPunct w:val="0"/>
      <w:autoSpaceDE w:val="0"/>
      <w:autoSpaceDN w:val="0"/>
      <w:adjustRightInd w:val="0"/>
      <w:spacing w:beforeLines="10" w:afterLines="10" w:line="280" w:lineRule="exact"/>
      <w:jc w:val="center"/>
      <w:textAlignment w:val="baseline"/>
    </w:pPr>
    <w:rPr>
      <w:rFonts w:ascii="楷体_GB2312" w:eastAsia="楷体_GB2312" w:cstheme="minorBidi"/>
      <w:kern w:val="0"/>
      <w:sz w:val="21"/>
      <w:szCs w:val="21"/>
    </w:rPr>
  </w:style>
  <w:style w:type="character" w:customStyle="1" w:styleId="167">
    <w:name w:val="无间隔 Char"/>
    <w:link w:val="119"/>
    <w:qFormat/>
    <w:uiPriority w:val="1"/>
    <w:rPr>
      <w:rFonts w:ascii="Calibri" w:hAnsi="Calibri" w:eastAsia="宋体" w:cs="Times New Roman"/>
      <w:kern w:val="2"/>
      <w:sz w:val="24"/>
      <w:szCs w:val="24"/>
    </w:rPr>
  </w:style>
  <w:style w:type="character" w:customStyle="1" w:styleId="168">
    <w:name w:val="fontstyle11"/>
    <w:basedOn w:val="46"/>
    <w:qFormat/>
    <w:uiPriority w:val="0"/>
    <w:rPr>
      <w:rFonts w:hint="default" w:ascii="Times New Roman" w:hAnsi="Times New Roman" w:cs="Times New Roman"/>
      <w:color w:val="000000"/>
      <w:sz w:val="22"/>
      <w:szCs w:val="22"/>
    </w:rPr>
  </w:style>
  <w:style w:type="character" w:customStyle="1" w:styleId="169">
    <w:name w:val="表文字 Char Char"/>
    <w:link w:val="170"/>
    <w:qFormat/>
    <w:uiPriority w:val="0"/>
    <w:rPr>
      <w:rFonts w:ascii="宋体" w:hAnsi="宋体" w:cs="新宋体"/>
      <w:bCs/>
      <w:sz w:val="21"/>
      <w:szCs w:val="21"/>
    </w:rPr>
  </w:style>
  <w:style w:type="paragraph" w:customStyle="1" w:styleId="170">
    <w:name w:val="表文字"/>
    <w:basedOn w:val="1"/>
    <w:link w:val="169"/>
    <w:qFormat/>
    <w:uiPriority w:val="0"/>
    <w:pPr>
      <w:adjustRightInd w:val="0"/>
      <w:snapToGrid w:val="0"/>
      <w:jc w:val="center"/>
    </w:pPr>
    <w:rPr>
      <w:rFonts w:ascii="宋体" w:hAnsi="宋体" w:cs="新宋体" w:eastAsiaTheme="minorEastAsia"/>
      <w:bCs/>
      <w:kern w:val="0"/>
      <w:sz w:val="21"/>
      <w:szCs w:val="21"/>
    </w:rPr>
  </w:style>
  <w:style w:type="character" w:customStyle="1" w:styleId="171">
    <w:name w:val="报告正文 Char Char Char Char"/>
    <w:basedOn w:val="46"/>
    <w:qFormat/>
    <w:uiPriority w:val="0"/>
    <w:rPr>
      <w:rFonts w:ascii="宋体" w:eastAsia="宋体"/>
      <w:kern w:val="2"/>
      <w:sz w:val="24"/>
      <w:lang w:val="en-US" w:eastAsia="zh-CN" w:bidi="ar-SA"/>
    </w:rPr>
  </w:style>
  <w:style w:type="character" w:customStyle="1" w:styleId="172">
    <w:name w:val="标题 2 Char Char1"/>
    <w:basedOn w:val="46"/>
    <w:qFormat/>
    <w:uiPriority w:val="0"/>
    <w:rPr>
      <w:rFonts w:ascii="黑体" w:hAnsi="Arial" w:eastAsia="黑体" w:cs="宋体"/>
      <w:bCs/>
      <w:snapToGrid w:val="0"/>
      <w:kern w:val="2"/>
      <w:sz w:val="28"/>
      <w:szCs w:val="28"/>
      <w:lang w:val="eu-ES" w:eastAsia="zh-CN" w:bidi="ar-SA"/>
    </w:rPr>
  </w:style>
  <w:style w:type="character" w:customStyle="1" w:styleId="173">
    <w:name w:val="报告表  段 Char"/>
    <w:link w:val="174"/>
    <w:qFormat/>
    <w:uiPriority w:val="0"/>
    <w:rPr>
      <w:rFonts w:ascii="宋体" w:hAnsi="Times New Roman"/>
      <w:sz w:val="24"/>
    </w:rPr>
  </w:style>
  <w:style w:type="paragraph" w:customStyle="1" w:styleId="174">
    <w:name w:val="报告表  段"/>
    <w:basedOn w:val="1"/>
    <w:link w:val="173"/>
    <w:qFormat/>
    <w:uiPriority w:val="0"/>
    <w:pPr>
      <w:adjustRightInd w:val="0"/>
      <w:spacing w:line="360" w:lineRule="auto"/>
      <w:ind w:firstLine="505"/>
      <w:textAlignment w:val="baseline"/>
    </w:pPr>
    <w:rPr>
      <w:rFonts w:ascii="宋体" w:eastAsiaTheme="minorEastAsia" w:cstheme="minorBidi"/>
      <w:kern w:val="0"/>
      <w:szCs w:val="20"/>
    </w:rPr>
  </w:style>
  <w:style w:type="paragraph" w:customStyle="1" w:styleId="175">
    <w:name w:val="Char Char Char Char"/>
    <w:basedOn w:val="1"/>
    <w:qFormat/>
    <w:uiPriority w:val="0"/>
    <w:rPr>
      <w:szCs w:val="20"/>
    </w:rPr>
  </w:style>
  <w:style w:type="paragraph" w:customStyle="1" w:styleId="176">
    <w:name w:val="样式 表格 32 + 首行缩进:  2 字符"/>
    <w:basedOn w:val="71"/>
    <w:qFormat/>
    <w:uiPriority w:val="0"/>
    <w:pPr>
      <w:spacing w:line="0" w:lineRule="atLeast"/>
      <w:ind w:firstLine="0" w:firstLineChars="0"/>
      <w:textAlignment w:val="auto"/>
    </w:pPr>
    <w:rPr>
      <w:rFonts w:eastAsia="宋体"/>
      <w:sz w:val="20"/>
      <w:szCs w:val="21"/>
    </w:rPr>
  </w:style>
  <w:style w:type="paragraph" w:customStyle="1" w:styleId="177">
    <w:name w:val="Char11"/>
    <w:basedOn w:val="1"/>
    <w:qFormat/>
    <w:uiPriority w:val="0"/>
    <w:rPr>
      <w:sz w:val="21"/>
    </w:rPr>
  </w:style>
  <w:style w:type="paragraph" w:customStyle="1" w:styleId="178">
    <w:name w:val="样式 四号 黑色 行距: 1.5 倍行距 首行缩进:  2 字符"/>
    <w:basedOn w:val="1"/>
    <w:qFormat/>
    <w:uiPriority w:val="0"/>
    <w:pPr>
      <w:spacing w:line="360" w:lineRule="auto"/>
      <w:ind w:firstLine="560" w:firstLineChars="200"/>
    </w:pPr>
    <w:rPr>
      <w:rFonts w:eastAsia="仿宋_GB2312" w:cs="宋体"/>
      <w:color w:val="000000"/>
      <w:sz w:val="28"/>
      <w:szCs w:val="20"/>
    </w:rPr>
  </w:style>
  <w:style w:type="paragraph" w:customStyle="1" w:styleId="179">
    <w:name w:val="CM18"/>
    <w:basedOn w:val="54"/>
    <w:next w:val="54"/>
    <w:qFormat/>
    <w:uiPriority w:val="0"/>
    <w:rPr>
      <w:rFonts w:ascii="Calibri" w:hAnsi="Calibri" w:cs="Times New Roman"/>
      <w:color w:val="auto"/>
    </w:rPr>
  </w:style>
  <w:style w:type="paragraph" w:customStyle="1" w:styleId="180">
    <w:name w:val="表格小五"/>
    <w:basedOn w:val="1"/>
    <w:qFormat/>
    <w:uiPriority w:val="0"/>
    <w:pPr>
      <w:adjustRightInd w:val="0"/>
      <w:snapToGrid w:val="0"/>
      <w:spacing w:line="320" w:lineRule="exact"/>
      <w:ind w:left="-42" w:leftChars="-20" w:right="-42" w:rightChars="-20"/>
      <w:jc w:val="center"/>
      <w:textAlignment w:val="baseline"/>
    </w:pPr>
    <w:rPr>
      <w:snapToGrid w:val="0"/>
      <w:kern w:val="40"/>
      <w:sz w:val="18"/>
      <w:szCs w:val="21"/>
    </w:rPr>
  </w:style>
  <w:style w:type="paragraph" w:customStyle="1" w:styleId="181">
    <w:name w:val="中文报告书样式"/>
    <w:basedOn w:val="1"/>
    <w:qFormat/>
    <w:uiPriority w:val="0"/>
    <w:pPr>
      <w:adjustRightInd w:val="0"/>
      <w:spacing w:line="480" w:lineRule="atLeast"/>
      <w:ind w:firstLine="482"/>
      <w:textAlignment w:val="baseline"/>
    </w:pPr>
    <w:rPr>
      <w:kern w:val="24"/>
      <w:szCs w:val="20"/>
    </w:rPr>
  </w:style>
  <w:style w:type="paragraph" w:customStyle="1" w:styleId="182">
    <w:name w:val="段落 Char1"/>
    <w:basedOn w:val="1"/>
    <w:qFormat/>
    <w:uiPriority w:val="0"/>
    <w:pPr>
      <w:tabs>
        <w:tab w:val="left" w:pos="1021"/>
      </w:tabs>
      <w:spacing w:line="360" w:lineRule="auto"/>
      <w:ind w:firstLine="504" w:firstLineChars="200"/>
    </w:pPr>
    <w:rPr>
      <w:rFonts w:hAnsi="宋体"/>
      <w:bCs/>
      <w:color w:val="000000"/>
      <w:spacing w:val="6"/>
      <w:szCs w:val="28"/>
    </w:rPr>
  </w:style>
  <w:style w:type="paragraph" w:customStyle="1" w:styleId="183">
    <w:name w:val="二级无标题条"/>
    <w:basedOn w:val="1"/>
    <w:qFormat/>
    <w:uiPriority w:val="0"/>
    <w:rPr>
      <w:sz w:val="21"/>
      <w:szCs w:val="20"/>
    </w:rPr>
  </w:style>
  <w:style w:type="paragraph" w:customStyle="1" w:styleId="184">
    <w:name w:val="新正文样式"/>
    <w:basedOn w:val="1"/>
    <w:qFormat/>
    <w:uiPriority w:val="0"/>
    <w:pPr>
      <w:tabs>
        <w:tab w:val="left" w:pos="567"/>
      </w:tabs>
      <w:adjustRightInd w:val="0"/>
      <w:snapToGrid w:val="0"/>
      <w:jc w:val="center"/>
    </w:pPr>
    <w:rPr>
      <w:snapToGrid w:val="0"/>
      <w:kern w:val="0"/>
      <w:sz w:val="21"/>
      <w:szCs w:val="21"/>
    </w:rPr>
  </w:style>
  <w:style w:type="paragraph" w:customStyle="1" w:styleId="185">
    <w:name w:val="样式9"/>
    <w:basedOn w:val="10"/>
    <w:qFormat/>
    <w:uiPriority w:val="0"/>
    <w:pPr>
      <w:spacing w:line="360" w:lineRule="auto"/>
      <w:ind w:firstLine="480"/>
    </w:pPr>
    <w:rPr>
      <w:rFonts w:ascii="宋体"/>
      <w:snapToGrid w:val="0"/>
      <w:kern w:val="0"/>
      <w:szCs w:val="24"/>
    </w:rPr>
  </w:style>
  <w:style w:type="paragraph" w:customStyle="1" w:styleId="186">
    <w:name w:val="样式 首行缩进:  1 厘米 行距: 固定值 25 磅"/>
    <w:basedOn w:val="1"/>
    <w:qFormat/>
    <w:uiPriority w:val="0"/>
    <w:pPr>
      <w:adjustRightInd w:val="0"/>
      <w:snapToGrid w:val="0"/>
      <w:spacing w:line="360" w:lineRule="auto"/>
      <w:ind w:firstLine="200" w:firstLineChars="200"/>
      <w:jc w:val="left"/>
    </w:pPr>
    <w:rPr>
      <w:rFonts w:ascii="宋体" w:cs="宋体"/>
      <w:kern w:val="24"/>
    </w:rPr>
  </w:style>
  <w:style w:type="paragraph" w:customStyle="1" w:styleId="187">
    <w:name w:val="段落1"/>
    <w:basedOn w:val="1"/>
    <w:qFormat/>
    <w:uiPriority w:val="0"/>
    <w:pPr>
      <w:spacing w:line="480" w:lineRule="exact"/>
      <w:ind w:firstLine="200" w:firstLineChars="200"/>
    </w:pPr>
    <w:rPr>
      <w:rFonts w:eastAsia="楷体_GB2312"/>
      <w:spacing w:val="6"/>
      <w:sz w:val="28"/>
    </w:rPr>
  </w:style>
  <w:style w:type="paragraph" w:customStyle="1" w:styleId="188">
    <w:name w:val="reader-word-layer reader-word-s9-1"/>
    <w:basedOn w:val="1"/>
    <w:qFormat/>
    <w:uiPriority w:val="0"/>
    <w:pPr>
      <w:widowControl/>
      <w:spacing w:before="100" w:beforeAutospacing="1" w:after="100" w:afterAutospacing="1"/>
      <w:jc w:val="left"/>
    </w:pPr>
    <w:rPr>
      <w:rFonts w:ascii="宋体" w:hAnsi="宋体" w:cs="宋体"/>
      <w:kern w:val="0"/>
    </w:rPr>
  </w:style>
  <w:style w:type="paragraph" w:customStyle="1" w:styleId="189">
    <w:name w:val="表格文字2"/>
    <w:basedOn w:val="1"/>
    <w:qFormat/>
    <w:uiPriority w:val="0"/>
    <w:pPr>
      <w:adjustRightInd w:val="0"/>
      <w:spacing w:before="60"/>
      <w:jc w:val="center"/>
      <w:textAlignment w:val="baseline"/>
    </w:pPr>
    <w:rPr>
      <w:rFonts w:ascii="宋体"/>
      <w:kern w:val="0"/>
      <w:szCs w:val="20"/>
    </w:rPr>
  </w:style>
  <w:style w:type="paragraph" w:customStyle="1" w:styleId="190">
    <w:name w:val="TOC 标题2"/>
    <w:basedOn w:val="4"/>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191">
    <w:name w:val="CM5"/>
    <w:basedOn w:val="54"/>
    <w:next w:val="54"/>
    <w:qFormat/>
    <w:uiPriority w:val="0"/>
    <w:pPr>
      <w:spacing w:line="468" w:lineRule="atLeast"/>
    </w:pPr>
    <w:rPr>
      <w:rFonts w:ascii="华文中宋" w:eastAsia="华文中宋" w:cs="Times New Roman"/>
      <w:color w:val="auto"/>
    </w:rPr>
  </w:style>
  <w:style w:type="paragraph" w:customStyle="1" w:styleId="192">
    <w:name w:val="zhang正文"/>
    <w:basedOn w:val="18"/>
    <w:qFormat/>
    <w:uiPriority w:val="0"/>
    <w:pPr>
      <w:autoSpaceDE w:val="0"/>
      <w:autoSpaceDN w:val="0"/>
      <w:adjustRightInd w:val="0"/>
      <w:snapToGrid w:val="0"/>
      <w:spacing w:after="0" w:line="500" w:lineRule="exact"/>
      <w:ind w:left="0" w:leftChars="0" w:firstLine="539"/>
      <w:textAlignment w:val="baseline"/>
    </w:pPr>
    <w:rPr>
      <w:rFonts w:eastAsia="楷体_GB2312"/>
      <w:kern w:val="0"/>
      <w:sz w:val="28"/>
      <w:szCs w:val="20"/>
    </w:rPr>
  </w:style>
  <w:style w:type="paragraph" w:customStyle="1" w:styleId="193">
    <w:name w:val="我的正文"/>
    <w:basedOn w:val="1"/>
    <w:qFormat/>
    <w:uiPriority w:val="0"/>
    <w:pPr>
      <w:spacing w:line="520" w:lineRule="exact"/>
      <w:ind w:firstLine="200" w:firstLineChars="200"/>
    </w:pPr>
    <w:rPr>
      <w:color w:val="000000"/>
      <w:szCs w:val="20"/>
    </w:rPr>
  </w:style>
  <w:style w:type="paragraph" w:customStyle="1" w:styleId="19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95">
    <w:name w:val="文章正文"/>
    <w:basedOn w:val="1"/>
    <w:qFormat/>
    <w:uiPriority w:val="0"/>
    <w:pPr>
      <w:spacing w:beforeLines="50" w:afterLines="50" w:line="360" w:lineRule="auto"/>
      <w:ind w:firstLine="480" w:firstLineChars="200"/>
    </w:pPr>
    <w:rPr>
      <w:rFonts w:ascii="宋体" w:hAnsi="宋体"/>
    </w:rPr>
  </w:style>
  <w:style w:type="paragraph" w:customStyle="1" w:styleId="196">
    <w:name w:val="表尾"/>
    <w:basedOn w:val="1"/>
    <w:qFormat/>
    <w:uiPriority w:val="0"/>
    <w:pPr>
      <w:tabs>
        <w:tab w:val="left" w:pos="1021"/>
      </w:tabs>
      <w:spacing w:line="160" w:lineRule="exact"/>
      <w:ind w:firstLine="200" w:firstLineChars="200"/>
    </w:pPr>
    <w:rPr>
      <w:sz w:val="10"/>
      <w:szCs w:val="20"/>
    </w:rPr>
  </w:style>
  <w:style w:type="paragraph" w:customStyle="1" w:styleId="197">
    <w:name w:val="reader-word-layer reader-word-s1-22"/>
    <w:basedOn w:val="1"/>
    <w:qFormat/>
    <w:uiPriority w:val="0"/>
    <w:pPr>
      <w:widowControl/>
      <w:spacing w:before="100" w:beforeAutospacing="1" w:after="100" w:afterAutospacing="1"/>
      <w:jc w:val="left"/>
    </w:pPr>
    <w:rPr>
      <w:rFonts w:ascii="宋体" w:hAnsi="宋体" w:cs="宋体"/>
      <w:kern w:val="0"/>
    </w:rPr>
  </w:style>
  <w:style w:type="paragraph" w:customStyle="1" w:styleId="198">
    <w:name w:val="样式 样式 样式 正文文本缩进 + 宋体 + 首行缩进:  1.92 字符 + 首行缩进:  1.92 字符"/>
    <w:basedOn w:val="1"/>
    <w:qFormat/>
    <w:uiPriority w:val="0"/>
    <w:pPr>
      <w:spacing w:line="360" w:lineRule="auto"/>
      <w:ind w:firstLine="192" w:firstLineChars="192"/>
    </w:pPr>
    <w:rPr>
      <w:rFonts w:ascii="宋体" w:hAnsi="宋体" w:cs="宋体"/>
      <w:color w:val="000000"/>
      <w:sz w:val="28"/>
      <w:szCs w:val="20"/>
    </w:rPr>
  </w:style>
  <w:style w:type="paragraph" w:customStyle="1" w:styleId="199">
    <w:name w:val="reader-word-layer reader-word-s1-1"/>
    <w:basedOn w:val="1"/>
    <w:qFormat/>
    <w:uiPriority w:val="0"/>
    <w:pPr>
      <w:widowControl/>
      <w:spacing w:before="100" w:beforeAutospacing="1" w:after="100" w:afterAutospacing="1"/>
      <w:jc w:val="left"/>
    </w:pPr>
    <w:rPr>
      <w:rFonts w:ascii="宋体" w:hAnsi="宋体" w:cs="宋体"/>
      <w:kern w:val="0"/>
    </w:rPr>
  </w:style>
  <w:style w:type="paragraph" w:customStyle="1" w:styleId="200">
    <w:name w:val="xl37"/>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right"/>
      <w:textAlignment w:val="center"/>
    </w:pPr>
    <w:rPr>
      <w:rFonts w:ascii="宋体" w:hAnsi="宋体"/>
      <w:kern w:val="0"/>
    </w:rPr>
  </w:style>
  <w:style w:type="paragraph" w:customStyle="1" w:styleId="201">
    <w:name w:val="WPS Plain"/>
    <w:qFormat/>
    <w:uiPriority w:val="0"/>
    <w:rPr>
      <w:rFonts w:ascii="Times New Roman" w:hAnsi="Times New Roman" w:eastAsia="宋体" w:cs="Times New Roman"/>
      <w:lang w:val="en-US" w:eastAsia="zh-CN" w:bidi="ar-SA"/>
    </w:rPr>
  </w:style>
  <w:style w:type="paragraph" w:customStyle="1" w:styleId="202">
    <w:name w:val="reader-word-layer reader-word-s2-2"/>
    <w:basedOn w:val="1"/>
    <w:qFormat/>
    <w:uiPriority w:val="0"/>
    <w:pPr>
      <w:widowControl/>
      <w:spacing w:before="100" w:beforeAutospacing="1" w:after="100" w:afterAutospacing="1"/>
      <w:jc w:val="left"/>
    </w:pPr>
    <w:rPr>
      <w:rFonts w:ascii="宋体" w:hAnsi="宋体" w:cs="宋体"/>
      <w:kern w:val="0"/>
    </w:rPr>
  </w:style>
  <w:style w:type="paragraph" w:customStyle="1" w:styleId="203">
    <w:name w:val="1表格"/>
    <w:basedOn w:val="1"/>
    <w:qFormat/>
    <w:uiPriority w:val="0"/>
    <w:pPr>
      <w:snapToGrid w:val="0"/>
      <w:jc w:val="center"/>
      <w:outlineLvl w:val="4"/>
    </w:pPr>
    <w:rPr>
      <w:spacing w:val="4"/>
      <w:sz w:val="21"/>
    </w:rPr>
  </w:style>
  <w:style w:type="paragraph" w:customStyle="1" w:styleId="204">
    <w:name w:val="样式 正文首行缩进:  2 字符 + 首行缩进:  2 字符"/>
    <w:basedOn w:val="1"/>
    <w:qFormat/>
    <w:uiPriority w:val="0"/>
    <w:pPr>
      <w:spacing w:line="360" w:lineRule="auto"/>
      <w:ind w:firstLine="480" w:firstLineChars="200"/>
    </w:pPr>
    <w:rPr>
      <w:rFonts w:cs="宋体"/>
      <w:szCs w:val="20"/>
    </w:rPr>
  </w:style>
  <w:style w:type="paragraph" w:customStyle="1" w:styleId="205">
    <w:name w:val="表序号"/>
    <w:basedOn w:val="8"/>
    <w:qFormat/>
    <w:uiPriority w:val="0"/>
    <w:pPr>
      <w:spacing w:before="0" w:after="0" w:line="480" w:lineRule="exact"/>
      <w:ind w:left="567" w:leftChars="100" w:hanging="357"/>
      <w:jc w:val="center"/>
    </w:pPr>
    <w:rPr>
      <w:rFonts w:eastAsia="楷体_GB2312"/>
      <w:bCs w:val="0"/>
      <w:sz w:val="24"/>
      <w:szCs w:val="24"/>
    </w:rPr>
  </w:style>
  <w:style w:type="paragraph" w:customStyle="1" w:styleId="206">
    <w:name w:val="CM3"/>
    <w:basedOn w:val="54"/>
    <w:next w:val="54"/>
    <w:qFormat/>
    <w:uiPriority w:val="0"/>
    <w:pPr>
      <w:spacing w:line="468" w:lineRule="atLeast"/>
    </w:pPr>
    <w:rPr>
      <w:rFonts w:cs="Times New Roman"/>
      <w:color w:val="auto"/>
    </w:rPr>
  </w:style>
  <w:style w:type="paragraph" w:customStyle="1" w:styleId="207">
    <w:name w:val="CM2"/>
    <w:basedOn w:val="54"/>
    <w:next w:val="54"/>
    <w:qFormat/>
    <w:uiPriority w:val="0"/>
    <w:pPr>
      <w:spacing w:line="468" w:lineRule="atLeast"/>
    </w:pPr>
    <w:rPr>
      <w:rFonts w:cs="Times New Roman"/>
      <w:color w:val="auto"/>
    </w:rPr>
  </w:style>
  <w:style w:type="paragraph" w:customStyle="1" w:styleId="208">
    <w:name w:val="缩进"/>
    <w:basedOn w:val="1"/>
    <w:qFormat/>
    <w:uiPriority w:val="0"/>
    <w:pPr>
      <w:autoSpaceDE w:val="0"/>
      <w:autoSpaceDN w:val="0"/>
      <w:adjustRightInd w:val="0"/>
      <w:spacing w:line="400" w:lineRule="atLeast"/>
      <w:ind w:firstLine="425"/>
      <w:textAlignment w:val="baseline"/>
    </w:pPr>
    <w:rPr>
      <w:szCs w:val="20"/>
    </w:rPr>
  </w:style>
  <w:style w:type="paragraph" w:customStyle="1" w:styleId="209">
    <w:name w:val="样式1"/>
    <w:basedOn w:val="22"/>
    <w:qFormat/>
    <w:uiPriority w:val="0"/>
    <w:pPr>
      <w:spacing w:line="460" w:lineRule="exact"/>
    </w:pPr>
    <w:rPr>
      <w:rFonts w:ascii="黑体" w:hAnsi="Times New Roman" w:eastAsia="黑体"/>
      <w:b/>
      <w:bCs/>
      <w:sz w:val="28"/>
    </w:rPr>
  </w:style>
  <w:style w:type="paragraph" w:customStyle="1" w:styleId="210">
    <w:name w:val="样式30"/>
    <w:basedOn w:val="1"/>
    <w:qFormat/>
    <w:uiPriority w:val="0"/>
    <w:pPr>
      <w:spacing w:beforeLines="50" w:afterLines="50" w:line="360" w:lineRule="auto"/>
      <w:ind w:firstLine="480" w:firstLineChars="200"/>
    </w:pPr>
  </w:style>
  <w:style w:type="paragraph" w:customStyle="1" w:styleId="211">
    <w:name w:val="Char Char Char Char2 Char"/>
    <w:basedOn w:val="1"/>
    <w:qFormat/>
    <w:uiPriority w:val="0"/>
    <w:pPr>
      <w:widowControl/>
      <w:spacing w:after="160" w:line="240" w:lineRule="exact"/>
      <w:jc w:val="left"/>
    </w:pPr>
    <w:rPr>
      <w:sz w:val="21"/>
    </w:rPr>
  </w:style>
  <w:style w:type="paragraph" w:customStyle="1" w:styleId="212">
    <w:name w:val="样式 样式 样式 标题 3条标题1.1.1 + + 段后: 1 行 + 段后: 1 行"/>
    <w:basedOn w:val="1"/>
    <w:qFormat/>
    <w:uiPriority w:val="0"/>
    <w:pPr>
      <w:overflowPunct w:val="0"/>
      <w:autoSpaceDE w:val="0"/>
      <w:autoSpaceDN w:val="0"/>
      <w:adjustRightInd w:val="0"/>
      <w:spacing w:before="120" w:afterLines="100"/>
      <w:textAlignment w:val="baseline"/>
      <w:outlineLvl w:val="2"/>
    </w:pPr>
    <w:rPr>
      <w:rFonts w:ascii="Arial" w:hAnsi="Arial" w:eastAsia="黑体" w:cs="宋体"/>
      <w:kern w:val="20"/>
      <w:sz w:val="28"/>
      <w:szCs w:val="20"/>
    </w:rPr>
  </w:style>
  <w:style w:type="paragraph" w:customStyle="1" w:styleId="213">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214">
    <w:name w:val="reader-word-layer reader-word-s9-5"/>
    <w:basedOn w:val="1"/>
    <w:qFormat/>
    <w:uiPriority w:val="0"/>
    <w:pPr>
      <w:widowControl/>
      <w:spacing w:before="100" w:beforeAutospacing="1" w:after="100" w:afterAutospacing="1"/>
      <w:jc w:val="left"/>
    </w:pPr>
    <w:rPr>
      <w:rFonts w:ascii="宋体" w:hAnsi="宋体" w:cs="宋体"/>
      <w:kern w:val="0"/>
    </w:rPr>
  </w:style>
  <w:style w:type="paragraph" w:customStyle="1" w:styleId="215">
    <w:name w:val="xl24"/>
    <w:basedOn w:val="1"/>
    <w:qFormat/>
    <w:uiPriority w:val="0"/>
    <w:pPr>
      <w:widowControl/>
      <w:pBdr>
        <w:bottom w:val="single" w:color="000000" w:sz="4" w:space="0"/>
        <w:right w:val="single" w:color="000000" w:sz="4" w:space="0"/>
      </w:pBdr>
      <w:spacing w:before="100" w:beforeAutospacing="1" w:after="100" w:afterAutospacing="1"/>
      <w:jc w:val="center"/>
      <w:textAlignment w:val="top"/>
    </w:pPr>
    <w:rPr>
      <w:kern w:val="0"/>
      <w:sz w:val="21"/>
      <w:szCs w:val="21"/>
    </w:rPr>
  </w:style>
  <w:style w:type="paragraph" w:customStyle="1" w:styleId="216">
    <w:name w:val="样式5"/>
    <w:basedOn w:val="32"/>
    <w:qFormat/>
    <w:uiPriority w:val="0"/>
    <w:pPr>
      <w:ind w:left="482" w:firstLine="0" w:firstLineChars="0"/>
    </w:pPr>
    <w:rPr>
      <w:rFonts w:eastAsia="仿宋_GB2312"/>
    </w:rPr>
  </w:style>
  <w:style w:type="paragraph" w:customStyle="1" w:styleId="217">
    <w:name w:val="样式 小四 首行缩进:  0.85 厘米 行距: 1.5 倍行距"/>
    <w:basedOn w:val="1"/>
    <w:qFormat/>
    <w:uiPriority w:val="0"/>
    <w:pPr>
      <w:spacing w:line="360" w:lineRule="auto"/>
      <w:ind w:firstLine="482"/>
    </w:pPr>
  </w:style>
  <w:style w:type="paragraph" w:customStyle="1" w:styleId="218">
    <w:name w:val="样式 表头 + 加宽量  0.35 磅"/>
    <w:basedOn w:val="160"/>
    <w:qFormat/>
    <w:uiPriority w:val="0"/>
    <w:pPr>
      <w:overflowPunct w:val="0"/>
      <w:autoSpaceDE w:val="0"/>
      <w:autoSpaceDN w:val="0"/>
      <w:snapToGrid/>
      <w:spacing w:line="460" w:lineRule="exact"/>
      <w:ind w:firstLine="241" w:firstLineChars="100"/>
      <w:textAlignment w:val="baseline"/>
    </w:pPr>
    <w:rPr>
      <w:rFonts w:ascii="宋体" w:eastAsia="宋体"/>
      <w:b/>
      <w:color w:val="auto"/>
      <w:sz w:val="24"/>
      <w:szCs w:val="24"/>
    </w:rPr>
  </w:style>
  <w:style w:type="paragraph" w:customStyle="1" w:styleId="219">
    <w:name w:val="样式 标题 2SeHead wsa2ChapterChapter TitleH21标题 1.1节1.1标题 2..."/>
    <w:basedOn w:val="5"/>
    <w:qFormat/>
    <w:uiPriority w:val="0"/>
    <w:pPr>
      <w:widowControl/>
      <w:tabs>
        <w:tab w:val="left" w:pos="540"/>
        <w:tab w:val="left" w:pos="851"/>
      </w:tabs>
      <w:adjustRightInd w:val="0"/>
      <w:snapToGrid w:val="0"/>
      <w:spacing w:before="160" w:after="0" w:line="360" w:lineRule="auto"/>
    </w:pPr>
    <w:rPr>
      <w:rFonts w:ascii="宋体" w:hAnsi="Arial"/>
      <w:snapToGrid w:val="0"/>
      <w:kern w:val="0"/>
      <w:sz w:val="28"/>
      <w:szCs w:val="20"/>
    </w:rPr>
  </w:style>
  <w:style w:type="paragraph" w:customStyle="1" w:styleId="220">
    <w:name w:val="样式 标题 3ReHead 3 WSAh3B HeadH3..条标题1.1.1BSH-3b333rd le..."/>
    <w:basedOn w:val="6"/>
    <w:qFormat/>
    <w:uiPriority w:val="0"/>
    <w:pPr>
      <w:keepLines w:val="0"/>
      <w:tabs>
        <w:tab w:val="left" w:pos="0"/>
        <w:tab w:val="left" w:pos="720"/>
        <w:tab w:val="left" w:pos="900"/>
        <w:tab w:val="left" w:pos="1980"/>
      </w:tabs>
      <w:adjustRightInd w:val="0"/>
      <w:snapToGrid w:val="0"/>
      <w:spacing w:before="0" w:after="0" w:line="360" w:lineRule="auto"/>
    </w:pPr>
    <w:rPr>
      <w:rFonts w:ascii="宋体" w:hAnsi="宋体"/>
      <w:snapToGrid w:val="0"/>
      <w:kern w:val="0"/>
      <w:sz w:val="24"/>
      <w:szCs w:val="20"/>
    </w:rPr>
  </w:style>
  <w:style w:type="paragraph" w:customStyle="1" w:styleId="221">
    <w:name w:val="Char2"/>
    <w:basedOn w:val="1"/>
    <w:qFormat/>
    <w:uiPriority w:val="0"/>
  </w:style>
  <w:style w:type="paragraph" w:customStyle="1" w:styleId="222">
    <w:name w:val="样式 首行缩进:  2 字符 行距: 固定值 15 磅"/>
    <w:basedOn w:val="1"/>
    <w:qFormat/>
    <w:uiPriority w:val="0"/>
    <w:pPr>
      <w:adjustRightInd w:val="0"/>
      <w:snapToGrid w:val="0"/>
      <w:spacing w:line="360" w:lineRule="auto"/>
      <w:ind w:firstLine="560" w:firstLineChars="200"/>
    </w:pPr>
    <w:rPr>
      <w:rFonts w:ascii="仿宋_GB2312" w:eastAsia="仿宋_GB2312"/>
      <w:sz w:val="28"/>
    </w:rPr>
  </w:style>
  <w:style w:type="paragraph" w:customStyle="1" w:styleId="223">
    <w:name w:val="Char Char Char Char Char Char"/>
    <w:basedOn w:val="1"/>
    <w:qFormat/>
    <w:uiPriority w:val="0"/>
  </w:style>
  <w:style w:type="paragraph" w:customStyle="1" w:styleId="224">
    <w:name w:val="简单回函地址"/>
    <w:basedOn w:val="1"/>
    <w:qFormat/>
    <w:uiPriority w:val="0"/>
    <w:rPr>
      <w:sz w:val="21"/>
      <w:szCs w:val="20"/>
    </w:rPr>
  </w:style>
  <w:style w:type="paragraph" w:customStyle="1" w:styleId="225">
    <w:name w:val="222表序号，无间隔"/>
    <w:basedOn w:val="9"/>
    <w:next w:val="1"/>
    <w:qFormat/>
    <w:uiPriority w:val="1"/>
    <w:pPr>
      <w:tabs>
        <w:tab w:val="clear" w:pos="3260"/>
      </w:tabs>
      <w:adjustRightInd/>
      <w:snapToGrid/>
      <w:spacing w:before="200" w:after="120" w:line="240" w:lineRule="auto"/>
      <w:ind w:left="0" w:firstLine="0"/>
      <w:jc w:val="left"/>
    </w:pPr>
    <w:rPr>
      <w:rFonts w:ascii="Cambria" w:hAnsi="Cambria" w:eastAsia="宋体"/>
      <w:iCs/>
      <w:snapToGrid/>
    </w:rPr>
  </w:style>
  <w:style w:type="paragraph" w:customStyle="1" w:styleId="226">
    <w:name w:val="报告书表格"/>
    <w:basedOn w:val="1"/>
    <w:qFormat/>
    <w:uiPriority w:val="0"/>
    <w:pPr>
      <w:adjustRightInd w:val="0"/>
      <w:spacing w:before="60" w:after="60" w:line="240" w:lineRule="atLeast"/>
      <w:jc w:val="center"/>
      <w:textAlignment w:val="baseline"/>
    </w:pPr>
    <w:rPr>
      <w:kern w:val="0"/>
      <w:sz w:val="21"/>
      <w:szCs w:val="20"/>
    </w:rPr>
  </w:style>
  <w:style w:type="paragraph" w:customStyle="1" w:styleId="227">
    <w:name w:val="In Table"/>
    <w:basedOn w:val="1"/>
    <w:qFormat/>
    <w:uiPriority w:val="0"/>
    <w:pPr>
      <w:tabs>
        <w:tab w:val="left" w:pos="2200"/>
        <w:tab w:val="left" w:pos="3960"/>
        <w:tab w:val="left" w:pos="5280"/>
      </w:tabs>
      <w:spacing w:before="96" w:after="96" w:line="0" w:lineRule="atLeast"/>
      <w:jc w:val="center"/>
    </w:pPr>
    <w:rPr>
      <w:rFonts w:ascii="Tahoma" w:hAnsi="Tahoma" w:eastAsia="华文中宋"/>
      <w:sz w:val="21"/>
      <w:szCs w:val="20"/>
    </w:rPr>
  </w:style>
  <w:style w:type="paragraph" w:customStyle="1" w:styleId="228">
    <w:name w:val="表格内文字"/>
    <w:basedOn w:val="1"/>
    <w:qFormat/>
    <w:uiPriority w:val="0"/>
    <w:pPr>
      <w:tabs>
        <w:tab w:val="left" w:pos="0"/>
      </w:tabs>
      <w:adjustRightInd w:val="0"/>
      <w:snapToGrid w:val="0"/>
      <w:jc w:val="center"/>
    </w:pPr>
    <w:rPr>
      <w:rFonts w:ascii="仿宋_GB2312" w:eastAsia="仿宋_GB2312"/>
      <w:spacing w:val="4"/>
      <w:kern w:val="18"/>
    </w:rPr>
  </w:style>
  <w:style w:type="paragraph" w:customStyle="1" w:styleId="229">
    <w:name w:val="样式 标题 2H2He + 首行缩进:  0.5 字符"/>
    <w:basedOn w:val="5"/>
    <w:qFormat/>
    <w:uiPriority w:val="0"/>
    <w:pPr>
      <w:keepNext w:val="0"/>
      <w:keepLines w:val="0"/>
      <w:tabs>
        <w:tab w:val="left" w:pos="648"/>
      </w:tabs>
      <w:overflowPunct w:val="0"/>
      <w:autoSpaceDE w:val="0"/>
      <w:autoSpaceDN w:val="0"/>
      <w:adjustRightInd w:val="0"/>
      <w:spacing w:before="40" w:after="40" w:line="324" w:lineRule="auto"/>
      <w:ind w:firstLine="221" w:firstLineChars="50"/>
      <w:textAlignment w:val="baseline"/>
    </w:pPr>
    <w:rPr>
      <w:rFonts w:ascii="Times New Roman" w:hAnsi="Times New Roman" w:cs="宋体"/>
      <w:bCs w:val="0"/>
      <w:color w:val="000000"/>
      <w:kern w:val="32"/>
      <w:sz w:val="28"/>
      <w:szCs w:val="20"/>
    </w:rPr>
  </w:style>
  <w:style w:type="paragraph" w:customStyle="1" w:styleId="230">
    <w:name w:val="标题 21"/>
    <w:basedOn w:val="1"/>
    <w:qFormat/>
    <w:uiPriority w:val="1"/>
    <w:pPr>
      <w:autoSpaceDE w:val="0"/>
      <w:autoSpaceDN w:val="0"/>
      <w:adjustRightInd w:val="0"/>
      <w:ind w:left="1257"/>
      <w:jc w:val="left"/>
      <w:outlineLvl w:val="1"/>
    </w:pPr>
    <w:rPr>
      <w:rFonts w:ascii="微软雅黑" w:eastAsia="微软雅黑" w:cs="微软雅黑"/>
      <w:b/>
      <w:bCs/>
      <w:kern w:val="0"/>
      <w:sz w:val="32"/>
      <w:szCs w:val="32"/>
    </w:rPr>
  </w:style>
  <w:style w:type="character" w:customStyle="1" w:styleId="231">
    <w:name w:val="注释标题 Char1"/>
    <w:basedOn w:val="46"/>
    <w:qFormat/>
    <w:locked/>
    <w:uiPriority w:val="0"/>
    <w:rPr>
      <w:rFonts w:ascii="Times New Roman" w:hAnsi="Times New Roman" w:eastAsia="宋体" w:cs="Times New Roman"/>
      <w:kern w:val="2"/>
      <w:sz w:val="21"/>
      <w:szCs w:val="24"/>
    </w:rPr>
  </w:style>
  <w:style w:type="paragraph" w:customStyle="1" w:styleId="232">
    <w:name w:val="样式 四号 段前: 2.5 磅 段后: 2.5 磅"/>
    <w:basedOn w:val="1"/>
    <w:qFormat/>
    <w:uiPriority w:val="0"/>
    <w:pPr>
      <w:tabs>
        <w:tab w:val="right" w:pos="1916"/>
      </w:tabs>
      <w:spacing w:line="360" w:lineRule="auto"/>
      <w:ind w:firstLine="843" w:firstLineChars="400"/>
    </w:pPr>
    <w:rPr>
      <w:b/>
      <w:sz w:val="21"/>
      <w:szCs w:val="21"/>
    </w:rPr>
  </w:style>
  <w:style w:type="character" w:customStyle="1" w:styleId="233">
    <w:name w:val="D正文 Char"/>
    <w:link w:val="234"/>
    <w:qFormat/>
    <w:locked/>
    <w:uiPriority w:val="0"/>
    <w:rPr>
      <w:rFonts w:ascii="Times New Roman" w:hAnsi="Times New Roman"/>
      <w:kern w:val="2"/>
      <w:sz w:val="24"/>
      <w:szCs w:val="24"/>
    </w:rPr>
  </w:style>
  <w:style w:type="paragraph" w:customStyle="1" w:styleId="234">
    <w:name w:val="D正文"/>
    <w:basedOn w:val="1"/>
    <w:link w:val="233"/>
    <w:qFormat/>
    <w:uiPriority w:val="0"/>
    <w:pPr>
      <w:spacing w:line="384" w:lineRule="auto"/>
      <w:ind w:firstLine="200" w:firstLineChars="200"/>
    </w:pPr>
    <w:rPr>
      <w:rFonts w:eastAsiaTheme="minorEastAsia" w:cstheme="minorBidi"/>
    </w:rPr>
  </w:style>
  <w:style w:type="character" w:customStyle="1" w:styleId="235">
    <w:name w:val="Char1 Char Char"/>
    <w:link w:val="236"/>
    <w:qFormat/>
    <w:locked/>
    <w:uiPriority w:val="0"/>
    <w:rPr>
      <w:rFonts w:ascii="宋体" w:hAnsi="宋体" w:cs="宋体"/>
      <w:sz w:val="24"/>
    </w:rPr>
  </w:style>
  <w:style w:type="paragraph" w:customStyle="1" w:styleId="236">
    <w:name w:val="Char1"/>
    <w:basedOn w:val="1"/>
    <w:link w:val="235"/>
    <w:qFormat/>
    <w:uiPriority w:val="0"/>
    <w:pPr>
      <w:spacing w:line="360" w:lineRule="auto"/>
      <w:ind w:firstLine="200" w:firstLineChars="200"/>
    </w:pPr>
    <w:rPr>
      <w:rFonts w:ascii="宋体" w:hAnsi="宋体" w:cs="宋体" w:eastAsiaTheme="minorEastAsia"/>
      <w:kern w:val="0"/>
      <w:szCs w:val="20"/>
    </w:rPr>
  </w:style>
  <w:style w:type="paragraph" w:customStyle="1" w:styleId="237">
    <w:name w:val="纯文本2"/>
    <w:basedOn w:val="1"/>
    <w:qFormat/>
    <w:uiPriority w:val="0"/>
    <w:rPr>
      <w:rFonts w:ascii="宋体" w:hAnsi="Courier New"/>
      <w:sz w:val="21"/>
      <w:szCs w:val="20"/>
    </w:rPr>
  </w:style>
  <w:style w:type="character" w:customStyle="1" w:styleId="238">
    <w:name w:val="表格内容 Char"/>
    <w:link w:val="75"/>
    <w:qFormat/>
    <w:locked/>
    <w:uiPriority w:val="0"/>
    <w:rPr>
      <w:rFonts w:ascii="Times New Roman" w:hAnsi="Times New Roman" w:eastAsia="宋体" w:cs="Times New Roman"/>
      <w:sz w:val="21"/>
    </w:rPr>
  </w:style>
  <w:style w:type="paragraph" w:customStyle="1" w:styleId="239">
    <w:name w:val="样式 列表 + 五号 非加粗"/>
    <w:basedOn w:val="32"/>
    <w:qFormat/>
    <w:uiPriority w:val="0"/>
    <w:pPr>
      <w:adjustRightInd w:val="0"/>
      <w:snapToGrid w:val="0"/>
      <w:ind w:left="0" w:firstLine="0" w:firstLineChars="0"/>
      <w:contextualSpacing w:val="0"/>
      <w:jc w:val="left"/>
    </w:pPr>
    <w:rPr>
      <w:szCs w:val="24"/>
    </w:rPr>
  </w:style>
  <w:style w:type="paragraph" w:customStyle="1" w:styleId="240">
    <w:name w:val="报告表标题"/>
    <w:basedOn w:val="1"/>
    <w:next w:val="241"/>
    <w:qFormat/>
    <w:uiPriority w:val="0"/>
    <w:pPr>
      <w:snapToGrid w:val="0"/>
    </w:pPr>
    <w:rPr>
      <w:b/>
      <w:sz w:val="28"/>
      <w:szCs w:val="28"/>
    </w:rPr>
  </w:style>
  <w:style w:type="paragraph" w:customStyle="1" w:styleId="241">
    <w:name w:val="报告表正文"/>
    <w:basedOn w:val="1"/>
    <w:qFormat/>
    <w:uiPriority w:val="0"/>
    <w:pPr>
      <w:spacing w:line="360" w:lineRule="auto"/>
      <w:ind w:firstLine="200" w:firstLineChars="200"/>
    </w:pPr>
    <w:rPr>
      <w:rFonts w:eastAsia="楷体_GB2312"/>
    </w:rPr>
  </w:style>
  <w:style w:type="paragraph" w:customStyle="1" w:styleId="242">
    <w:name w:val="图表标题"/>
    <w:basedOn w:val="35"/>
    <w:next w:val="60"/>
    <w:qFormat/>
    <w:uiPriority w:val="0"/>
    <w:pPr>
      <w:spacing w:before="48" w:after="120"/>
      <w:outlineLvl w:val="4"/>
    </w:pPr>
    <w:rPr>
      <w:rFonts w:eastAsia="黑体"/>
      <w:bCs/>
      <w:snapToGrid w:val="0"/>
    </w:rPr>
  </w:style>
  <w:style w:type="paragraph" w:customStyle="1" w:styleId="243">
    <w:name w:val="文本正文"/>
    <w:basedOn w:val="1"/>
    <w:qFormat/>
    <w:uiPriority w:val="0"/>
    <w:pPr>
      <w:spacing w:line="360" w:lineRule="auto"/>
      <w:ind w:firstLine="480" w:firstLineChars="200"/>
    </w:pPr>
  </w:style>
  <w:style w:type="paragraph" w:customStyle="1" w:styleId="244">
    <w:name w:val="样式4"/>
    <w:basedOn w:val="1"/>
    <w:qFormat/>
    <w:uiPriority w:val="0"/>
    <w:pPr>
      <w:tabs>
        <w:tab w:val="left" w:pos="9128"/>
      </w:tabs>
      <w:adjustRightInd w:val="0"/>
      <w:snapToGrid w:val="0"/>
      <w:spacing w:line="500" w:lineRule="exact"/>
      <w:jc w:val="center"/>
    </w:pPr>
    <w:rPr>
      <w:szCs w:val="20"/>
    </w:rPr>
  </w:style>
  <w:style w:type="paragraph" w:customStyle="1" w:styleId="245">
    <w:name w:val="报告正文1"/>
    <w:basedOn w:val="43"/>
    <w:qFormat/>
    <w:uiPriority w:val="0"/>
    <w:pPr>
      <w:spacing w:after="0"/>
      <w:ind w:left="0" w:leftChars="0" w:firstLine="200"/>
    </w:pPr>
    <w:rPr>
      <w:snapToGrid w:val="0"/>
      <w:color w:val="000000"/>
      <w:szCs w:val="21"/>
    </w:rPr>
  </w:style>
  <w:style w:type="paragraph" w:customStyle="1" w:styleId="246">
    <w:name w:val="T正文"/>
    <w:qFormat/>
    <w:uiPriority w:val="0"/>
    <w:pPr>
      <w:widowControl w:val="0"/>
      <w:adjustRightInd w:val="0"/>
      <w:snapToGrid w:val="0"/>
      <w:spacing w:line="360" w:lineRule="auto"/>
      <w:ind w:firstLine="200" w:firstLineChars="200"/>
      <w:jc w:val="both"/>
    </w:pPr>
    <w:rPr>
      <w:rFonts w:ascii="Calibri" w:hAnsi="Calibri" w:eastAsia="仿宋_GB2312" w:cs="Times New Roman"/>
      <w:sz w:val="28"/>
      <w:lang w:val="en-US" w:eastAsia="zh-CN" w:bidi="ar-SA"/>
    </w:rPr>
  </w:style>
  <w:style w:type="paragraph" w:customStyle="1" w:styleId="247">
    <w:name w:val="样式 样式 正文 +1 + 宋体 黑色"/>
    <w:basedOn w:val="1"/>
    <w:qFormat/>
    <w:uiPriority w:val="0"/>
    <w:pPr>
      <w:spacing w:line="331" w:lineRule="auto"/>
    </w:pPr>
    <w:rPr>
      <w:rFonts w:ascii="宋体" w:hAnsi="宋体"/>
      <w:color w:val="000000"/>
      <w:spacing w:val="5"/>
      <w:kern w:val="0"/>
    </w:rPr>
  </w:style>
  <w:style w:type="paragraph" w:customStyle="1" w:styleId="248">
    <w:name w:val="表格文字"/>
    <w:basedOn w:val="1"/>
    <w:qFormat/>
    <w:uiPriority w:val="0"/>
    <w:pPr>
      <w:jc w:val="center"/>
    </w:pPr>
  </w:style>
  <w:style w:type="character" w:customStyle="1" w:styleId="249">
    <w:name w:val="正文缩进 Char"/>
    <w:basedOn w:val="46"/>
    <w:qFormat/>
    <w:uiPriority w:val="0"/>
    <w:rPr>
      <w:kern w:val="2"/>
      <w:sz w:val="21"/>
      <w:szCs w:val="22"/>
    </w:rPr>
  </w:style>
  <w:style w:type="paragraph" w:customStyle="1" w:styleId="250">
    <w:name w:val="正文（用）"/>
    <w:basedOn w:val="1"/>
    <w:qFormat/>
    <w:uiPriority w:val="0"/>
    <w:pPr>
      <w:spacing w:line="360" w:lineRule="auto"/>
      <w:ind w:firstLine="480" w:firstLineChars="200"/>
      <w:jc w:val="left"/>
    </w:pPr>
    <w:rPr>
      <w:rFonts w:ascii="宋体" w:hAnsi="宋体" w:cs="宋体"/>
      <w:szCs w:val="20"/>
    </w:rPr>
  </w:style>
  <w:style w:type="paragraph" w:customStyle="1" w:styleId="251">
    <w:name w:val="提头"/>
    <w:basedOn w:val="1"/>
    <w:next w:val="1"/>
    <w:link w:val="257"/>
    <w:qFormat/>
    <w:uiPriority w:val="0"/>
    <w:pPr>
      <w:tabs>
        <w:tab w:val="left" w:pos="227"/>
        <w:tab w:val="left" w:pos="2921"/>
      </w:tabs>
      <w:spacing w:line="360" w:lineRule="auto"/>
      <w:ind w:left="2694"/>
      <w:jc w:val="center"/>
    </w:pPr>
    <w:rPr>
      <w:b/>
    </w:rPr>
  </w:style>
  <w:style w:type="paragraph" w:customStyle="1" w:styleId="252">
    <w:name w:val="四级标题"/>
    <w:basedOn w:val="1"/>
    <w:qFormat/>
    <w:uiPriority w:val="0"/>
    <w:pPr>
      <w:spacing w:line="360" w:lineRule="auto"/>
      <w:outlineLvl w:val="3"/>
    </w:pPr>
    <w:rPr>
      <w:b/>
    </w:rPr>
  </w:style>
  <w:style w:type="character" w:customStyle="1" w:styleId="253">
    <w:name w:val="16"/>
    <w:qFormat/>
    <w:uiPriority w:val="0"/>
    <w:rPr>
      <w:rFonts w:hint="eastAsia" w:ascii="仿宋_GB2312" w:eastAsia="仿宋_GB2312"/>
      <w:kern w:val="144"/>
      <w:sz w:val="24"/>
      <w:szCs w:val="24"/>
    </w:rPr>
  </w:style>
  <w:style w:type="paragraph" w:customStyle="1" w:styleId="254">
    <w:name w:val="报告书正文"/>
    <w:basedOn w:val="1"/>
    <w:qFormat/>
    <w:uiPriority w:val="0"/>
    <w:pPr>
      <w:spacing w:line="300" w:lineRule="auto"/>
      <w:ind w:firstLine="496" w:firstLineChars="200"/>
    </w:pPr>
  </w:style>
  <w:style w:type="paragraph" w:customStyle="1" w:styleId="255">
    <w:name w:val="正文 New New New New New New New New New New New"/>
    <w:qFormat/>
    <w:uiPriority w:val="0"/>
    <w:pPr>
      <w:widowControl w:val="0"/>
      <w:jc w:val="both"/>
    </w:pPr>
    <w:rPr>
      <w:rFonts w:ascii="Calibri" w:hAnsi="Calibri" w:eastAsia="宋体" w:cs="Times New Roman"/>
      <w:kern w:val="2"/>
      <w:sz w:val="21"/>
      <w:szCs w:val="24"/>
      <w:lang w:val="en-US" w:eastAsia="zh-CN" w:bidi="ar-SA"/>
    </w:rPr>
  </w:style>
  <w:style w:type="table" w:customStyle="1" w:styleId="256">
    <w:name w:val="Table Normal"/>
    <w:semiHidden/>
    <w:unhideWhenUsed/>
    <w:qFormat/>
    <w:uiPriority w:val="2"/>
    <w:pPr>
      <w:widowControl w:val="0"/>
    </w:pPr>
    <w:rPr>
      <w:sz w:val="22"/>
      <w:szCs w:val="22"/>
      <w:lang w:eastAsia="en-US"/>
    </w:rPr>
    <w:tblPr>
      <w:tblCellMar>
        <w:top w:w="0" w:type="dxa"/>
        <w:left w:w="0" w:type="dxa"/>
        <w:bottom w:w="0" w:type="dxa"/>
        <w:right w:w="0" w:type="dxa"/>
      </w:tblCellMar>
    </w:tblPr>
  </w:style>
  <w:style w:type="character" w:customStyle="1" w:styleId="257">
    <w:name w:val="提头 Char"/>
    <w:link w:val="251"/>
    <w:qFormat/>
    <w:uiPriority w:val="0"/>
    <w:rPr>
      <w:rFonts w:ascii="Times New Roman" w:hAnsi="Times New Roman" w:eastAsia="宋体" w:cs="Times New Roman"/>
      <w:b/>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9" Type="http://schemas.openxmlformats.org/officeDocument/2006/relationships/fontTable" Target="fontTable.xml"/><Relationship Id="rId38" Type="http://schemas.openxmlformats.org/officeDocument/2006/relationships/customXml" Target="../customXml/item2.xml"/><Relationship Id="rId37" Type="http://schemas.openxmlformats.org/officeDocument/2006/relationships/numbering" Target="numbering.xml"/><Relationship Id="rId36" Type="http://schemas.openxmlformats.org/officeDocument/2006/relationships/customXml" Target="../customXml/item1.xml"/><Relationship Id="rId35" Type="http://schemas.openxmlformats.org/officeDocument/2006/relationships/image" Target="media/image29.png"/><Relationship Id="rId34" Type="http://schemas.openxmlformats.org/officeDocument/2006/relationships/image" Target="media/image28.emf"/><Relationship Id="rId33" Type="http://schemas.openxmlformats.org/officeDocument/2006/relationships/image" Target="media/image27.png"/><Relationship Id="rId32" Type="http://schemas.openxmlformats.org/officeDocument/2006/relationships/image" Target="media/image26.emf"/><Relationship Id="rId31" Type="http://schemas.openxmlformats.org/officeDocument/2006/relationships/image" Target="media/image25.png"/><Relationship Id="rId30" Type="http://schemas.openxmlformats.org/officeDocument/2006/relationships/image" Target="media/image24.png"/><Relationship Id="rId3" Type="http://schemas.openxmlformats.org/officeDocument/2006/relationships/footer" Target="footer1.xml"/><Relationship Id="rId29" Type="http://schemas.openxmlformats.org/officeDocument/2006/relationships/image" Target="media/image23.png"/><Relationship Id="rId28" Type="http://schemas.openxmlformats.org/officeDocument/2006/relationships/image" Target="media/image22.png"/><Relationship Id="rId27" Type="http://schemas.openxmlformats.org/officeDocument/2006/relationships/image" Target="media/image21.png"/><Relationship Id="rId26" Type="http://schemas.openxmlformats.org/officeDocument/2006/relationships/image" Target="media/image20.png"/><Relationship Id="rId25" Type="http://schemas.openxmlformats.org/officeDocument/2006/relationships/image" Target="media/image19.png"/><Relationship Id="rId24" Type="http://schemas.openxmlformats.org/officeDocument/2006/relationships/image" Target="media/image18.png"/><Relationship Id="rId23" Type="http://schemas.openxmlformats.org/officeDocument/2006/relationships/image" Target="media/image17.png"/><Relationship Id="rId22" Type="http://schemas.openxmlformats.org/officeDocument/2006/relationships/image" Target="media/image16.png"/><Relationship Id="rId21" Type="http://schemas.openxmlformats.org/officeDocument/2006/relationships/image" Target="media/image15.png"/><Relationship Id="rId20" Type="http://schemas.openxmlformats.org/officeDocument/2006/relationships/image" Target="media/image14.png"/><Relationship Id="rId2" Type="http://schemas.openxmlformats.org/officeDocument/2006/relationships/settings" Target="settings.xml"/><Relationship Id="rId19" Type="http://schemas.openxmlformats.org/officeDocument/2006/relationships/image" Target="media/image13.png"/><Relationship Id="rId18" Type="http://schemas.openxmlformats.org/officeDocument/2006/relationships/image" Target="media/image12.png"/><Relationship Id="rId17" Type="http://schemas.openxmlformats.org/officeDocument/2006/relationships/image" Target="media/image11.png"/><Relationship Id="rId16" Type="http://schemas.openxmlformats.org/officeDocument/2006/relationships/image" Target="media/image10.png"/><Relationship Id="rId15" Type="http://schemas.openxmlformats.org/officeDocument/2006/relationships/image" Target="media/image9.png"/><Relationship Id="rId14" Type="http://schemas.openxmlformats.org/officeDocument/2006/relationships/image" Target="media/image8.png"/><Relationship Id="rId13" Type="http://schemas.openxmlformats.org/officeDocument/2006/relationships/image" Target="media/image7.png"/><Relationship Id="rId12" Type="http://schemas.openxmlformats.org/officeDocument/2006/relationships/image" Target="media/image6.png"/><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2BD6143-53E7-486A-BF3A-FB8EE4F49A23}">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115</Pages>
  <Words>11942</Words>
  <Characters>68074</Characters>
  <Lines>567</Lines>
  <Paragraphs>159</Paragraphs>
  <TotalTime>14</TotalTime>
  <ScaleCrop>false</ScaleCrop>
  <LinksUpToDate>false</LinksUpToDate>
  <CharactersWithSpaces>79857</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2018-03-23T03:34:00Z</dcterms:created>
  <dc:creator>Lebron James</dc:creator>
  <cp:lastModifiedBy>Administrator</cp:lastModifiedBy>
  <cp:lastPrinted>2019-04-04T06:17:00Z</cp:lastPrinted>
  <dcterms:modified xsi:type="dcterms:W3CDTF">2020-06-18T07:13:23Z</dcterms:modified>
  <dc:title>建设项目环境影响报告表</dc:title>
  <cp:revision>349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