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E5" w:rsidRDefault="007F7478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D048E5" w:rsidRDefault="00D048E5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D048E5" w:rsidRDefault="007F7478">
      <w:pPr>
        <w:spacing w:beforeLines="50" w:before="156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岳阳区财政支出项目绩效评价自评报告</w:t>
      </w:r>
    </w:p>
    <w:p w:rsidR="00D048E5" w:rsidRDefault="00D048E5">
      <w:pPr>
        <w:rPr>
          <w:rFonts w:eastAsia="仿宋_GB2312"/>
          <w:b/>
          <w:sz w:val="32"/>
        </w:rPr>
      </w:pPr>
    </w:p>
    <w:p w:rsidR="00D048E5" w:rsidRDefault="00D048E5">
      <w:pPr>
        <w:rPr>
          <w:rFonts w:eastAsia="仿宋_GB2312"/>
          <w:b/>
          <w:sz w:val="32"/>
        </w:rPr>
      </w:pPr>
    </w:p>
    <w:p w:rsidR="00D048E5" w:rsidRDefault="007F7478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 w:rsidR="005931F2"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项目完成结果评价</w:t>
      </w:r>
      <w:r w:rsidR="005931F2">
        <w:rPr>
          <w:rFonts w:ascii="仿宋" w:eastAsia="仿宋" w:hAnsi="仿宋" w:hint="eastAsia"/>
          <w:sz w:val="32"/>
          <w:szCs w:val="32"/>
        </w:rPr>
        <w:t>√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</w:t>
      </w:r>
      <w:r w:rsidR="002F4E3C">
        <w:rPr>
          <w:rFonts w:eastAsia="仿宋_GB2312" w:hint="eastAsia"/>
          <w:sz w:val="32"/>
          <w:u w:val="single"/>
        </w:rPr>
        <w:t>荷花节</w:t>
      </w:r>
      <w:r>
        <w:rPr>
          <w:rFonts w:eastAsia="仿宋_GB2312" w:hint="eastAsia"/>
          <w:sz w:val="32"/>
          <w:u w:val="single"/>
        </w:rPr>
        <w:t xml:space="preserve">                             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</w:t>
      </w:r>
      <w:r w:rsidR="005931F2">
        <w:rPr>
          <w:rFonts w:eastAsia="仿宋_GB2312" w:hint="eastAsia"/>
          <w:sz w:val="32"/>
          <w:u w:val="single"/>
        </w:rPr>
        <w:t>君山野生荷花世界管理委员会</w:t>
      </w:r>
      <w:r>
        <w:rPr>
          <w:rFonts w:eastAsia="仿宋_GB2312" w:hint="eastAsia"/>
          <w:sz w:val="32"/>
          <w:u w:val="single"/>
        </w:rPr>
        <w:t xml:space="preserve">                                 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                              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D048E5" w:rsidRDefault="007F7478">
      <w:pPr>
        <w:spacing w:beforeLines="50" w:before="156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D048E5" w:rsidRDefault="00D048E5">
      <w:pPr>
        <w:spacing w:beforeLines="50" w:before="156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D048E5" w:rsidRDefault="00D048E5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048E5" w:rsidRDefault="00D048E5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048E5" w:rsidRDefault="00D048E5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D048E5" w:rsidRDefault="007F7478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日</w:t>
      </w:r>
    </w:p>
    <w:p w:rsidR="00D048E5" w:rsidRDefault="007F7478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岳阳区财政局（制）</w:t>
      </w:r>
    </w:p>
    <w:p w:rsidR="00D048E5" w:rsidRDefault="00D048E5">
      <w:pPr>
        <w:spacing w:line="100" w:lineRule="exact"/>
        <w:jc w:val="center"/>
        <w:rPr>
          <w:rFonts w:eastAsia="仿宋_GB2312"/>
          <w:sz w:val="32"/>
        </w:rPr>
      </w:pPr>
    </w:p>
    <w:p w:rsidR="00D048E5" w:rsidRDefault="00D048E5">
      <w:pPr>
        <w:spacing w:line="100" w:lineRule="exact"/>
        <w:jc w:val="center"/>
        <w:rPr>
          <w:rFonts w:eastAsia="仿宋_GB2312"/>
          <w:sz w:val="32"/>
        </w:rPr>
      </w:pPr>
    </w:p>
    <w:p w:rsidR="00D048E5" w:rsidRDefault="00D048E5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89"/>
        <w:gridCol w:w="602"/>
        <w:gridCol w:w="118"/>
        <w:gridCol w:w="1800"/>
        <w:gridCol w:w="414"/>
        <w:gridCol w:w="306"/>
        <w:gridCol w:w="556"/>
        <w:gridCol w:w="791"/>
        <w:gridCol w:w="297"/>
        <w:gridCol w:w="720"/>
        <w:gridCol w:w="1620"/>
        <w:gridCol w:w="696"/>
      </w:tblGrid>
      <w:tr w:rsidR="00D048E5">
        <w:trPr>
          <w:trHeight w:val="761"/>
          <w:jc w:val="center"/>
        </w:trPr>
        <w:tc>
          <w:tcPr>
            <w:tcW w:w="9582" w:type="dxa"/>
            <w:gridSpan w:val="13"/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D048E5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vAlign w:val="center"/>
          </w:tcPr>
          <w:p w:rsidR="00D048E5" w:rsidRDefault="00B57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李宏</w:t>
            </w:r>
          </w:p>
        </w:tc>
        <w:tc>
          <w:tcPr>
            <w:tcW w:w="1347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 w:rsidR="00D048E5" w:rsidRDefault="005931F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8192389</w:t>
            </w:r>
          </w:p>
        </w:tc>
      </w:tr>
      <w:tr w:rsidR="00D048E5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vAlign w:val="center"/>
          </w:tcPr>
          <w:p w:rsidR="00D048E5" w:rsidRDefault="005931F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君山野生荷花世界</w:t>
            </w:r>
          </w:p>
        </w:tc>
        <w:tc>
          <w:tcPr>
            <w:tcW w:w="1347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</w:tr>
      <w:tr w:rsidR="00D048E5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vAlign w:val="center"/>
          </w:tcPr>
          <w:p w:rsidR="00D048E5" w:rsidRDefault="005931F2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 w:rsidR="007F7478">
              <w:rPr>
                <w:rFonts w:eastAsia="仿宋_GB2312" w:hint="eastAsia"/>
                <w:sz w:val="24"/>
              </w:rPr>
              <w:t>年</w:t>
            </w:r>
            <w:r w:rsidR="007F7478"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1</w:t>
            </w:r>
            <w:r w:rsidR="007F7478">
              <w:rPr>
                <w:rFonts w:eastAsia="仿宋_GB2312" w:hint="eastAsia"/>
                <w:sz w:val="24"/>
              </w:rPr>
              <w:t xml:space="preserve"> </w:t>
            </w:r>
            <w:r w:rsidR="007F7478">
              <w:rPr>
                <w:rFonts w:eastAsia="仿宋_GB2312" w:hint="eastAsia"/>
                <w:sz w:val="24"/>
              </w:rPr>
              <w:t>月起至</w:t>
            </w:r>
            <w:r w:rsidR="007F7478"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2018</w:t>
            </w:r>
            <w:r w:rsidR="007F7478">
              <w:rPr>
                <w:rFonts w:eastAsia="仿宋_GB2312" w:hint="eastAsia"/>
                <w:sz w:val="24"/>
              </w:rPr>
              <w:t xml:space="preserve">   </w:t>
            </w:r>
            <w:r w:rsidR="007F7478">
              <w:rPr>
                <w:rFonts w:eastAsia="仿宋_GB2312" w:hint="eastAsia"/>
                <w:sz w:val="24"/>
              </w:rPr>
              <w:t>年</w:t>
            </w:r>
            <w:r w:rsidR="007F7478"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5</w:t>
            </w:r>
            <w:r w:rsidR="007F7478">
              <w:rPr>
                <w:rFonts w:eastAsia="仿宋_GB2312" w:hint="eastAsia"/>
                <w:sz w:val="24"/>
              </w:rPr>
              <w:t xml:space="preserve">  </w:t>
            </w:r>
            <w:r w:rsidR="007F7478">
              <w:rPr>
                <w:rFonts w:eastAsia="仿宋_GB2312" w:hint="eastAsia"/>
                <w:sz w:val="24"/>
              </w:rPr>
              <w:t>月止</w:t>
            </w:r>
          </w:p>
        </w:tc>
      </w:tr>
      <w:tr w:rsidR="00D048E5" w:rsidTr="007A6498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CB78E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CB78E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194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CB78E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D048E5" w:rsidRDefault="007F74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CB78E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66</w:t>
            </w: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B57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B57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194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CB78E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CB78E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66</w:t>
            </w: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 w:rsidTr="007A6498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B57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荷花</w:t>
            </w:r>
            <w:proofErr w:type="gramStart"/>
            <w:r>
              <w:rPr>
                <w:rFonts w:eastAsia="仿宋_GB2312" w:hint="eastAsia"/>
                <w:sz w:val="24"/>
              </w:rPr>
              <w:t>节费用</w:t>
            </w:r>
            <w:proofErr w:type="gramEnd"/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CB78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128</w:t>
            </w: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A438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18#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19#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7A6498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CB78E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128</w:t>
            </w:r>
          </w:p>
        </w:tc>
        <w:tc>
          <w:tcPr>
            <w:tcW w:w="2364" w:type="dxa"/>
            <w:gridSpan w:val="5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048E5">
        <w:trPr>
          <w:trHeight w:hRule="exact" w:val="544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D048E5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D048E5" w:rsidTr="00735D3B">
        <w:trPr>
          <w:trHeight w:val="1616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vAlign w:val="center"/>
          </w:tcPr>
          <w:p w:rsidR="00D048E5" w:rsidRDefault="002F4E3C" w:rsidP="002F4E3C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提高景区知名度，扩大旅游接待规模，增加旅游人次。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Pr="00213F20" w:rsidRDefault="00213F20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99%</w:t>
            </w:r>
          </w:p>
        </w:tc>
      </w:tr>
      <w:tr w:rsidR="00D048E5" w:rsidTr="00204E3D">
        <w:trPr>
          <w:trHeight w:hRule="exact" w:val="629"/>
          <w:jc w:val="center"/>
        </w:trPr>
        <w:tc>
          <w:tcPr>
            <w:tcW w:w="1473" w:type="dxa"/>
            <w:vMerge w:val="restart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D048E5" w:rsidTr="00204E3D">
        <w:trPr>
          <w:trHeight w:hRule="exact" w:val="425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04E3D">
        <w:trPr>
          <w:trHeight w:hRule="exact" w:val="305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B57029">
        <w:trPr>
          <w:trHeight w:hRule="exact" w:val="345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04E3D">
        <w:trPr>
          <w:trHeight w:hRule="exact" w:val="311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B57029">
        <w:trPr>
          <w:trHeight w:hRule="exact" w:val="703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B57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提高了景区经济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B57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97%</w:t>
            </w:r>
          </w:p>
        </w:tc>
      </w:tr>
      <w:tr w:rsidR="00D048E5" w:rsidTr="00B57029">
        <w:trPr>
          <w:trHeight w:hRule="exact" w:val="274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B57029">
        <w:trPr>
          <w:trHeight w:hRule="exact" w:val="1118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B57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提高景区周边居民的生活水平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2B35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D048E5" w:rsidTr="00B57029">
        <w:trPr>
          <w:trHeight w:hRule="exact" w:val="284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2001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2B35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搞好生态旅游合理利用旅游资源打造旅游品牌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2B35A2" w:rsidP="002B35A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97%</w:t>
            </w:r>
          </w:p>
        </w:tc>
      </w:tr>
      <w:tr w:rsidR="00D048E5" w:rsidTr="00B57029">
        <w:trPr>
          <w:trHeight w:hRule="exact" w:val="274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 w:rsidTr="002B35A2">
        <w:trPr>
          <w:trHeight w:hRule="exact" w:val="733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8E5" w:rsidRDefault="007F74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2B35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增加了旅游人次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B57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97%</w:t>
            </w:r>
          </w:p>
        </w:tc>
      </w:tr>
      <w:tr w:rsidR="00D048E5" w:rsidTr="00735D3B">
        <w:trPr>
          <w:trHeight w:hRule="exact" w:val="383"/>
          <w:jc w:val="center"/>
        </w:trPr>
        <w:tc>
          <w:tcPr>
            <w:tcW w:w="1473" w:type="dxa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D048E5" w:rsidRDefault="00D048E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48E5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vAlign w:val="center"/>
          </w:tcPr>
          <w:p w:rsidR="00D048E5" w:rsidRDefault="00B57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</w:t>
            </w:r>
            <w:r w:rsidR="00AD2E52">
              <w:rPr>
                <w:rFonts w:eastAsia="仿宋_GB2312" w:hint="eastAsia"/>
                <w:sz w:val="24"/>
              </w:rPr>
              <w:t>%</w:t>
            </w:r>
          </w:p>
        </w:tc>
      </w:tr>
      <w:tr w:rsidR="00D048E5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D048E5" w:rsidRDefault="007F7478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</w:t>
            </w:r>
          </w:p>
        </w:tc>
      </w:tr>
      <w:tr w:rsidR="00D048E5">
        <w:trPr>
          <w:trHeight w:hRule="exact" w:val="680"/>
          <w:jc w:val="center"/>
        </w:trPr>
        <w:tc>
          <w:tcPr>
            <w:tcW w:w="9582" w:type="dxa"/>
            <w:gridSpan w:val="13"/>
            <w:vAlign w:val="center"/>
          </w:tcPr>
          <w:p w:rsidR="00D048E5" w:rsidRDefault="007F74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D048E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姓名</w:t>
            </w:r>
          </w:p>
        </w:tc>
        <w:tc>
          <w:tcPr>
            <w:tcW w:w="2332" w:type="dxa"/>
            <w:gridSpan w:val="3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vAlign w:val="center"/>
          </w:tcPr>
          <w:p w:rsidR="00D048E5" w:rsidRDefault="007F747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D048E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李宏</w:t>
            </w:r>
          </w:p>
        </w:tc>
        <w:tc>
          <w:tcPr>
            <w:tcW w:w="2332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党组书记</w:t>
            </w:r>
          </w:p>
        </w:tc>
        <w:tc>
          <w:tcPr>
            <w:tcW w:w="1950" w:type="dxa"/>
            <w:gridSpan w:val="4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野生荷花世界</w:t>
            </w:r>
          </w:p>
        </w:tc>
        <w:tc>
          <w:tcPr>
            <w:tcW w:w="3036" w:type="dxa"/>
            <w:gridSpan w:val="3"/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</w:tr>
      <w:tr w:rsidR="00D048E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肖丽</w:t>
            </w:r>
          </w:p>
        </w:tc>
        <w:tc>
          <w:tcPr>
            <w:tcW w:w="2332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副主任</w:t>
            </w:r>
          </w:p>
        </w:tc>
        <w:tc>
          <w:tcPr>
            <w:tcW w:w="1950" w:type="dxa"/>
            <w:gridSpan w:val="4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野生荷花世界</w:t>
            </w:r>
          </w:p>
        </w:tc>
        <w:tc>
          <w:tcPr>
            <w:tcW w:w="3036" w:type="dxa"/>
            <w:gridSpan w:val="3"/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</w:tr>
      <w:tr w:rsidR="00D048E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王彬</w:t>
            </w:r>
          </w:p>
        </w:tc>
        <w:tc>
          <w:tcPr>
            <w:tcW w:w="2332" w:type="dxa"/>
            <w:gridSpan w:val="3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办公室主任</w:t>
            </w:r>
          </w:p>
        </w:tc>
        <w:tc>
          <w:tcPr>
            <w:tcW w:w="1950" w:type="dxa"/>
            <w:gridSpan w:val="4"/>
            <w:vAlign w:val="center"/>
          </w:tcPr>
          <w:p w:rsidR="00D048E5" w:rsidRDefault="00AD2E5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野生荷花世界</w:t>
            </w:r>
          </w:p>
        </w:tc>
        <w:tc>
          <w:tcPr>
            <w:tcW w:w="3036" w:type="dxa"/>
            <w:gridSpan w:val="3"/>
            <w:vAlign w:val="center"/>
          </w:tcPr>
          <w:p w:rsidR="00D048E5" w:rsidRDefault="00D048E5">
            <w:pPr>
              <w:rPr>
                <w:rFonts w:eastAsia="仿宋_GB2312"/>
                <w:sz w:val="24"/>
              </w:rPr>
            </w:pPr>
          </w:p>
        </w:tc>
      </w:tr>
      <w:tr w:rsidR="00D048E5" w:rsidTr="00735D3B">
        <w:trPr>
          <w:trHeight w:hRule="exact" w:val="2185"/>
          <w:jc w:val="center"/>
        </w:trPr>
        <w:tc>
          <w:tcPr>
            <w:tcW w:w="9582" w:type="dxa"/>
            <w:gridSpan w:val="13"/>
            <w:vAlign w:val="center"/>
          </w:tcPr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048E5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</w:tcPr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D048E5" w:rsidRDefault="007F7478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048E5">
        <w:trPr>
          <w:trHeight w:hRule="exact" w:val="2552"/>
          <w:jc w:val="center"/>
        </w:trPr>
        <w:tc>
          <w:tcPr>
            <w:tcW w:w="9582" w:type="dxa"/>
            <w:gridSpan w:val="13"/>
          </w:tcPr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D048E5" w:rsidRDefault="007F7478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048E5" w:rsidTr="00735D3B">
        <w:trPr>
          <w:trHeight w:hRule="exact" w:val="2133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</w:tcPr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D048E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D048E5" w:rsidRDefault="007F7478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D048E5" w:rsidRDefault="007F7478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9"/>
      </w:tblGrid>
      <w:tr w:rsidR="00D048E5">
        <w:trPr>
          <w:trHeight w:val="12998"/>
          <w:jc w:val="center"/>
        </w:trPr>
        <w:tc>
          <w:tcPr>
            <w:tcW w:w="9369" w:type="dxa"/>
          </w:tcPr>
          <w:p w:rsidR="00D048E5" w:rsidRDefault="007F747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D048E5" w:rsidRDefault="00D048E5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  <w:r w:rsidR="002F4E3C">
              <w:rPr>
                <w:rFonts w:eastAsia="仿宋_GB2312" w:hint="eastAsia"/>
                <w:sz w:val="30"/>
                <w:szCs w:val="30"/>
              </w:rPr>
              <w:t>:</w:t>
            </w:r>
            <w:r w:rsidR="00AA0064">
              <w:rPr>
                <w:rFonts w:eastAsia="仿宋_GB2312" w:hint="eastAsia"/>
                <w:sz w:val="30"/>
                <w:szCs w:val="30"/>
              </w:rPr>
              <w:t>荷花节的</w:t>
            </w:r>
            <w:r w:rsidR="002F4E3C">
              <w:rPr>
                <w:rFonts w:eastAsia="仿宋_GB2312" w:hint="eastAsia"/>
                <w:sz w:val="30"/>
                <w:szCs w:val="30"/>
              </w:rPr>
              <w:t>成功</w:t>
            </w:r>
            <w:r w:rsidR="00AA0064">
              <w:rPr>
                <w:rFonts w:eastAsia="仿宋_GB2312" w:hint="eastAsia"/>
                <w:sz w:val="30"/>
                <w:szCs w:val="30"/>
              </w:rPr>
              <w:t>举办加强宣传力度，提升景区的知名度及景区的营销。资金全部有区财政统一调拨。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  <w:r w:rsidR="003D005A">
              <w:rPr>
                <w:rFonts w:eastAsia="仿宋_GB2312" w:hint="eastAsia"/>
                <w:sz w:val="30"/>
                <w:szCs w:val="30"/>
              </w:rPr>
              <w:t>：认真执行财政监督检查职能，实行项目跟踪问效机制，建立事前审核，事中检控，事后检查制</w:t>
            </w:r>
            <w:r w:rsidR="00AE061F">
              <w:rPr>
                <w:rFonts w:eastAsia="仿宋_GB2312" w:hint="eastAsia"/>
                <w:sz w:val="30"/>
                <w:szCs w:val="30"/>
              </w:rPr>
              <w:t>度，对专项资金的安全性、合理</w:t>
            </w:r>
            <w:r w:rsidR="003D005A">
              <w:rPr>
                <w:rFonts w:eastAsia="仿宋_GB2312" w:hint="eastAsia"/>
                <w:sz w:val="30"/>
                <w:szCs w:val="30"/>
              </w:rPr>
              <w:t>性和绩效情况跟踪问效，使监督检查经常化、规范化、制度化，确保专项资金专款专用。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  <w:r w:rsidR="00F977CC">
              <w:rPr>
                <w:rFonts w:eastAsia="仿宋_GB2312" w:hint="eastAsia"/>
                <w:sz w:val="30"/>
                <w:szCs w:val="30"/>
              </w:rPr>
              <w:t>：成立了以管委会党组书记为组长的项目领导小组和管理小组，制定了较为详细的项目管理制度、分工明确、责任落实，项目建设单位对在建工程的设计、施工、按照批复要求公开招标。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（四）综合评价情况及评价结论</w:t>
            </w:r>
            <w:r w:rsidR="00F977CC">
              <w:rPr>
                <w:rFonts w:eastAsia="仿宋_GB2312" w:hint="eastAsia"/>
                <w:sz w:val="30"/>
                <w:szCs w:val="30"/>
              </w:rPr>
              <w:t>：</w:t>
            </w:r>
            <w:r w:rsidR="00B57029">
              <w:rPr>
                <w:rFonts w:eastAsia="仿宋_GB2312" w:hint="eastAsia"/>
                <w:sz w:val="30"/>
                <w:szCs w:val="30"/>
              </w:rPr>
              <w:t>荷花节的成功举办</w:t>
            </w:r>
            <w:r w:rsidR="00AE061F">
              <w:rPr>
                <w:rFonts w:eastAsia="仿宋_GB2312" w:hint="eastAsia"/>
                <w:sz w:val="30"/>
                <w:szCs w:val="30"/>
              </w:rPr>
              <w:t>进一步提高景区的知名度及景区周边居民的生活水平，打造了旅游品牌，增长了旅游收入。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（五）项目主要绩效情况分析</w:t>
            </w:r>
            <w:r w:rsidR="00BF24C3">
              <w:rPr>
                <w:rFonts w:eastAsia="仿宋_GB2312" w:hint="eastAsia"/>
                <w:sz w:val="30"/>
                <w:szCs w:val="30"/>
              </w:rPr>
              <w:t>：</w:t>
            </w:r>
            <w:r w:rsidR="00AD2E52">
              <w:rPr>
                <w:rFonts w:eastAsia="仿宋_GB2312" w:hint="eastAsia"/>
                <w:sz w:val="30"/>
                <w:szCs w:val="30"/>
              </w:rPr>
              <w:t>按要求建立健全具体项目财务和绩效管理制度，资金的使用过程中发现的问题及时向主管部门和财政部门报告，</w:t>
            </w:r>
            <w:proofErr w:type="gramStart"/>
            <w:r w:rsidR="00AD2E52">
              <w:rPr>
                <w:rFonts w:eastAsia="仿宋_GB2312" w:hint="eastAsia"/>
                <w:sz w:val="30"/>
                <w:szCs w:val="30"/>
              </w:rPr>
              <w:t>建立问</w:t>
            </w:r>
            <w:proofErr w:type="gramEnd"/>
            <w:r w:rsidR="00AD2E52">
              <w:rPr>
                <w:rFonts w:eastAsia="仿宋_GB2312" w:hint="eastAsia"/>
                <w:sz w:val="30"/>
                <w:szCs w:val="30"/>
              </w:rPr>
              <w:t>责机制、奖惩相关单位和责任人。</w:t>
            </w:r>
          </w:p>
          <w:p w:rsidR="00D048E5" w:rsidRDefault="007F7478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（六）主要经验及做法、存在问题和建议</w:t>
            </w:r>
            <w:r w:rsidR="00513ADF">
              <w:rPr>
                <w:rFonts w:eastAsia="仿宋_GB2312" w:hint="eastAsia"/>
                <w:sz w:val="30"/>
                <w:szCs w:val="30"/>
              </w:rPr>
              <w:t>：问题：缺乏有效的沟通和统一管理，由于目前的生态保护工作缺乏统一有效的管理机制，沟通和协作，审批和管理脱节、未批先建等问题时有存在，对生态保护工作极为不利。建议：制定和完善</w:t>
            </w:r>
            <w:r w:rsidR="009B18BC">
              <w:rPr>
                <w:rFonts w:eastAsia="仿宋_GB2312" w:hint="eastAsia"/>
                <w:sz w:val="30"/>
                <w:szCs w:val="30"/>
              </w:rPr>
              <w:t>生态保护经济措施，对国家自然保护区和其他生态资源进行统一管理和保护，让更多的珍贵资源免遭破坏。</w:t>
            </w:r>
          </w:p>
          <w:p w:rsidR="00D048E5" w:rsidRPr="00EF56C9" w:rsidRDefault="007F7478" w:rsidP="00EF56C9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（七）附件</w:t>
            </w:r>
            <w:r w:rsidR="00AD2E52">
              <w:rPr>
                <w:rFonts w:eastAsia="仿宋_GB2312" w:hint="eastAsia"/>
                <w:sz w:val="30"/>
                <w:szCs w:val="30"/>
              </w:rPr>
              <w:t>：</w:t>
            </w:r>
            <w:r w:rsidR="00735D3B"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r w:rsidR="00443908">
              <w:rPr>
                <w:rFonts w:eastAsia="楷体_GB2312" w:hint="eastAsia"/>
                <w:bCs/>
                <w:sz w:val="28"/>
                <w:szCs w:val="28"/>
              </w:rPr>
              <w:t>应当建立健全内部财务管理制度，制定专人负责建设财</w:t>
            </w:r>
            <w:r w:rsidR="00443908">
              <w:rPr>
                <w:rFonts w:eastAsia="楷体_GB2312" w:hint="eastAsia"/>
                <w:bCs/>
                <w:sz w:val="28"/>
                <w:szCs w:val="28"/>
              </w:rPr>
              <w:lastRenderedPageBreak/>
              <w:t>务工作，做好各项财产、物资、设备采购的原始登记，定期进行财产物资清查。</w:t>
            </w:r>
            <w:bookmarkStart w:id="0" w:name="_GoBack"/>
            <w:bookmarkEnd w:id="0"/>
            <w:r w:rsidR="00735D3B">
              <w:rPr>
                <w:rFonts w:eastAsia="楷体_GB2312" w:hint="eastAsia"/>
                <w:bCs/>
                <w:sz w:val="28"/>
                <w:szCs w:val="28"/>
              </w:rPr>
              <w:t>游客休息的椅凳，对景区的交通工具及时的</w:t>
            </w:r>
            <w:r w:rsidR="00266E3F">
              <w:rPr>
                <w:rFonts w:eastAsia="楷体_GB2312" w:hint="eastAsia"/>
                <w:bCs/>
                <w:sz w:val="28"/>
                <w:szCs w:val="28"/>
              </w:rPr>
              <w:t>维修、保养，杜绝破损、无法使用的情况。景区无乱堆、乱放、乱建现象地面无明显污迹，建筑墙面整洁、无剥落、无明显污迹。治理、安全生产、消防安全等方面的宣传教育和培训活动，做到形式多样，提高从业人员的法律意识、遵纪守法的直觉性，确保景区平安稳定。</w:t>
            </w:r>
          </w:p>
        </w:tc>
      </w:tr>
    </w:tbl>
    <w:p w:rsidR="00D048E5" w:rsidRDefault="00D048E5"/>
    <w:sectPr w:rsidR="00D0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A2" w:rsidRDefault="006924A2" w:rsidP="00443908">
      <w:r>
        <w:separator/>
      </w:r>
    </w:p>
  </w:endnote>
  <w:endnote w:type="continuationSeparator" w:id="0">
    <w:p w:rsidR="006924A2" w:rsidRDefault="006924A2" w:rsidP="0044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A2" w:rsidRDefault="006924A2" w:rsidP="00443908">
      <w:r>
        <w:separator/>
      </w:r>
    </w:p>
  </w:footnote>
  <w:footnote w:type="continuationSeparator" w:id="0">
    <w:p w:rsidR="006924A2" w:rsidRDefault="006924A2" w:rsidP="0044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C0E9D"/>
    <w:rsid w:val="00204E3D"/>
    <w:rsid w:val="00213F20"/>
    <w:rsid w:val="00266E3F"/>
    <w:rsid w:val="002B35A2"/>
    <w:rsid w:val="002F4E3C"/>
    <w:rsid w:val="003D005A"/>
    <w:rsid w:val="00443908"/>
    <w:rsid w:val="00513ADF"/>
    <w:rsid w:val="005931F2"/>
    <w:rsid w:val="00662187"/>
    <w:rsid w:val="006924A2"/>
    <w:rsid w:val="00735D3B"/>
    <w:rsid w:val="007A6498"/>
    <w:rsid w:val="007F7478"/>
    <w:rsid w:val="009B18BC"/>
    <w:rsid w:val="00A438BF"/>
    <w:rsid w:val="00AA0064"/>
    <w:rsid w:val="00AD2E52"/>
    <w:rsid w:val="00AE061F"/>
    <w:rsid w:val="00B57029"/>
    <w:rsid w:val="00BC4506"/>
    <w:rsid w:val="00BF24C3"/>
    <w:rsid w:val="00CB78E4"/>
    <w:rsid w:val="00D048E5"/>
    <w:rsid w:val="00D66765"/>
    <w:rsid w:val="00EF56C9"/>
    <w:rsid w:val="00F977CC"/>
    <w:rsid w:val="675C0E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3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3908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443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3908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3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3908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443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390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4412</TotalTime>
  <Pages>6</Pages>
  <Words>370</Words>
  <Characters>2111</Characters>
  <Application>Microsoft Office Word</Application>
  <DocSecurity>0</DocSecurity>
  <Lines>17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17</cp:revision>
  <dcterms:created xsi:type="dcterms:W3CDTF">2018-05-23T03:37:00Z</dcterms:created>
  <dcterms:modified xsi:type="dcterms:W3CDTF">2019-08-12T00:38:00Z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