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附件3-2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</w:t>
      </w:r>
      <w:r>
        <w:rPr>
          <w:rFonts w:hint="eastAsia" w:eastAsia="方正小标宋简体"/>
          <w:bCs/>
          <w:sz w:val="44"/>
          <w:szCs w:val="44"/>
          <w:lang w:eastAsia="zh-CN"/>
        </w:rPr>
        <w:t>区</w:t>
      </w: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default" w:eastAsia="仿宋_GB2312"/>
          <w:sz w:val="32"/>
          <w:u w:val="single"/>
          <w:lang w:val="en-US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防汛抗旱经费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君山区防汛抗旱指挥部办公室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  <w:lang w:eastAsia="zh-CN"/>
        </w:rPr>
        <w:t>君山区水利局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2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945"/>
        <w:gridCol w:w="1395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跃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13378901996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君山区君山大道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</w:rPr>
              <w:t xml:space="preserve">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105.15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92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13.15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5月份拨二级机构防汛经费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20616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2018.5.30#0.0616万、34#2万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7月份拨二级机构预防性试验资金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204600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2018.7.20#0.76万17#6.6万、22#6.1万、23#7万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含电排站电器预防性试验资金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8月份拨二级机构应急处险资金等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172335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2018.8.1#3.4万、21#0.5619万、24#0.0716、26#7.5万、33#5.7万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9月份拨二级机构防汛经费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83000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2018.9.11#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10月份拨二级机构防汛经费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58000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2018.10.8#3万、11#2.8万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11月份拨二级机构防汛经费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246712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2018.11.8#7.7万、23#9万、29#7.928万、32#0.0432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12月份拨二级机构防汛经费等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266249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2018.12.21#1.8238万、34#3万、47#0.1011万、48#3.9万、55#2万、59#3万、78#2.1万、86#3.7万、88#1万、91#6万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1051512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江堤、湖堤、河堤不溃垸；蓄洪时不死人；水库遇设计暴雨不垮坝；垸内三日降雨200毫米不渍田；遇中等程度干旱，生活、生产、生态用水不受大的影响，发生严重干旱时，生活用水有保障，工农业生产损失降到最低程度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达到预期目标。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可持续影响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 跃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防办主任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肖冬华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副书记、副局长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肖冬华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余立雄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党委委员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余立雄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陈力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13786049599</w:t>
      </w:r>
    </w:p>
    <w:tbl>
      <w:tblPr>
        <w:tblStyle w:val="2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一</w:t>
            </w: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（一）、项目单位基本情况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widowControl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君山区水利局现有人数 6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hint="eastAsia" w:ascii="宋体"/>
                <w:sz w:val="24"/>
              </w:rPr>
              <w:t>3人，其中：行政参公人员2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人；在职全额事业编制</w:t>
            </w:r>
            <w:r>
              <w:rPr>
                <w:rFonts w:hint="eastAsia" w:ascii="宋体"/>
                <w:sz w:val="24"/>
                <w:lang w:val="en-US" w:eastAsia="zh-CN"/>
              </w:rPr>
              <w:t>19</w:t>
            </w:r>
            <w:r>
              <w:rPr>
                <w:rFonts w:hint="eastAsia" w:ascii="宋体"/>
                <w:sz w:val="24"/>
              </w:rPr>
              <w:t>1人；自收自支编制6人；离退休</w:t>
            </w:r>
            <w:r>
              <w:rPr>
                <w:rFonts w:hint="eastAsia" w:ascii="宋体"/>
                <w:sz w:val="24"/>
                <w:lang w:val="en-US" w:eastAsia="zh-CN"/>
              </w:rPr>
              <w:t>232</w:t>
            </w:r>
            <w:r>
              <w:rPr>
                <w:rFonts w:hint="eastAsia" w:ascii="宋体"/>
                <w:sz w:val="24"/>
              </w:rPr>
              <w:t>人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</w:rPr>
              <w:t>其中事业退休</w:t>
            </w:r>
            <w:r>
              <w:rPr>
                <w:rFonts w:hint="eastAsia" w:ascii="宋体"/>
                <w:sz w:val="24"/>
                <w:lang w:val="en-US" w:eastAsia="zh-CN"/>
              </w:rPr>
              <w:t>170</w:t>
            </w:r>
            <w:r>
              <w:rPr>
                <w:rFonts w:hint="eastAsia" w:ascii="宋体"/>
                <w:sz w:val="24"/>
              </w:rPr>
              <w:t>人，</w:t>
            </w:r>
            <w:r>
              <w:rPr>
                <w:rFonts w:hint="eastAsia" w:ascii="宋体"/>
                <w:sz w:val="24"/>
                <w:lang w:eastAsia="zh-CN"/>
              </w:rPr>
              <w:t>离休</w:t>
            </w:r>
            <w:r>
              <w:rPr>
                <w:rFonts w:hint="eastAsia" w:ascii="宋体"/>
                <w:sz w:val="24"/>
                <w:lang w:val="en-US" w:eastAsia="zh-CN"/>
              </w:rPr>
              <w:t>1人，</w:t>
            </w:r>
            <w:r>
              <w:rPr>
                <w:rFonts w:hint="eastAsia" w:ascii="宋体"/>
                <w:sz w:val="24"/>
              </w:rPr>
              <w:t>企业退休6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人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；临聘人员</w:t>
            </w:r>
            <w:r>
              <w:rPr>
                <w:rFonts w:hint="eastAsia" w:ascii="宋体"/>
                <w:sz w:val="24"/>
                <w:lang w:val="en-US" w:eastAsia="zh-CN"/>
              </w:rPr>
              <w:t>48</w:t>
            </w:r>
            <w:r>
              <w:rPr>
                <w:rFonts w:hint="eastAsia" w:ascii="宋体"/>
                <w:sz w:val="24"/>
              </w:rPr>
              <w:t>人；</w:t>
            </w:r>
            <w:r>
              <w:rPr>
                <w:rFonts w:hint="eastAsia" w:ascii="宋体"/>
                <w:sz w:val="24"/>
                <w:lang w:eastAsia="zh-CN"/>
              </w:rPr>
              <w:t>其他</w:t>
            </w:r>
            <w:r>
              <w:rPr>
                <w:rFonts w:hint="eastAsia" w:ascii="宋体"/>
                <w:sz w:val="24"/>
                <w:lang w:val="en-US" w:eastAsia="zh-CN"/>
              </w:rPr>
              <w:t>2人；</w:t>
            </w:r>
            <w:r>
              <w:rPr>
                <w:rFonts w:hint="eastAsia" w:ascii="宋体"/>
                <w:sz w:val="24"/>
              </w:rPr>
              <w:t>下岗分流人员</w:t>
            </w:r>
            <w:r>
              <w:rPr>
                <w:rFonts w:hint="eastAsia" w:ascii="宋体"/>
                <w:sz w:val="24"/>
                <w:lang w:val="en-US" w:eastAsia="zh-CN"/>
              </w:rPr>
              <w:t>51</w:t>
            </w:r>
            <w:r>
              <w:rPr>
                <w:rFonts w:hint="eastAsia" w:ascii="宋体"/>
                <w:sz w:val="24"/>
              </w:rPr>
              <w:t>人；其他临时人员</w:t>
            </w:r>
            <w:r>
              <w:rPr>
                <w:rFonts w:hint="eastAsia" w:ascii="宋体"/>
                <w:sz w:val="24"/>
                <w:lang w:val="en-US" w:eastAsia="zh-CN"/>
              </w:rPr>
              <w:t>51</w:t>
            </w:r>
            <w:r>
              <w:rPr>
                <w:rFonts w:hint="eastAsia" w:ascii="宋体"/>
                <w:sz w:val="24"/>
              </w:rPr>
              <w:t>人。下辖各类性质的二级机构15家，管理着235公里防洪大堤，58公里流经区域河流，51座穿堤建筑物，29座外排机埠，截止201</w:t>
            </w:r>
            <w:r>
              <w:rPr>
                <w:rFonts w:hint="eastAsia" w:ascii="宋体"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sz w:val="24"/>
              </w:rPr>
              <w:t>年底账面资产总额</w:t>
            </w:r>
            <w:r>
              <w:rPr>
                <w:rFonts w:hint="eastAsia" w:ascii="宋体"/>
                <w:sz w:val="24"/>
                <w:lang w:val="en-US" w:eastAsia="zh-CN"/>
              </w:rPr>
              <w:t>5526.7</w:t>
            </w:r>
            <w:r>
              <w:rPr>
                <w:rFonts w:hint="eastAsia" w:ascii="宋体"/>
                <w:sz w:val="24"/>
              </w:rPr>
              <w:t>万元，净资产</w:t>
            </w:r>
            <w:r>
              <w:rPr>
                <w:rFonts w:hint="eastAsia" w:ascii="宋体"/>
                <w:sz w:val="24"/>
                <w:lang w:val="en-US" w:eastAsia="zh-CN"/>
              </w:rPr>
              <w:t>4055</w:t>
            </w:r>
            <w:r>
              <w:rPr>
                <w:rFonts w:hint="eastAsia" w:ascii="宋体"/>
                <w:sz w:val="24"/>
              </w:rPr>
              <w:t>万元。主要职责（与本项目相关的职责）： 1、负责生活、生产经营和生态环境用水的统筹兼顾和保障；2、负责防治水旱灾害，承担区防汛抗旱指挥部的日常工作；3、负责节约用水工作、4、组织、指导水利工程设施、水域及其岸线的管理与保护；5、负责防治水土流失工作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、项目年度预算绩效目标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720" w:firstLineChars="3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运行自如</w:t>
            </w:r>
            <w:r>
              <w:rPr>
                <w:rFonts w:hint="eastAsia" w:ascii="宋体" w:hAnsi="宋体" w:cs="宋体"/>
                <w:bCs/>
                <w:sz w:val="24"/>
              </w:rPr>
              <w:t>；垸内三日降雨200毫米不渍田；遇中等程度干旱，生活、生产、生态用水不受大的影响，发生严重干旱时，生活用水有保障，工农业生产损失降到最低。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项目资金安排落实情况。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根据年度预算安排防汛经费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100万元，实际到位资金92万元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2、项目资金（主要是指财政资金）实际使用情况。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项目资金实际支出见项目支出明细表，截止201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年12月，共计支出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105.15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3、项目资金管理情况。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项目资金的管理情况较好，制定了《水利局二级机构财务管理办法》、《水利局二级机构预算管理办法》、《水利局二级机构账务代管管理办法》等管理规定，并严格执行；，按时间和项目实施进程分次、分批拨付；项目资金的使用、监管，通过局会计集中核算中心对二级机构财务代管进行，保证足额、规范地使用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项目实施年初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由防汛抗旱指挥部制定备汛及应急处险等</w:t>
            </w:r>
            <w:r>
              <w:rPr>
                <w:rFonts w:hint="eastAsia" w:ascii="宋体" w:hAnsi="宋体" w:cs="宋体"/>
                <w:sz w:val="24"/>
              </w:rPr>
              <w:t>项目及资金计划，交由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相应</w:t>
            </w:r>
            <w:r>
              <w:rPr>
                <w:rFonts w:hint="eastAsia" w:ascii="宋体" w:hAnsi="宋体" w:cs="宋体"/>
                <w:sz w:val="24"/>
              </w:rPr>
              <w:t>堤防、电排所属二级机构负责实施，由局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防办及工程股</w:t>
            </w:r>
            <w:r>
              <w:rPr>
                <w:rFonts w:hint="eastAsia" w:ascii="宋体" w:hAnsi="宋体" w:cs="宋体"/>
                <w:sz w:val="24"/>
              </w:rPr>
              <w:t>负责日常的检查、监督、完成项目的验收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hd w:val="clear" w:color="auto" w:fill="FFFFFF"/>
              <w:snapToGrid w:val="0"/>
              <w:spacing w:line="600" w:lineRule="exact"/>
              <w:ind w:left="0" w:leftChars="0" w:firstLine="0" w:firstLineChars="0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leftChars="0"/>
              <w:outlineLvl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水利局成立由局主要负责人、分管财务、排灌、工程等工作的负责人及具体经办人组成单位评价组 ，采用单位绩效自评的评价方式，对项目绩效目标及实施计划完成情况进行了综合评价，基本达到预期目标，</w:t>
            </w: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综合评价指标量化考评9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分，达到优秀水平。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adjustRightInd w:val="0"/>
              <w:snapToGrid w:val="0"/>
              <w:spacing w:line="600" w:lineRule="exact"/>
              <w:ind w:leftChars="0"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项目的经济性分析，项目确定由财政预算安排，水利局本着节约的原则，通过预算进行控制，情况较好，保证项目具体实施。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项目的效率性分析，水利局主要是通过制定项目实施计划；下达资金、经费预算，按时间及项目实施进度下拨资金；具体责任部门进行日常的监督、检查、验收，确保项目实施按时、按质量要求完成。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项目的有效性分析，项目实施完成，基本上能保证项目预期目标，保证堤防防汛安全，保证水库堤坝安全，保证电排正常运转、排灌自如。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项目的可持续性分析，本项目属于年度常规性项目，随着时间推移，设备老化，天气异常变化，自然环境影响对项目实施要求越来越高，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项目维修维护频率增加，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项目实施成本越来越大，资金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需求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量越来越多，管理措施要求越来越高。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主要做法是根据财政预算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及防汛、备汛的实际需要来确定具体的实施项目和标准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，具体分管部门负责项目计划的监督、检查、验收，财务部门负责项目资金按计划、进度的申报、拨付、监管。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存在的问题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项目资金预算总体规模无法达到部门标准的要求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；二是财政未按照年初预算足额拨付。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我们将积极争取财政的支持，进一步加强和完善项目管理，努力控制成本，确保项目的正常实施和预期目标的完成。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ind w:firstLine="5760" w:firstLineChars="24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君山区防汛抗旱指挥部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      201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BF282"/>
    <w:multiLevelType w:val="singleLevel"/>
    <w:tmpl w:val="E9FBF2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355A5A"/>
    <w:multiLevelType w:val="singleLevel"/>
    <w:tmpl w:val="FB355A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AAD1CA"/>
    <w:multiLevelType w:val="singleLevel"/>
    <w:tmpl w:val="7EAAD1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2010AAD"/>
    <w:rsid w:val="04CA2062"/>
    <w:rsid w:val="072354D2"/>
    <w:rsid w:val="0C477D7F"/>
    <w:rsid w:val="0DA0063A"/>
    <w:rsid w:val="0F8A5038"/>
    <w:rsid w:val="0F9948A9"/>
    <w:rsid w:val="0FB621F4"/>
    <w:rsid w:val="0FBF683B"/>
    <w:rsid w:val="12B634DD"/>
    <w:rsid w:val="12B745E9"/>
    <w:rsid w:val="15AC2FD3"/>
    <w:rsid w:val="16313D50"/>
    <w:rsid w:val="17494455"/>
    <w:rsid w:val="18FA2289"/>
    <w:rsid w:val="1A0A1C2A"/>
    <w:rsid w:val="1BB56523"/>
    <w:rsid w:val="1C48618D"/>
    <w:rsid w:val="1D826EA4"/>
    <w:rsid w:val="1DD30B80"/>
    <w:rsid w:val="23EA1A3F"/>
    <w:rsid w:val="24A253A0"/>
    <w:rsid w:val="26902BA9"/>
    <w:rsid w:val="293B363F"/>
    <w:rsid w:val="2CA6784F"/>
    <w:rsid w:val="2D916B3D"/>
    <w:rsid w:val="2DE52EE4"/>
    <w:rsid w:val="2EAC10BE"/>
    <w:rsid w:val="30704081"/>
    <w:rsid w:val="34714AB3"/>
    <w:rsid w:val="36621FEA"/>
    <w:rsid w:val="38694DAF"/>
    <w:rsid w:val="3CB55102"/>
    <w:rsid w:val="41C063B4"/>
    <w:rsid w:val="42433156"/>
    <w:rsid w:val="4B703257"/>
    <w:rsid w:val="4ED35C3F"/>
    <w:rsid w:val="52307DBA"/>
    <w:rsid w:val="523D34A5"/>
    <w:rsid w:val="5293109C"/>
    <w:rsid w:val="52E80032"/>
    <w:rsid w:val="54F2351D"/>
    <w:rsid w:val="566857C9"/>
    <w:rsid w:val="57CB3304"/>
    <w:rsid w:val="58270B05"/>
    <w:rsid w:val="5C500CBE"/>
    <w:rsid w:val="5E4248EB"/>
    <w:rsid w:val="5F00501B"/>
    <w:rsid w:val="621F1A03"/>
    <w:rsid w:val="62F45FC0"/>
    <w:rsid w:val="675C0E9D"/>
    <w:rsid w:val="6B6D06D3"/>
    <w:rsid w:val="6D535020"/>
    <w:rsid w:val="6E5272D9"/>
    <w:rsid w:val="720524EE"/>
    <w:rsid w:val="765E796F"/>
    <w:rsid w:val="76C33D92"/>
    <w:rsid w:val="7A9769F1"/>
    <w:rsid w:val="7ACC67AC"/>
    <w:rsid w:val="7AE25765"/>
    <w:rsid w:val="7B0553F3"/>
    <w:rsid w:val="7B55484B"/>
    <w:rsid w:val="7F9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Administrator</cp:lastModifiedBy>
  <dcterms:modified xsi:type="dcterms:W3CDTF">2019-08-08T08:11:10Z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