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0" w:type="dxa"/>
          <w:right w:w="108"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2477" w:hRule="atLeast"/>
        </w:trPr>
        <w:tc>
          <w:tcPr>
            <w:tcW w:w="9360" w:type="dxa"/>
          </w:tcPr>
          <w:p>
            <w:pPr>
              <w:widowControl/>
              <w:spacing w:line="520" w:lineRule="exact"/>
              <w:rPr>
                <w:rFonts w:ascii="Times New Roman" w:hAnsi="Times New Roman" w:eastAsia="仿宋_GB2312" w:cs="仿宋"/>
                <w:color w:val="FF0000"/>
                <w:sz w:val="28"/>
                <w:szCs w:val="28"/>
              </w:rPr>
            </w:pPr>
            <w:r>
              <w:rPr>
                <w:rFonts w:ascii="Times New Roman" w:hAnsi="Times New Roman" w:eastAsia="仿宋_GB2312" w:cs="仿宋"/>
                <w:b/>
                <w:bCs/>
                <w:sz w:val="28"/>
                <w:szCs w:val="28"/>
              </w:rPr>
              <w:t xml:space="preserve"> </w:t>
            </w:r>
            <w:r>
              <w:rPr>
                <w:rFonts w:hint="eastAsia" w:ascii="Times New Roman" w:hAnsi="Times New Roman" w:eastAsia="仿宋_GB2312" w:cs="仿宋"/>
                <w:b/>
                <w:bCs/>
                <w:sz w:val="30"/>
                <w:szCs w:val="28"/>
              </w:rPr>
              <w:t>审批意见：</w:t>
            </w:r>
            <w:r>
              <w:rPr>
                <w:rFonts w:ascii="Times New Roman" w:hAnsi="Times New Roman" w:eastAsia="仿宋_GB2312" w:cs="仿宋"/>
                <w:sz w:val="30"/>
                <w:szCs w:val="28"/>
              </w:rPr>
              <w:t xml:space="preserve"> </w:t>
            </w:r>
            <w:r>
              <w:rPr>
                <w:rFonts w:ascii="Times New Roman" w:hAnsi="Times New Roman" w:eastAsia="仿宋_GB2312" w:cs="仿宋"/>
                <w:sz w:val="28"/>
                <w:szCs w:val="28"/>
              </w:rPr>
              <w:t xml:space="preserve">                          </w:t>
            </w:r>
            <w:r>
              <w:rPr>
                <w:rFonts w:hint="eastAsia" w:ascii="Times New Roman" w:hAnsi="仿宋" w:eastAsia="仿宋_GB2312" w:cs="仿宋"/>
                <w:b/>
                <w:sz w:val="28"/>
                <w:szCs w:val="28"/>
              </w:rPr>
              <w:t>岳环君分环评</w:t>
            </w:r>
            <w:r>
              <w:rPr>
                <w:rFonts w:hint="eastAsia" w:ascii="Times New Roman" w:hAnsi="仿宋" w:eastAsia="仿宋_GB2312" w:cs="仿宋"/>
                <w:b/>
                <w:sz w:val="28"/>
                <w:szCs w:val="28"/>
                <w:lang w:eastAsia="zh-CN"/>
              </w:rPr>
              <w:t>批</w:t>
            </w:r>
            <w:r>
              <w:rPr>
                <w:rFonts w:hint="eastAsia" w:ascii="Times New Roman" w:hAnsi="仿宋" w:eastAsia="仿宋_GB2312" w:cs="仿宋"/>
                <w:b/>
                <w:sz w:val="28"/>
                <w:szCs w:val="28"/>
              </w:rPr>
              <w:t>［</w:t>
            </w:r>
            <w:r>
              <w:rPr>
                <w:rFonts w:ascii="Times New Roman" w:hAnsi="Times New Roman" w:eastAsia="仿宋_GB2312" w:cs="仿宋"/>
                <w:b/>
                <w:sz w:val="28"/>
                <w:szCs w:val="28"/>
              </w:rPr>
              <w:t>201</w:t>
            </w:r>
            <w:r>
              <w:rPr>
                <w:rFonts w:hint="eastAsia" w:ascii="Times New Roman" w:hAnsi="Times New Roman" w:eastAsia="仿宋_GB2312" w:cs="仿宋"/>
                <w:b/>
                <w:sz w:val="28"/>
                <w:szCs w:val="28"/>
                <w:lang w:val="en-US" w:eastAsia="zh-CN"/>
              </w:rPr>
              <w:t>8</w:t>
            </w:r>
            <w:r>
              <w:rPr>
                <w:rFonts w:hint="eastAsia" w:ascii="Times New Roman" w:hAnsi="仿宋" w:eastAsia="仿宋_GB2312" w:cs="仿宋"/>
                <w:b/>
                <w:sz w:val="28"/>
                <w:szCs w:val="28"/>
              </w:rPr>
              <w:t>］</w:t>
            </w:r>
            <w:r>
              <w:rPr>
                <w:rFonts w:hint="eastAsia" w:ascii="Times New Roman" w:hAnsi="仿宋" w:eastAsia="仿宋_GB2312" w:cs="仿宋"/>
                <w:b/>
                <w:sz w:val="28"/>
                <w:szCs w:val="28"/>
                <w:lang w:val="en-US" w:eastAsia="zh-CN"/>
              </w:rPr>
              <w:t>24</w:t>
            </w:r>
            <w:r>
              <w:rPr>
                <w:rFonts w:hint="eastAsia" w:ascii="Times New Roman" w:hAnsi="仿宋" w:eastAsia="仿宋_GB2312" w:cs="仿宋"/>
                <w:b/>
                <w:sz w:val="28"/>
                <w:szCs w:val="28"/>
              </w:rPr>
              <w:t>号</w:t>
            </w:r>
          </w:p>
          <w:p>
            <w:pPr>
              <w:snapToGrid w:val="0"/>
              <w:ind w:firstLine="640" w:firstLineChars="200"/>
              <w:rPr>
                <w:rFonts w:hint="eastAsia" w:ascii="仿宋" w:hAnsi="仿宋" w:eastAsia="仿宋" w:cs="仿宋"/>
                <w:sz w:val="32"/>
                <w:szCs w:val="32"/>
              </w:rPr>
            </w:pPr>
            <w:r>
              <w:rPr>
                <w:rFonts w:hint="eastAsia" w:ascii="仿宋" w:hAnsi="仿宋" w:eastAsia="仿宋" w:cs="仿宋"/>
                <w:sz w:val="32"/>
                <w:szCs w:val="32"/>
              </w:rPr>
              <w:t>君山区钱粮湖镇磊鑫环保建材厂拟在岳阳市君山区钱粮湖镇乾隆村建设年产35万吨机制砂生产建设项目。项目</w:t>
            </w:r>
            <w:r>
              <w:rPr>
                <w:rFonts w:hint="eastAsia" w:ascii="仿宋" w:hAnsi="仿宋" w:eastAsia="仿宋" w:cs="仿宋"/>
                <w:sz w:val="32"/>
                <w:szCs w:val="32"/>
                <w:lang w:val="en-US" w:eastAsia="zh-CN"/>
              </w:rPr>
              <w:t>占地</w:t>
            </w:r>
            <w:r>
              <w:rPr>
                <w:rFonts w:hint="eastAsia" w:ascii="仿宋" w:hAnsi="仿宋" w:eastAsia="仿宋" w:cs="仿宋"/>
                <w:color w:val="000000"/>
                <w:sz w:val="32"/>
                <w:szCs w:val="32"/>
                <w:u w:val="none"/>
                <w:lang w:val="en-US" w:eastAsia="zh-CN"/>
              </w:rPr>
              <w:t>7500m</w:t>
            </w:r>
            <w:r>
              <w:rPr>
                <w:rFonts w:hint="eastAsia" w:ascii="仿宋" w:hAnsi="仿宋" w:eastAsia="仿宋" w:cs="仿宋"/>
                <w:color w:val="000000"/>
                <w:sz w:val="32"/>
                <w:szCs w:val="32"/>
                <w:u w:val="none"/>
                <w:vertAlign w:val="superscript"/>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CN"/>
              </w:rPr>
              <w:t>总</w:t>
            </w:r>
            <w:r>
              <w:rPr>
                <w:rFonts w:hint="eastAsia" w:ascii="仿宋" w:hAnsi="仿宋" w:eastAsia="仿宋" w:cs="仿宋"/>
                <w:sz w:val="32"/>
                <w:szCs w:val="32"/>
              </w:rPr>
              <w:t>投资</w:t>
            </w:r>
            <w:r>
              <w:rPr>
                <w:rFonts w:hint="eastAsia" w:ascii="仿宋" w:hAnsi="仿宋" w:eastAsia="仿宋" w:cs="仿宋"/>
                <w:sz w:val="32"/>
                <w:szCs w:val="32"/>
                <w:lang w:val="en-US" w:eastAsia="zh-CN"/>
              </w:rPr>
              <w:t>58</w:t>
            </w:r>
            <w:r>
              <w:rPr>
                <w:rFonts w:hint="eastAsia" w:ascii="仿宋" w:hAnsi="仿宋" w:eastAsia="仿宋" w:cs="仿宋"/>
                <w:sz w:val="32"/>
                <w:szCs w:val="32"/>
              </w:rPr>
              <w:t>万元，</w:t>
            </w:r>
            <w:r>
              <w:rPr>
                <w:rFonts w:hint="eastAsia" w:ascii="仿宋" w:hAnsi="仿宋" w:eastAsia="仿宋" w:cs="仿宋"/>
                <w:sz w:val="32"/>
                <w:szCs w:val="32"/>
                <w:lang w:val="en-US" w:eastAsia="zh-CN"/>
              </w:rPr>
              <w:t>其中环保投资5万元，建成后年产年产35万吨机制砂。项目建设内容包括一条机制砂生产线，原料堆场、成品堆场和回流沉淀池，并配套建设绿化、给排水等辅助工程</w:t>
            </w:r>
            <w:r>
              <w:rPr>
                <w:rFonts w:hint="eastAsia" w:ascii="仿宋" w:hAnsi="仿宋" w:eastAsia="仿宋" w:cs="仿宋"/>
                <w:sz w:val="32"/>
                <w:szCs w:val="32"/>
              </w:rPr>
              <w:t>。根据</w:t>
            </w:r>
            <w:bookmarkStart w:id="0" w:name="_GoBack"/>
            <w:r>
              <w:rPr>
                <w:rFonts w:hint="eastAsia" w:ascii="仿宋" w:hAnsi="仿宋" w:eastAsia="仿宋" w:cs="仿宋"/>
                <w:sz w:val="32"/>
                <w:szCs w:val="32"/>
              </w:rPr>
              <w:t>湖南知成环保服务有限公司</w:t>
            </w:r>
            <w:bookmarkEnd w:id="0"/>
            <w:r>
              <w:rPr>
                <w:rFonts w:hint="eastAsia" w:ascii="仿宋" w:hAnsi="仿宋" w:eastAsia="仿宋" w:cs="仿宋"/>
                <w:sz w:val="32"/>
                <w:szCs w:val="32"/>
              </w:rPr>
              <w:t>编制的环境影响报告表基本内容、结论和专家审查意见，从环境保护角度考虑，同意本项目的建设。</w:t>
            </w:r>
          </w:p>
          <w:p>
            <w:pPr>
              <w:snapToGrid w:val="0"/>
              <w:ind w:firstLine="640" w:firstLineChars="200"/>
              <w:rPr>
                <w:rFonts w:hint="eastAsia" w:ascii="仿宋" w:hAnsi="仿宋" w:eastAsia="仿宋" w:cs="仿宋"/>
                <w:sz w:val="32"/>
                <w:szCs w:val="32"/>
              </w:rPr>
            </w:pPr>
            <w:r>
              <w:rPr>
                <w:rFonts w:hint="eastAsia" w:ascii="仿宋" w:hAnsi="仿宋" w:eastAsia="仿宋" w:cs="仿宋"/>
                <w:sz w:val="32"/>
                <w:szCs w:val="32"/>
              </w:rPr>
              <w:t>一、建设单位须逐项落实环评报告表提出的各项环保措施，严格执行环保“三同时”制度，配套建设污染防治设施，加强环境管理，确保外排污染物长期稳定达标排放。在工程设计、建设和管理中，应着重注意以下问题：</w:t>
            </w:r>
          </w:p>
          <w:p>
            <w:pPr>
              <w:snapToGrid w:val="0"/>
              <w:ind w:firstLine="640" w:firstLineChars="200"/>
              <w:rPr>
                <w:rFonts w:hint="eastAsia" w:ascii="仿宋" w:hAnsi="仿宋" w:eastAsia="仿宋" w:cs="仿宋"/>
                <w:sz w:val="32"/>
                <w:szCs w:val="32"/>
              </w:rPr>
            </w:pPr>
            <w:r>
              <w:rPr>
                <w:rFonts w:hint="eastAsia" w:ascii="仿宋" w:hAnsi="仿宋" w:eastAsia="仿宋" w:cs="仿宋"/>
                <w:sz w:val="32"/>
                <w:szCs w:val="32"/>
              </w:rPr>
              <w:t>1、切实做好施工期环境保护工作。落实环境影响评价文件提出的各项施工期污防措施，尽量缩短施工期，合理布局施工机械，对施工场地采取围挡、加盖篷布、洒水降尘等抑尘措施，禁止在大风天作业，渣土物料运输采用密闭或其他遮覆方式，有效减轻施工及运输的扬尘污染影响；选用低噪声施工设备，合理安排施工时间，尽量避免在22：00~次日6：00的敏感时段施工，若因工艺或特殊需要必须连续施工，按要求报环保部门批准，并向周边居民或单位发布公告，减少噪声对周边环境的影响；施工期</w:t>
            </w:r>
            <w:r>
              <w:rPr>
                <w:rFonts w:hint="eastAsia" w:ascii="仿宋" w:hAnsi="仿宋" w:eastAsia="仿宋" w:cs="仿宋"/>
                <w:sz w:val="32"/>
                <w:szCs w:val="32"/>
                <w:lang w:val="en-US" w:eastAsia="zh-CN"/>
              </w:rPr>
              <w:t>废水经沉淀后回用</w:t>
            </w:r>
            <w:r>
              <w:rPr>
                <w:rFonts w:hint="eastAsia" w:ascii="仿宋" w:hAnsi="仿宋" w:eastAsia="仿宋" w:cs="仿宋"/>
                <w:sz w:val="32"/>
                <w:szCs w:val="32"/>
              </w:rPr>
              <w:t>；建设期</w:t>
            </w:r>
            <w:r>
              <w:rPr>
                <w:rFonts w:hint="eastAsia" w:ascii="仿宋" w:hAnsi="仿宋" w:eastAsia="仿宋" w:cs="仿宋"/>
                <w:sz w:val="32"/>
                <w:szCs w:val="32"/>
                <w:lang w:val="en-US" w:eastAsia="zh-CN"/>
              </w:rPr>
              <w:t>施工废料按要求分类收集，综合利用，</w:t>
            </w:r>
            <w:r>
              <w:rPr>
                <w:rFonts w:hint="eastAsia" w:ascii="仿宋" w:hAnsi="仿宋" w:eastAsia="仿宋" w:cs="仿宋"/>
                <w:sz w:val="32"/>
                <w:szCs w:val="32"/>
              </w:rPr>
              <w:t>生活垃圾经收集后由环卫部门统一及时处理。</w:t>
            </w:r>
          </w:p>
          <w:p>
            <w:pPr>
              <w:snapToGrid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废水污染防治。</w:t>
            </w:r>
            <w:r>
              <w:rPr>
                <w:rFonts w:hint="eastAsia" w:ascii="仿宋" w:hAnsi="仿宋" w:eastAsia="仿宋" w:cs="仿宋"/>
                <w:sz w:val="32"/>
                <w:szCs w:val="32"/>
                <w:lang w:val="en-US" w:eastAsia="zh-CN"/>
              </w:rPr>
              <w:t>项目不设置外排口，</w:t>
            </w:r>
            <w:r>
              <w:rPr>
                <w:rFonts w:hint="eastAsia" w:ascii="仿宋" w:hAnsi="仿宋" w:eastAsia="仿宋" w:cs="仿宋"/>
                <w:sz w:val="32"/>
                <w:szCs w:val="32"/>
              </w:rPr>
              <w:t>采用“雨污分流”制，</w:t>
            </w:r>
            <w:r>
              <w:rPr>
                <w:rFonts w:hint="eastAsia" w:ascii="仿宋" w:hAnsi="仿宋" w:eastAsia="仿宋" w:cs="仿宋"/>
                <w:sz w:val="32"/>
                <w:szCs w:val="32"/>
                <w:lang w:val="en-US" w:eastAsia="zh-CN"/>
              </w:rPr>
              <w:t>雨水和洗砂废水收集后通过回流沉淀池处理后回用；</w:t>
            </w:r>
            <w:r>
              <w:rPr>
                <w:rFonts w:hint="eastAsia" w:ascii="仿宋" w:hAnsi="仿宋" w:eastAsia="仿宋" w:cs="仿宋"/>
                <w:sz w:val="32"/>
                <w:szCs w:val="32"/>
              </w:rPr>
              <w:t>生活污水经化粪池处理</w:t>
            </w:r>
            <w:r>
              <w:rPr>
                <w:rFonts w:hint="eastAsia" w:ascii="仿宋" w:hAnsi="仿宋" w:eastAsia="仿宋" w:cs="仿宋"/>
                <w:sz w:val="32"/>
                <w:szCs w:val="32"/>
                <w:lang w:val="en-US" w:eastAsia="zh-CN"/>
              </w:rPr>
              <w:t>后</w:t>
            </w:r>
            <w:r>
              <w:rPr>
                <w:rFonts w:hint="eastAsia" w:ascii="仿宋" w:hAnsi="仿宋" w:eastAsia="仿宋" w:cs="仿宋"/>
                <w:sz w:val="32"/>
                <w:szCs w:val="32"/>
                <w:lang w:eastAsia="zh-CN"/>
              </w:rPr>
              <w:t>用于农田灌溉</w:t>
            </w:r>
            <w:r>
              <w:rPr>
                <w:rFonts w:hint="eastAsia" w:ascii="仿宋" w:hAnsi="仿宋" w:eastAsia="仿宋" w:cs="仿宋"/>
                <w:sz w:val="32"/>
                <w:szCs w:val="32"/>
              </w:rPr>
              <w:t>。</w:t>
            </w:r>
          </w:p>
          <w:p>
            <w:pPr>
              <w:snapToGrid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3、废气污染防治。</w:t>
            </w:r>
            <w:r>
              <w:rPr>
                <w:rFonts w:hint="eastAsia" w:ascii="仿宋" w:hAnsi="仿宋" w:eastAsia="仿宋" w:cs="仿宋"/>
                <w:sz w:val="32"/>
                <w:szCs w:val="32"/>
                <w:lang w:val="en-US" w:eastAsia="zh-CN"/>
              </w:rPr>
              <w:t>项目制砂机生产采用封闭式湿式作业，各工序安装喷淋装置，加强管控，</w:t>
            </w:r>
            <w:r>
              <w:rPr>
                <w:rFonts w:hint="eastAsia" w:ascii="仿宋" w:hAnsi="仿宋" w:eastAsia="仿宋" w:cs="仿宋"/>
                <w:sz w:val="32"/>
                <w:szCs w:val="32"/>
              </w:rPr>
              <w:t>采取洒水降尘、地面硬化等措施</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减少车辆运输、堆卸产生的</w:t>
            </w:r>
            <w:r>
              <w:rPr>
                <w:rFonts w:hint="eastAsia" w:ascii="仿宋" w:hAnsi="仿宋" w:eastAsia="仿宋" w:cs="仿宋"/>
                <w:sz w:val="32"/>
                <w:szCs w:val="32"/>
              </w:rPr>
              <w:t>无组织</w:t>
            </w:r>
            <w:r>
              <w:rPr>
                <w:rFonts w:hint="eastAsia" w:ascii="仿宋" w:hAnsi="仿宋" w:eastAsia="仿宋" w:cs="仿宋"/>
                <w:sz w:val="32"/>
                <w:szCs w:val="32"/>
                <w:lang w:val="en-US" w:eastAsia="zh-CN"/>
              </w:rPr>
              <w:t>扬尘，确保达到《大气污染物综合排放标准》（GB16297-1997）中无组织排放浓度限值</w:t>
            </w:r>
            <w:r>
              <w:rPr>
                <w:rFonts w:hint="eastAsia" w:ascii="仿宋" w:hAnsi="仿宋" w:eastAsia="仿宋" w:cs="仿宋"/>
                <w:sz w:val="32"/>
                <w:szCs w:val="32"/>
              </w:rPr>
              <w:t>。</w:t>
            </w:r>
          </w:p>
          <w:p>
            <w:pPr>
              <w:snapToGrid w:val="0"/>
              <w:ind w:firstLine="640" w:firstLineChars="200"/>
              <w:rPr>
                <w:rFonts w:hint="eastAsia" w:ascii="仿宋" w:hAnsi="仿宋" w:eastAsia="仿宋" w:cs="仿宋"/>
                <w:sz w:val="32"/>
                <w:szCs w:val="32"/>
              </w:rPr>
            </w:pPr>
            <w:r>
              <w:rPr>
                <w:rFonts w:hint="eastAsia" w:ascii="仿宋" w:hAnsi="仿宋" w:eastAsia="仿宋" w:cs="仿宋"/>
                <w:sz w:val="32"/>
                <w:szCs w:val="32"/>
              </w:rPr>
              <w:t>4、噪声污染防治。</w:t>
            </w:r>
            <w:r>
              <w:rPr>
                <w:rFonts w:hint="eastAsia" w:ascii="仿宋" w:hAnsi="仿宋" w:eastAsia="仿宋" w:cs="仿宋"/>
                <w:sz w:val="32"/>
                <w:szCs w:val="32"/>
                <w:lang w:val="en-US" w:eastAsia="zh-CN"/>
              </w:rPr>
              <w:t>采用低噪声设备，</w:t>
            </w:r>
            <w:r>
              <w:rPr>
                <w:rFonts w:hint="eastAsia" w:ascii="仿宋" w:hAnsi="仿宋" w:eastAsia="仿宋" w:cs="仿宋"/>
                <w:sz w:val="32"/>
                <w:szCs w:val="32"/>
              </w:rPr>
              <w:t>采取减振、吸音、隔声等措施</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禁止夜间（22：00～次日6：00）生产，</w:t>
            </w:r>
            <w:r>
              <w:rPr>
                <w:rFonts w:hint="eastAsia" w:ascii="仿宋" w:hAnsi="仿宋" w:eastAsia="仿宋" w:cs="仿宋"/>
                <w:sz w:val="32"/>
                <w:szCs w:val="32"/>
              </w:rPr>
              <w:t>确保厂界噪声值可达到《工业企业厂界环境噪声排放标准》（GB12348-2008）</w:t>
            </w:r>
            <w:r>
              <w:rPr>
                <w:rFonts w:hint="eastAsia" w:ascii="仿宋" w:hAnsi="仿宋" w:eastAsia="仿宋" w:cs="仿宋"/>
                <w:sz w:val="32"/>
                <w:szCs w:val="32"/>
                <w:lang w:val="en-US" w:eastAsia="zh-CN"/>
              </w:rPr>
              <w:t>要求的标准值</w:t>
            </w:r>
            <w:r>
              <w:rPr>
                <w:rFonts w:hint="eastAsia" w:ascii="仿宋" w:hAnsi="仿宋" w:eastAsia="仿宋" w:cs="仿宋"/>
                <w:sz w:val="32"/>
                <w:szCs w:val="32"/>
              </w:rPr>
              <w:t>，</w:t>
            </w:r>
            <w:r>
              <w:rPr>
                <w:rFonts w:hint="eastAsia" w:ascii="仿宋" w:hAnsi="仿宋" w:eastAsia="仿宋" w:cs="仿宋"/>
                <w:sz w:val="32"/>
                <w:szCs w:val="32"/>
                <w:lang w:val="en-US" w:eastAsia="zh-CN"/>
              </w:rPr>
              <w:t>减少噪声扰民</w:t>
            </w:r>
            <w:r>
              <w:rPr>
                <w:rFonts w:hint="eastAsia" w:ascii="仿宋" w:hAnsi="仿宋" w:eastAsia="仿宋" w:cs="仿宋"/>
                <w:sz w:val="32"/>
                <w:szCs w:val="32"/>
              </w:rPr>
              <w:t>。</w:t>
            </w:r>
          </w:p>
          <w:p>
            <w:pPr>
              <w:snapToGrid w:val="0"/>
              <w:ind w:firstLine="640" w:firstLineChars="200"/>
              <w:rPr>
                <w:rFonts w:hint="eastAsia" w:ascii="仿宋" w:hAnsi="仿宋" w:eastAsia="仿宋" w:cs="仿宋"/>
                <w:sz w:val="32"/>
                <w:szCs w:val="32"/>
              </w:rPr>
            </w:pPr>
            <w:r>
              <w:rPr>
                <w:rFonts w:hint="eastAsia" w:ascii="仿宋" w:hAnsi="仿宋" w:eastAsia="仿宋" w:cs="仿宋"/>
                <w:sz w:val="32"/>
                <w:szCs w:val="32"/>
              </w:rPr>
              <w:t>5、固体废物污染防治。</w:t>
            </w:r>
            <w:r>
              <w:rPr>
                <w:rFonts w:hint="eastAsia" w:ascii="仿宋" w:hAnsi="仿宋" w:eastAsia="仿宋" w:cs="仿宋"/>
                <w:sz w:val="32"/>
                <w:szCs w:val="32"/>
                <w:lang w:val="en-US" w:eastAsia="zh-CN"/>
              </w:rPr>
              <w:t>沉淀池淤泥定期清理后综合利用；</w:t>
            </w:r>
            <w:r>
              <w:rPr>
                <w:rFonts w:hint="eastAsia" w:ascii="仿宋" w:hAnsi="仿宋" w:eastAsia="仿宋" w:cs="仿宋"/>
                <w:sz w:val="32"/>
                <w:szCs w:val="32"/>
              </w:rPr>
              <w:t>生活垃圾</w:t>
            </w:r>
            <w:r>
              <w:rPr>
                <w:rFonts w:hint="eastAsia" w:ascii="仿宋" w:hAnsi="仿宋" w:eastAsia="仿宋" w:cs="仿宋"/>
                <w:sz w:val="32"/>
                <w:szCs w:val="32"/>
                <w:lang w:val="en-US" w:eastAsia="zh-CN"/>
              </w:rPr>
              <w:t>经</w:t>
            </w:r>
            <w:r>
              <w:rPr>
                <w:rFonts w:hint="eastAsia" w:ascii="仿宋" w:hAnsi="仿宋" w:eastAsia="仿宋" w:cs="仿宋"/>
                <w:sz w:val="32"/>
                <w:szCs w:val="32"/>
              </w:rPr>
              <w:t>收集后交由环卫部门统一清运处理。</w:t>
            </w:r>
          </w:p>
          <w:p>
            <w:pPr>
              <w:snapToGrid w:val="0"/>
              <w:ind w:firstLine="640" w:firstLineChars="200"/>
              <w:rPr>
                <w:rFonts w:hint="eastAsia" w:ascii="仿宋" w:hAnsi="仿宋" w:eastAsia="仿宋" w:cs="仿宋"/>
                <w:sz w:val="32"/>
                <w:szCs w:val="32"/>
              </w:rPr>
            </w:pPr>
            <w:r>
              <w:rPr>
                <w:rFonts w:hint="eastAsia" w:ascii="仿宋" w:hAnsi="仿宋" w:eastAsia="仿宋" w:cs="仿宋"/>
                <w:sz w:val="32"/>
                <w:szCs w:val="32"/>
              </w:rPr>
              <w:t>6、环境和安全管理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加强管理，</w:t>
            </w:r>
            <w:r>
              <w:rPr>
                <w:rFonts w:hint="eastAsia" w:ascii="仿宋" w:hAnsi="仿宋" w:eastAsia="仿宋" w:cs="仿宋"/>
                <w:sz w:val="32"/>
                <w:szCs w:val="32"/>
              </w:rPr>
              <w:t>做好每日的巡检工作和记录。做好各项环境风险防范措施的，</w:t>
            </w:r>
            <w:r>
              <w:rPr>
                <w:rFonts w:hint="eastAsia" w:ascii="仿宋" w:hAnsi="仿宋" w:eastAsia="仿宋" w:cs="仿宋"/>
                <w:sz w:val="32"/>
                <w:szCs w:val="32"/>
                <w:lang w:val="en-US" w:eastAsia="zh-CN"/>
              </w:rPr>
              <w:t>降低</w:t>
            </w:r>
            <w:r>
              <w:rPr>
                <w:rFonts w:hint="eastAsia" w:ascii="仿宋" w:hAnsi="仿宋" w:eastAsia="仿宋" w:cs="仿宋"/>
                <w:sz w:val="32"/>
                <w:szCs w:val="32"/>
              </w:rPr>
              <w:t>项目的环境风险</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做好各项应急预案。</w:t>
            </w:r>
          </w:p>
          <w:p>
            <w:pPr>
              <w:snapToGrid w:val="0"/>
              <w:ind w:firstLine="640" w:firstLineChars="200"/>
              <w:rPr>
                <w:rFonts w:hint="eastAsia" w:ascii="仿宋" w:hAnsi="仿宋" w:eastAsia="仿宋" w:cs="仿宋"/>
                <w:sz w:val="32"/>
                <w:szCs w:val="32"/>
              </w:rPr>
            </w:pPr>
            <w:r>
              <w:rPr>
                <w:rFonts w:hint="eastAsia" w:ascii="仿宋" w:hAnsi="仿宋" w:eastAsia="仿宋" w:cs="仿宋"/>
                <w:sz w:val="32"/>
                <w:szCs w:val="32"/>
              </w:rPr>
              <w:t>二、你单位应在收到本批复后15个工作日内，将批复及</w:t>
            </w:r>
            <w:r>
              <w:rPr>
                <w:rFonts w:hint="eastAsia" w:ascii="仿宋" w:hAnsi="仿宋" w:eastAsia="仿宋" w:cs="仿宋"/>
                <w:sz w:val="32"/>
                <w:szCs w:val="32"/>
                <w:lang w:eastAsia="zh-CN"/>
              </w:rPr>
              <w:t>该项目环评报批稿</w:t>
            </w:r>
            <w:r>
              <w:rPr>
                <w:rFonts w:hint="eastAsia" w:ascii="仿宋" w:hAnsi="仿宋" w:eastAsia="仿宋" w:cs="仿宋"/>
                <w:sz w:val="32"/>
                <w:szCs w:val="32"/>
              </w:rPr>
              <w:t>送至岳阳市</w:t>
            </w:r>
            <w:r>
              <w:rPr>
                <w:rFonts w:hint="eastAsia" w:ascii="仿宋" w:hAnsi="仿宋" w:eastAsia="仿宋" w:cs="仿宋"/>
                <w:sz w:val="32"/>
                <w:szCs w:val="32"/>
                <w:lang w:eastAsia="zh-CN"/>
              </w:rPr>
              <w:t>君山</w:t>
            </w:r>
            <w:r>
              <w:rPr>
                <w:rFonts w:hint="eastAsia" w:ascii="仿宋" w:hAnsi="仿宋" w:eastAsia="仿宋" w:cs="仿宋"/>
                <w:sz w:val="32"/>
                <w:szCs w:val="32"/>
              </w:rPr>
              <w:t>区</w:t>
            </w:r>
            <w:r>
              <w:rPr>
                <w:rFonts w:hint="eastAsia" w:ascii="仿宋" w:hAnsi="仿宋" w:eastAsia="仿宋" w:cs="仿宋"/>
                <w:sz w:val="32"/>
                <w:szCs w:val="32"/>
                <w:lang w:eastAsia="zh-CN"/>
              </w:rPr>
              <w:t>环境监察大队</w:t>
            </w:r>
            <w:r>
              <w:rPr>
                <w:rFonts w:hint="eastAsia" w:ascii="仿宋" w:hAnsi="仿宋" w:eastAsia="仿宋" w:cs="仿宋"/>
                <w:sz w:val="32"/>
                <w:szCs w:val="32"/>
              </w:rPr>
              <w:t xml:space="preserve">、湖南知成环保服务有限公司。 </w:t>
            </w:r>
          </w:p>
          <w:p>
            <w:pPr>
              <w:snapToGrid w:val="0"/>
              <w:ind w:firstLine="640" w:firstLineChars="200"/>
              <w:rPr>
                <w:rFonts w:hint="eastAsia" w:ascii="仿宋" w:hAnsi="仿宋" w:eastAsia="仿宋" w:cs="仿宋"/>
                <w:sz w:val="32"/>
                <w:szCs w:val="32"/>
              </w:rPr>
            </w:pPr>
            <w:r>
              <w:rPr>
                <w:rFonts w:hint="eastAsia" w:ascii="仿宋" w:hAnsi="仿宋" w:eastAsia="仿宋" w:cs="仿宋"/>
                <w:sz w:val="32"/>
                <w:szCs w:val="32"/>
              </w:rPr>
              <w:t>三、岳阳市</w:t>
            </w:r>
            <w:r>
              <w:rPr>
                <w:rFonts w:hint="eastAsia" w:ascii="仿宋" w:hAnsi="仿宋" w:eastAsia="仿宋" w:cs="仿宋"/>
                <w:sz w:val="32"/>
                <w:szCs w:val="32"/>
                <w:lang w:eastAsia="zh-CN"/>
              </w:rPr>
              <w:t>君山</w:t>
            </w:r>
            <w:r>
              <w:rPr>
                <w:rFonts w:hint="eastAsia" w:ascii="仿宋" w:hAnsi="仿宋" w:eastAsia="仿宋" w:cs="仿宋"/>
                <w:sz w:val="32"/>
                <w:szCs w:val="32"/>
              </w:rPr>
              <w:t>区</w:t>
            </w:r>
            <w:r>
              <w:rPr>
                <w:rFonts w:hint="eastAsia" w:ascii="仿宋" w:hAnsi="仿宋" w:eastAsia="仿宋" w:cs="仿宋"/>
                <w:sz w:val="32"/>
                <w:szCs w:val="32"/>
                <w:lang w:eastAsia="zh-CN"/>
              </w:rPr>
              <w:t>环境监察大队</w:t>
            </w:r>
            <w:r>
              <w:rPr>
                <w:rFonts w:hint="eastAsia" w:ascii="仿宋" w:hAnsi="仿宋" w:eastAsia="仿宋" w:cs="仿宋"/>
                <w:sz w:val="32"/>
                <w:szCs w:val="32"/>
              </w:rPr>
              <w:t>负责项目建设期和营运期的日常环境监管。</w:t>
            </w:r>
          </w:p>
          <w:p>
            <w:pPr>
              <w:snapToGrid w:val="0"/>
              <w:rPr>
                <w:rFonts w:ascii="仿宋_GB2312" w:hAnsi="Times New Roman" w:eastAsia="仿宋_GB2312"/>
                <w:sz w:val="28"/>
              </w:rPr>
            </w:pPr>
          </w:p>
          <w:p>
            <w:pPr>
              <w:snapToGrid w:val="0"/>
              <w:rPr>
                <w:rFonts w:ascii="仿宋_GB2312" w:hAnsi="Times New Roman" w:eastAsia="仿宋_GB2312"/>
                <w:sz w:val="28"/>
              </w:rPr>
            </w:pPr>
          </w:p>
          <w:p>
            <w:pPr>
              <w:snapToGrid w:val="0"/>
              <w:rPr>
                <w:rFonts w:ascii="仿宋_GB2312" w:hAnsi="Times New Roman" w:eastAsia="仿宋_GB2312"/>
                <w:sz w:val="28"/>
              </w:rPr>
            </w:pPr>
          </w:p>
          <w:p>
            <w:pPr>
              <w:snapToGrid w:val="0"/>
              <w:rPr>
                <w:rFonts w:ascii="仿宋_GB2312" w:hAnsi="Times New Roman" w:eastAsia="仿宋_GB2312"/>
                <w:sz w:val="28"/>
              </w:rPr>
            </w:pPr>
          </w:p>
          <w:p>
            <w:pPr>
              <w:snapToGrid w:val="0"/>
              <w:rPr>
                <w:rFonts w:hint="eastAsia" w:ascii="仿宋_GB2312" w:eastAsia="仿宋_GB2312"/>
                <w:w w:val="90"/>
                <w:sz w:val="28"/>
              </w:rPr>
            </w:pPr>
            <w:r>
              <w:rPr>
                <w:rFonts w:hint="eastAsia" w:ascii="仿宋_GB2312" w:eastAsia="仿宋_GB2312"/>
                <w:w w:val="90"/>
                <w:sz w:val="28"/>
              </w:rPr>
              <w:t>经办人：</w:t>
            </w:r>
            <w:r>
              <w:rPr>
                <w:rFonts w:hint="eastAsia" w:ascii="仿宋_GB2312" w:eastAsia="仿宋_GB2312"/>
                <w:w w:val="90"/>
                <w:sz w:val="28"/>
                <w:lang w:eastAsia="zh-CN"/>
              </w:rPr>
              <w:t>章鹏</w:t>
            </w:r>
          </w:p>
          <w:p>
            <w:pPr>
              <w:snapToGrid w:val="0"/>
              <w:rPr>
                <w:rFonts w:hint="eastAsia" w:ascii="仿宋_GB2312" w:eastAsia="仿宋_GB2312"/>
                <w:w w:val="90"/>
                <w:sz w:val="28"/>
              </w:rPr>
            </w:pPr>
          </w:p>
          <w:p>
            <w:pPr>
              <w:snapToGrid w:val="0"/>
              <w:rPr>
                <w:rFonts w:hint="eastAsia" w:ascii="仿宋_GB2312" w:eastAsia="仿宋_GB2312"/>
                <w:w w:val="90"/>
                <w:sz w:val="28"/>
              </w:rPr>
            </w:pPr>
          </w:p>
          <w:p>
            <w:pPr>
              <w:snapToGrid w:val="0"/>
              <w:rPr>
                <w:rFonts w:hint="eastAsia" w:ascii="仿宋_GB2312" w:hAnsi="Times New Roman" w:eastAsia="仿宋_GB2312"/>
                <w:sz w:val="28"/>
                <w:lang w:val="en-US" w:eastAsia="zh-CN"/>
              </w:rPr>
            </w:pPr>
            <w:r>
              <w:rPr>
                <w:rFonts w:hint="eastAsia" w:ascii="仿宋_GB2312" w:eastAsia="仿宋_GB2312"/>
                <w:w w:val="90"/>
                <w:sz w:val="28"/>
              </w:rPr>
              <w:t>审批人：</w:t>
            </w:r>
            <w:r>
              <w:rPr>
                <w:rFonts w:hint="eastAsia" w:ascii="仿宋_GB2312" w:eastAsia="仿宋_GB2312"/>
                <w:w w:val="90"/>
                <w:sz w:val="28"/>
                <w:lang w:eastAsia="zh-CN"/>
              </w:rPr>
              <w:t>龚卿</w:t>
            </w:r>
            <w:r>
              <w:rPr>
                <w:rFonts w:ascii="仿宋_GB2312" w:hAnsi="Times New Roman" w:eastAsia="仿宋_GB2312"/>
                <w:sz w:val="28"/>
              </w:rPr>
              <w:t xml:space="preserve">                               </w:t>
            </w:r>
            <w:r>
              <w:rPr>
                <w:rFonts w:hint="eastAsia" w:ascii="仿宋_GB2312" w:hAnsi="Times New Roman" w:eastAsia="仿宋_GB2312"/>
                <w:sz w:val="28"/>
                <w:lang w:val="en-US" w:eastAsia="zh-CN"/>
              </w:rPr>
              <w:t xml:space="preserve"> </w:t>
            </w:r>
          </w:p>
          <w:p>
            <w:pPr>
              <w:snapToGrid w:val="0"/>
              <w:rPr>
                <w:rFonts w:hint="eastAsia" w:ascii="仿宋_GB2312" w:hAnsi="Times New Roman" w:eastAsia="仿宋_GB2312"/>
                <w:sz w:val="28"/>
                <w:lang w:val="en-US" w:eastAsia="zh-CN"/>
              </w:rPr>
            </w:pPr>
          </w:p>
          <w:p>
            <w:pPr>
              <w:snapToGrid w:val="0"/>
              <w:rPr>
                <w:rFonts w:hint="eastAsia" w:ascii="仿宋_GB2312" w:hAnsi="Times New Roman" w:eastAsia="仿宋_GB2312"/>
                <w:sz w:val="28"/>
                <w:lang w:val="en-US" w:eastAsia="zh-CN"/>
              </w:rPr>
            </w:pPr>
          </w:p>
          <w:p>
            <w:pPr>
              <w:snapToGrid w:val="0"/>
              <w:rPr>
                <w:rFonts w:hint="eastAsia" w:ascii="仿宋_GB2312" w:hAnsi="Times New Roman" w:eastAsia="仿宋_GB2312"/>
                <w:sz w:val="28"/>
                <w:lang w:val="en-US" w:eastAsia="zh-CN"/>
              </w:rPr>
            </w:pPr>
          </w:p>
          <w:p>
            <w:pPr>
              <w:snapToGrid w:val="0"/>
              <w:ind w:firstLine="5600" w:firstLineChars="2000"/>
              <w:rPr>
                <w:rFonts w:ascii="仿宋_GB2312" w:hAnsi="Times New Roman" w:eastAsia="仿宋_GB2312"/>
                <w:sz w:val="28"/>
              </w:rPr>
            </w:pPr>
            <w:r>
              <w:rPr>
                <w:rFonts w:hint="eastAsia" w:ascii="仿宋_GB2312" w:hAnsi="Times New Roman" w:eastAsia="仿宋_GB2312"/>
                <w:sz w:val="28"/>
                <w:lang w:val="en-US" w:eastAsia="zh-CN"/>
              </w:rPr>
              <w:t xml:space="preserve">      </w:t>
            </w:r>
            <w:r>
              <w:rPr>
                <w:rFonts w:ascii="仿宋_GB2312" w:hAnsi="Times New Roman" w:eastAsia="仿宋_GB2312"/>
                <w:sz w:val="28"/>
              </w:rPr>
              <w:t xml:space="preserve"> </w:t>
            </w:r>
            <w:r>
              <w:rPr>
                <w:rFonts w:hint="eastAsia" w:ascii="仿宋_GB2312" w:eastAsia="仿宋_GB2312"/>
                <w:sz w:val="28"/>
              </w:rPr>
              <w:t>公</w:t>
            </w:r>
            <w:r>
              <w:rPr>
                <w:rFonts w:ascii="仿宋_GB2312" w:hAnsi="Times New Roman" w:eastAsia="仿宋_GB2312"/>
                <w:sz w:val="28"/>
              </w:rPr>
              <w:t xml:space="preserve">     </w:t>
            </w:r>
            <w:r>
              <w:rPr>
                <w:rFonts w:hint="eastAsia" w:ascii="仿宋_GB2312" w:eastAsia="仿宋_GB2312"/>
                <w:sz w:val="28"/>
              </w:rPr>
              <w:t>章</w:t>
            </w:r>
          </w:p>
          <w:p>
            <w:pPr>
              <w:snapToGrid w:val="0"/>
              <w:rPr>
                <w:rFonts w:ascii="仿宋_GB2312" w:eastAsia="仿宋_GB2312"/>
                <w:sz w:val="28"/>
              </w:rPr>
            </w:pPr>
            <w:r>
              <w:rPr>
                <w:rFonts w:ascii="仿宋_GB2312" w:hAnsi="Times New Roman" w:eastAsia="仿宋_GB2312"/>
                <w:sz w:val="28"/>
              </w:rPr>
              <w:t xml:space="preserve">                                            201</w:t>
            </w:r>
            <w:r>
              <w:rPr>
                <w:rFonts w:hint="eastAsia" w:ascii="仿宋_GB2312" w:hAnsi="Times New Roman" w:eastAsia="仿宋_GB2312"/>
                <w:sz w:val="28"/>
                <w:lang w:val="en-US" w:eastAsia="zh-CN"/>
              </w:rPr>
              <w:t>8</w:t>
            </w:r>
            <w:r>
              <w:rPr>
                <w:rFonts w:hint="eastAsia" w:ascii="仿宋_GB2312" w:eastAsia="仿宋_GB2312"/>
                <w:sz w:val="28"/>
              </w:rPr>
              <w:t>年</w:t>
            </w:r>
            <w:r>
              <w:rPr>
                <w:rFonts w:hint="eastAsia" w:ascii="仿宋_GB2312" w:hAnsi="Times New Roman" w:eastAsia="仿宋_GB2312"/>
                <w:sz w:val="28"/>
                <w:lang w:val="en-US" w:eastAsia="zh-CN"/>
              </w:rPr>
              <w:t>12</w:t>
            </w:r>
            <w:r>
              <w:rPr>
                <w:rFonts w:hint="eastAsia" w:ascii="仿宋_GB2312" w:eastAsia="仿宋_GB2312"/>
                <w:sz w:val="28"/>
              </w:rPr>
              <w:t>月</w:t>
            </w:r>
            <w:r>
              <w:rPr>
                <w:rFonts w:hint="eastAsia" w:ascii="仿宋_GB2312" w:hAnsi="Times New Roman" w:eastAsia="仿宋_GB2312"/>
                <w:sz w:val="28"/>
                <w:lang w:val="en-US" w:eastAsia="zh-CN"/>
              </w:rPr>
              <w:t>20</w:t>
            </w:r>
            <w:r>
              <w:rPr>
                <w:rFonts w:hint="eastAsia" w:ascii="仿宋_GB2312" w:eastAsia="仿宋_GB2312"/>
                <w:sz w:val="28"/>
              </w:rPr>
              <w:t>日</w:t>
            </w:r>
          </w:p>
          <w:p>
            <w:pPr>
              <w:snapToGrid w:val="0"/>
              <w:rPr>
                <w:rFonts w:ascii="仿宋_GB2312" w:eastAsia="仿宋_GB2312"/>
                <w:sz w:val="28"/>
              </w:rPr>
            </w:pPr>
          </w:p>
        </w:tc>
      </w:tr>
    </w:tbl>
    <w:p>
      <w:pPr>
        <w:spacing w:line="480" w:lineRule="exact"/>
        <w:rPr>
          <w:rFonts w:eastAsia="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C6A"/>
    <w:rsid w:val="0012026D"/>
    <w:rsid w:val="002A2489"/>
    <w:rsid w:val="005A017E"/>
    <w:rsid w:val="00610954"/>
    <w:rsid w:val="00A06C6A"/>
    <w:rsid w:val="00A80E69"/>
    <w:rsid w:val="00EE55F9"/>
    <w:rsid w:val="00F5106F"/>
    <w:rsid w:val="014258C7"/>
    <w:rsid w:val="077715CF"/>
    <w:rsid w:val="09B61525"/>
    <w:rsid w:val="09BA7346"/>
    <w:rsid w:val="0F785FFA"/>
    <w:rsid w:val="1A9501CB"/>
    <w:rsid w:val="1AFB290C"/>
    <w:rsid w:val="1E265FEE"/>
    <w:rsid w:val="20715C02"/>
    <w:rsid w:val="20884185"/>
    <w:rsid w:val="223E6D13"/>
    <w:rsid w:val="224B3D9F"/>
    <w:rsid w:val="34B8139F"/>
    <w:rsid w:val="35196134"/>
    <w:rsid w:val="3A7B06D5"/>
    <w:rsid w:val="3E1210F4"/>
    <w:rsid w:val="41FD68FE"/>
    <w:rsid w:val="443C5C42"/>
    <w:rsid w:val="449E76AC"/>
    <w:rsid w:val="45BB05A9"/>
    <w:rsid w:val="45C85957"/>
    <w:rsid w:val="462D6297"/>
    <w:rsid w:val="49167A9E"/>
    <w:rsid w:val="49466586"/>
    <w:rsid w:val="4D801EDF"/>
    <w:rsid w:val="4E9C292F"/>
    <w:rsid w:val="4F8C03E6"/>
    <w:rsid w:val="50A91980"/>
    <w:rsid w:val="54953C37"/>
    <w:rsid w:val="56FD4676"/>
    <w:rsid w:val="583017FF"/>
    <w:rsid w:val="5AD31360"/>
    <w:rsid w:val="5E7006D7"/>
    <w:rsid w:val="5EE308E7"/>
    <w:rsid w:val="61980384"/>
    <w:rsid w:val="637A53EA"/>
    <w:rsid w:val="70A37142"/>
    <w:rsid w:val="71007ECC"/>
    <w:rsid w:val="76C560FE"/>
    <w:rsid w:val="7B455CA6"/>
    <w:rsid w:val="7CE31B5D"/>
    <w:rsid w:val="7DBA6479"/>
    <w:rsid w:val="7DEC61BF"/>
    <w:rsid w:val="7FB86B0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semiHidden/>
    <w:unhideWhenUsed/>
    <w:qFormat/>
    <w:locked/>
    <w:uiPriority w:val="0"/>
    <w:pPr>
      <w:keepNext/>
      <w:keepLines/>
      <w:spacing w:before="260" w:beforeLines="0" w:after="260" w:afterLines="0" w:line="416" w:lineRule="auto"/>
      <w:outlineLvl w:val="1"/>
    </w:pPr>
    <w:rPr>
      <w:rFonts w:ascii="Arial" w:hAnsi="Arial" w:eastAsia="黑体"/>
      <w:b/>
      <w:bCs/>
      <w:sz w:val="32"/>
      <w:szCs w:val="32"/>
    </w:rPr>
  </w:style>
  <w:style w:type="paragraph" w:styleId="2">
    <w:name w:val="heading 3"/>
    <w:basedOn w:val="3"/>
    <w:next w:val="1"/>
    <w:semiHidden/>
    <w:unhideWhenUsed/>
    <w:qFormat/>
    <w:locked/>
    <w:uiPriority w:val="0"/>
    <w:pPr>
      <w:keepNext/>
      <w:keepLines/>
      <w:spacing w:before="260" w:beforeLines="0" w:after="260" w:afterLines="0" w:line="416" w:lineRule="auto"/>
      <w:outlineLvl w:val="2"/>
    </w:pPr>
    <w:rPr>
      <w:b w:val="0"/>
      <w:bCs w:val="0"/>
      <w:sz w:val="32"/>
      <w:szCs w:val="32"/>
    </w:rPr>
  </w:style>
  <w:style w:type="character" w:default="1" w:styleId="5">
    <w:name w:val="Default Paragraph Font"/>
    <w:semiHidden/>
    <w:qFormat/>
    <w:uiPriority w:val="99"/>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4">
    <w:name w:val="Normal (Web)"/>
    <w:basedOn w:val="1"/>
    <w:qFormat/>
    <w:uiPriority w:val="99"/>
    <w:pPr>
      <w:spacing w:before="100" w:beforeAutospacing="1" w:after="100" w:afterAutospacing="1"/>
      <w:jc w:val="left"/>
    </w:pPr>
    <w:rPr>
      <w:kern w:val="0"/>
      <w:sz w:val="24"/>
    </w:rPr>
  </w:style>
  <w:style w:type="paragraph" w:customStyle="1" w:styleId="7">
    <w:name w:val="WPS Plain"/>
    <w:qFormat/>
    <w:uiPriority w:val="99"/>
    <w:rPr>
      <w:rFonts w:ascii="Calibri" w:hAnsi="Calibri" w:eastAsia="宋体" w:cs="Times New Roman"/>
      <w:kern w:val="0"/>
      <w:sz w:val="21"/>
      <w:szCs w:val="22"/>
      <w:lang w:val="en-US" w:eastAsia="zh-CN" w:bidi="ar-SA"/>
    </w:rPr>
  </w:style>
  <w:style w:type="paragraph" w:customStyle="1" w:styleId="8">
    <w:name w:val="0"/>
    <w:basedOn w:val="1"/>
    <w:qFormat/>
    <w:uiPriority w:val="99"/>
    <w:pPr>
      <w:widowControl/>
      <w:snapToGrid w:val="0"/>
      <w:spacing w:line="365" w:lineRule="atLeast"/>
      <w:ind w:left="1"/>
      <w:textAlignment w:val="bottom"/>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Pages>
  <Words>235</Words>
  <Characters>1345</Characters>
  <Lines>0</Lines>
  <Paragraphs>0</Paragraphs>
  <TotalTime>51</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Lenovo</cp:lastModifiedBy>
  <cp:lastPrinted>2018-12-24T06:37:36Z</cp:lastPrinted>
  <dcterms:modified xsi:type="dcterms:W3CDTF">2018-12-24T08:18:29Z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