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附件2</w:t>
      </w:r>
    </w:p>
    <w:p>
      <w:pPr>
        <w:spacing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岳阳市君山区财政支出项目绩效评价自评报告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ind w:firstLine="459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评价类型</w:t>
      </w:r>
      <w:r>
        <w:rPr>
          <w:rFonts w:hint="eastAsia" w:eastAsia="仿宋_GB2312"/>
          <w:sz w:val="32"/>
          <w:szCs w:val="32"/>
        </w:rPr>
        <w:t>：项目实施过程评价□   项目完成结果评价□</w:t>
      </w:r>
    </w:p>
    <w:p>
      <w:pPr>
        <w:spacing w:before="301" w:beforeLines="50" w:line="348" w:lineRule="auto"/>
        <w:ind w:firstLine="468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</w:t>
      </w:r>
      <w:r>
        <w:rPr>
          <w:rFonts w:hint="eastAsia" w:eastAsia="仿宋_GB2312"/>
          <w:sz w:val="32"/>
          <w:u w:val="single"/>
        </w:rPr>
        <w:t xml:space="preserve">  路灯所经费、污水处理厂运行经费                                  </w:t>
      </w:r>
    </w:p>
    <w:p>
      <w:pPr>
        <w:spacing w:before="301" w:beforeLines="50" w:line="348" w:lineRule="auto"/>
        <w:ind w:firstLine="468" w:firstLineChars="150"/>
        <w:jc w:val="center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</w:t>
      </w:r>
      <w:r>
        <w:rPr>
          <w:rFonts w:hint="eastAsia" w:eastAsia="仿宋_GB2312"/>
          <w:sz w:val="32"/>
          <w:u w:val="single"/>
        </w:rPr>
        <w:t xml:space="preserve">  君山区住房和城乡建设局（含路灯所、污水处理  净化中心）</w:t>
      </w:r>
    </w:p>
    <w:p>
      <w:pPr>
        <w:spacing w:before="301" w:beforeLines="50" w:line="348" w:lineRule="auto"/>
        <w:ind w:firstLine="468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</w:t>
      </w:r>
      <w:r>
        <w:rPr>
          <w:rFonts w:hint="eastAsia" w:eastAsia="仿宋_GB2312"/>
          <w:sz w:val="32"/>
          <w:u w:val="single"/>
        </w:rPr>
        <w:t xml:space="preserve">    君山区住房和城乡建设局                                    </w:t>
      </w:r>
    </w:p>
    <w:p>
      <w:pPr>
        <w:spacing w:before="301" w:beforeLines="50" w:line="348" w:lineRule="auto"/>
        <w:ind w:firstLine="468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68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line="348" w:lineRule="auto"/>
        <w:ind w:firstLine="3994" w:firstLineChars="128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 201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岳阳市君山区财政局（制）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tbl>
      <w:tblPr>
        <w:tblStyle w:val="8"/>
        <w:tblW w:w="962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49"/>
        <w:gridCol w:w="567"/>
        <w:gridCol w:w="151"/>
        <w:gridCol w:w="98"/>
        <w:gridCol w:w="1118"/>
        <w:gridCol w:w="43"/>
        <w:gridCol w:w="384"/>
        <w:gridCol w:w="541"/>
        <w:gridCol w:w="269"/>
        <w:gridCol w:w="120"/>
        <w:gridCol w:w="387"/>
        <w:gridCol w:w="55"/>
        <w:gridCol w:w="818"/>
        <w:gridCol w:w="111"/>
        <w:gridCol w:w="39"/>
        <w:gridCol w:w="381"/>
        <w:gridCol w:w="1230"/>
        <w:gridCol w:w="714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21" w:type="dxa"/>
            <w:gridSpan w:val="2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项目负责人</w:t>
            </w:r>
          </w:p>
        </w:tc>
        <w:tc>
          <w:tcPr>
            <w:tcW w:w="3291" w:type="dxa"/>
            <w:gridSpan w:val="9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马力、彭滔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3361" w:type="dxa"/>
            <w:gridSpan w:val="6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8178006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项目地址</w:t>
            </w:r>
          </w:p>
        </w:tc>
        <w:tc>
          <w:tcPr>
            <w:tcW w:w="3291" w:type="dxa"/>
            <w:gridSpan w:val="9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君山区柳林洲镇西环路1号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邮  编</w:t>
            </w:r>
          </w:p>
        </w:tc>
        <w:tc>
          <w:tcPr>
            <w:tcW w:w="3361" w:type="dxa"/>
            <w:gridSpan w:val="6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414005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09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项目起止时间</w:t>
            </w:r>
          </w:p>
        </w:tc>
        <w:tc>
          <w:tcPr>
            <w:tcW w:w="7912" w:type="dxa"/>
            <w:gridSpan w:val="18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201</w:t>
            </w:r>
            <w:r>
              <w:rPr>
                <w:rFonts w:hint="eastAsia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eastAsia="仿宋_GB2312"/>
                <w:szCs w:val="21"/>
              </w:rPr>
              <w:t>年   1  月起至   201</w:t>
            </w:r>
            <w:r>
              <w:rPr>
                <w:rFonts w:hint="eastAsia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eastAsia="仿宋_GB2312"/>
                <w:szCs w:val="21"/>
              </w:rPr>
              <w:t xml:space="preserve">    年  12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7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计划安排资金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8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281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实际到位资金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281</w:t>
            </w:r>
          </w:p>
        </w:tc>
        <w:tc>
          <w:tcPr>
            <w:tcW w:w="153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实际支出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284.01</w:t>
            </w:r>
          </w:p>
        </w:tc>
        <w:tc>
          <w:tcPr>
            <w:tcW w:w="71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结余（万元）</w:t>
            </w: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-3.01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709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816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30" w:type="dxa"/>
            <w:gridSpan w:val="6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886" w:type="dxa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9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816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30" w:type="dxa"/>
            <w:gridSpan w:val="6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886" w:type="dxa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709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816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30" w:type="dxa"/>
            <w:gridSpan w:val="6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886" w:type="dxa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816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281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281</w:t>
            </w:r>
          </w:p>
        </w:tc>
        <w:tc>
          <w:tcPr>
            <w:tcW w:w="1530" w:type="dxa"/>
            <w:gridSpan w:val="6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284.01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886" w:type="dxa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-3.01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816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30" w:type="dxa"/>
            <w:gridSpan w:val="6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886" w:type="dxa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21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元月份路灯电费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85346.4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1-163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2月份路灯电费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117088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2-25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3月份路灯电费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94085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3-43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4月份路灯电费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91513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4-39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5月份路灯电费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74871.7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5-60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6月份路灯电费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77082.9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6-147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7月份路灯电费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69388.6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7-28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8月份路灯电费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65498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8-34</w:t>
            </w:r>
            <w:r>
              <w:rPr>
                <w:rFonts w:hint="eastAsia" w:eastAsia="仿宋_GB2312"/>
                <w:sz w:val="24"/>
              </w:rPr>
              <w:t xml:space="preserve">  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9月份路灯电费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77431.2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9-60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10月份路灯电费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74961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10-31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11月份路灯电费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84827.3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11-56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12月份路灯电费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88905.4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12-51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1月</w:t>
            </w:r>
            <w:r>
              <w:rPr>
                <w:rFonts w:hint="eastAsia" w:eastAsia="仿宋_GB2312"/>
                <w:sz w:val="24"/>
              </w:rPr>
              <w:t>路灯维护维修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100510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1-155、1-159、1-169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月路灯维护维修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68680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3-28、3-29、3-41、3-44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sz w:val="24"/>
              </w:rPr>
              <w:t>月路灯维护维修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35000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4-38、4-42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</w:rPr>
              <w:t>月路灯维护维修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36170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5-73、5-75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>月路灯维护维修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112125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6-106、6-113、6-118、6-143、6-144、6-149、6-150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sz w:val="24"/>
              </w:rPr>
              <w:t>月路灯维护维修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30280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7-30、7-34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4"/>
              </w:rPr>
              <w:t>月路灯维护维修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25550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9-50、9-54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  <w:r>
              <w:rPr>
                <w:rFonts w:hint="eastAsia" w:eastAsia="仿宋_GB2312"/>
                <w:sz w:val="24"/>
              </w:rPr>
              <w:t>月路灯维护维修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25660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11-48、11-51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>月路灯维护维修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25420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12-16、12-17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小计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1460393.5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污水</w:t>
            </w:r>
            <w:r>
              <w:rPr>
                <w:rFonts w:hint="eastAsia" w:eastAsia="仿宋_GB2312"/>
                <w:sz w:val="24"/>
                <w:lang w:val="en-US" w:eastAsia="zh-CN"/>
              </w:rPr>
              <w:t>2016年12月</w:t>
            </w:r>
            <w:r>
              <w:rPr>
                <w:rFonts w:hint="eastAsia" w:eastAsia="仿宋_GB2312"/>
                <w:sz w:val="24"/>
              </w:rPr>
              <w:t>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30346.07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1-156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污水</w:t>
            </w:r>
            <w:r>
              <w:rPr>
                <w:rFonts w:hint="eastAsia" w:eastAsia="仿宋_GB2312"/>
                <w:sz w:val="24"/>
                <w:lang w:val="en-US" w:eastAsia="zh-CN"/>
              </w:rPr>
              <w:t>2-5</w:t>
            </w:r>
            <w:r>
              <w:rPr>
                <w:rFonts w:hint="eastAsia" w:eastAsia="仿宋_GB2312"/>
                <w:sz w:val="24"/>
              </w:rPr>
              <w:t>月电费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136764.54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5-68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污水</w:t>
            </w:r>
            <w:r>
              <w:rPr>
                <w:rFonts w:hint="eastAsia" w:eastAsia="仿宋_GB2312"/>
                <w:sz w:val="24"/>
                <w:lang w:val="en-US" w:eastAsia="zh-CN"/>
              </w:rPr>
              <w:t>6-8</w:t>
            </w:r>
            <w:r>
              <w:rPr>
                <w:rFonts w:hint="eastAsia" w:eastAsia="仿宋_GB2312"/>
                <w:sz w:val="24"/>
              </w:rPr>
              <w:t>月电费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116838.37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11-44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污水</w:t>
            </w:r>
            <w:r>
              <w:rPr>
                <w:rFonts w:hint="eastAsia" w:eastAsia="仿宋_GB2312"/>
                <w:sz w:val="24"/>
                <w:lang w:val="en-US" w:eastAsia="zh-CN"/>
              </w:rPr>
              <w:t>9-10</w:t>
            </w:r>
            <w:r>
              <w:rPr>
                <w:rFonts w:hint="eastAsia" w:eastAsia="仿宋_GB2312"/>
                <w:sz w:val="24"/>
              </w:rPr>
              <w:t>月电费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83148.58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11-64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污水</w:t>
            </w: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  <w:r>
              <w:rPr>
                <w:rFonts w:hint="eastAsia" w:eastAsia="仿宋_GB2312"/>
                <w:sz w:val="24"/>
              </w:rPr>
              <w:t>月电费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42198.35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12-49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2016年污泥处置费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100000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1-</w:t>
            </w:r>
            <w:r>
              <w:rPr>
                <w:rFonts w:hint="eastAsia" w:eastAsia="仿宋_GB2312"/>
                <w:sz w:val="24"/>
                <w:lang w:val="en-US" w:eastAsia="zh-CN"/>
              </w:rPr>
              <w:t>149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污泥处置费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106000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12-53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污水净化药品费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28950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11-58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污水净化药品费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41972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11-65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污水净化药品费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32475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12-119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污水</w:t>
            </w:r>
            <w:r>
              <w:rPr>
                <w:rFonts w:hint="eastAsia" w:eastAsia="仿宋_GB2312"/>
                <w:sz w:val="24"/>
                <w:lang w:eastAsia="zh-CN"/>
              </w:rPr>
              <w:t>维修费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18806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11-59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专用材料（实验药剂）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20400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5-63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污水管网清淤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87361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12-7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污水管网清淤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93226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12-14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污水管网清淤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95410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12-21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元</w:t>
            </w:r>
            <w:r>
              <w:rPr>
                <w:rFonts w:hint="eastAsia" w:eastAsia="仿宋_GB2312"/>
                <w:sz w:val="24"/>
              </w:rPr>
              <w:t>月工资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41586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1-173、1-174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</w:rPr>
              <w:t>月工资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37505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2-28、2-29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月工资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3705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3-46、3-52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sz w:val="24"/>
              </w:rPr>
              <w:t>月工资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37505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4-40、4-44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</w:rPr>
              <w:t>月工资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82005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5-61、5-78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>月工资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48981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6-148、6-153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sz w:val="24"/>
              </w:rPr>
              <w:t>月工资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45607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7-38、7-39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sz w:val="24"/>
              </w:rPr>
              <w:t>月工资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12229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8-38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4"/>
              </w:rPr>
              <w:t>月工资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12229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9-63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sz w:val="24"/>
              </w:rPr>
              <w:t>月工资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12229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10-33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  <w:r>
              <w:rPr>
                <w:rFonts w:hint="eastAsia" w:eastAsia="仿宋_GB2312"/>
                <w:sz w:val="24"/>
              </w:rPr>
              <w:t>月工资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12229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11-73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小计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  <w:t>1379705.91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支付合计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  <w:t>2840099.41</w:t>
            </w:r>
          </w:p>
        </w:tc>
        <w:tc>
          <w:tcPr>
            <w:tcW w:w="26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621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531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2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531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计划年处理污水量282吨，保障城区生活污水处理率达到92%，且处理的水质达到国家1级B标准，全年通过环保部门检查。路灯所保障城区路灯</w:t>
            </w:r>
            <w:r>
              <w:rPr>
                <w:rFonts w:hint="eastAsia" w:eastAsia="仿宋_GB2312"/>
                <w:sz w:val="24"/>
                <w:lang w:val="en-US" w:eastAsia="zh-CN"/>
              </w:rPr>
              <w:t>2252</w:t>
            </w:r>
            <w:r>
              <w:rPr>
                <w:rFonts w:hint="eastAsia" w:eastAsia="仿宋_GB2312"/>
                <w:sz w:val="24"/>
              </w:rPr>
              <w:t>盏路灯全年的维修维护，实施和监督节假日亮化工程，组织实施小街小巷路灯的改造工程，对路灯实行每周一至二次的夜间巡查，对路灯实施分主次干道、分时段、分线路控制亮灯方式 ，既节约了成本，又保障了</w:t>
            </w:r>
            <w:r>
              <w:rPr>
                <w:rFonts w:hint="eastAsia" w:eastAsia="仿宋_GB2312"/>
                <w:sz w:val="24"/>
                <w:lang w:val="en-US" w:eastAsia="zh-CN"/>
              </w:rPr>
              <w:t>路</w:t>
            </w:r>
            <w:r>
              <w:rPr>
                <w:rFonts w:hint="eastAsia" w:eastAsia="仿宋_GB2312"/>
                <w:sz w:val="24"/>
              </w:rPr>
              <w:t>灯</w:t>
            </w:r>
            <w:r>
              <w:rPr>
                <w:rFonts w:hint="eastAsia" w:eastAsia="仿宋_GB2312"/>
                <w:sz w:val="24"/>
                <w:lang w:val="en-US" w:eastAsia="zh-CN"/>
              </w:rPr>
              <w:t>亮化</w:t>
            </w:r>
            <w:r>
              <w:rPr>
                <w:rFonts w:hint="eastAsia" w:eastAsia="仿宋_GB2312"/>
                <w:sz w:val="24"/>
              </w:rPr>
              <w:t>率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</w:rPr>
              <w:t>路灯亮灯率达98%。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保障了文明卫生城市复查通过，“五区”考评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>个第一，保障了路灯亮化率达到98%，污水处理全年完成任务，全年达标。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6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年处理污水量达</w:t>
            </w:r>
            <w:r>
              <w:rPr>
                <w:rFonts w:hint="eastAsia" w:eastAsia="仿宋_GB2312"/>
                <w:sz w:val="24"/>
                <w:lang w:val="en-US" w:eastAsia="zh-CN"/>
              </w:rPr>
              <w:t>282</w:t>
            </w:r>
            <w:r>
              <w:rPr>
                <w:rFonts w:hint="eastAsia" w:eastAsia="仿宋_GB2312"/>
                <w:sz w:val="24"/>
              </w:rPr>
              <w:t>万吨</w:t>
            </w: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94.6%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路灯亮化率</w:t>
            </w: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处理的水质</w:t>
            </w: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达到国家1级B标准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路灯等维护维修</w:t>
            </w: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在规定的内完成</w:t>
            </w: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12个月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全年计划支出</w:t>
            </w:r>
            <w:r>
              <w:rPr>
                <w:rFonts w:hint="eastAsia" w:eastAsia="仿宋_GB2312"/>
                <w:sz w:val="24"/>
                <w:lang w:val="en-US" w:eastAsia="zh-CN"/>
              </w:rPr>
              <w:t>281</w:t>
            </w: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45"/>
              </w:tabs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284.01</w:t>
            </w: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6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美化、亮化城区，</w:t>
            </w: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优化招商引资环境，</w:t>
            </w: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>%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维护公共环境</w:t>
            </w: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提高人居环境</w:t>
            </w: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>%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改善人居环境，</w:t>
            </w: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99%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提升城市品位</w:t>
            </w: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>%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满意度</w:t>
            </w: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97%</w:t>
            </w:r>
          </w:p>
        </w:tc>
        <w:tc>
          <w:tcPr>
            <w:tcW w:w="2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194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194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621" w:type="dxa"/>
            <w:gridSpan w:val="2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7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5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760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7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王文团</w:t>
            </w:r>
          </w:p>
        </w:tc>
        <w:tc>
          <w:tcPr>
            <w:tcW w:w="2335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副局长</w:t>
            </w:r>
          </w:p>
        </w:tc>
        <w:tc>
          <w:tcPr>
            <w:tcW w:w="1760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机关</w:t>
            </w:r>
          </w:p>
        </w:tc>
        <w:tc>
          <w:tcPr>
            <w:tcW w:w="3250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7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周平</w:t>
            </w:r>
          </w:p>
        </w:tc>
        <w:tc>
          <w:tcPr>
            <w:tcW w:w="2335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办公室主任</w:t>
            </w:r>
          </w:p>
        </w:tc>
        <w:tc>
          <w:tcPr>
            <w:tcW w:w="1760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机关</w:t>
            </w:r>
          </w:p>
        </w:tc>
        <w:tc>
          <w:tcPr>
            <w:tcW w:w="3250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7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马力</w:t>
            </w:r>
          </w:p>
        </w:tc>
        <w:tc>
          <w:tcPr>
            <w:tcW w:w="2335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主任</w:t>
            </w:r>
          </w:p>
        </w:tc>
        <w:tc>
          <w:tcPr>
            <w:tcW w:w="1760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路灯管理所</w:t>
            </w:r>
          </w:p>
        </w:tc>
        <w:tc>
          <w:tcPr>
            <w:tcW w:w="3250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7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彭滔</w:t>
            </w:r>
          </w:p>
        </w:tc>
        <w:tc>
          <w:tcPr>
            <w:tcW w:w="2335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主任</w:t>
            </w:r>
          </w:p>
        </w:tc>
        <w:tc>
          <w:tcPr>
            <w:tcW w:w="1760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污水净化中心</w:t>
            </w:r>
          </w:p>
        </w:tc>
        <w:tc>
          <w:tcPr>
            <w:tcW w:w="3250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7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陈建文</w:t>
            </w:r>
          </w:p>
        </w:tc>
        <w:tc>
          <w:tcPr>
            <w:tcW w:w="2335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主任</w:t>
            </w:r>
          </w:p>
        </w:tc>
        <w:tc>
          <w:tcPr>
            <w:tcW w:w="1760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建管站</w:t>
            </w:r>
          </w:p>
        </w:tc>
        <w:tc>
          <w:tcPr>
            <w:tcW w:w="3250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exact"/>
        </w:trPr>
        <w:tc>
          <w:tcPr>
            <w:tcW w:w="9621" w:type="dxa"/>
            <w:gridSpan w:val="2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9621" w:type="dxa"/>
            <w:gridSpan w:val="20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9621" w:type="dxa"/>
            <w:gridSpan w:val="2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9621" w:type="dxa"/>
            <w:gridSpan w:val="20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财政部门归口业务股室负责人（签章）：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年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8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8947" w:type="dxa"/>
            <w:vAlign w:val="top"/>
          </w:tcPr>
          <w:p>
            <w:pPr>
              <w:spacing w:line="580" w:lineRule="exact"/>
              <w:ind w:firstLine="2592" w:firstLineChars="600"/>
              <w:rPr>
                <w:rFonts w:ascii="仿宋_GB2312" w:eastAsia="仿宋_GB2312"/>
                <w:b/>
                <w:sz w:val="44"/>
                <w:szCs w:val="44"/>
              </w:rPr>
            </w:pPr>
            <w:r>
              <w:rPr>
                <w:rFonts w:hint="eastAsia" w:ascii="仿宋_GB2312" w:eastAsia="仿宋_GB2312"/>
                <w:b/>
                <w:sz w:val="44"/>
                <w:szCs w:val="44"/>
              </w:rPr>
              <w:t>君山区201</w:t>
            </w:r>
            <w:r>
              <w:rPr>
                <w:rFonts w:hint="eastAsia" w:ascii="仿宋_GB2312" w:eastAsia="仿宋_GB2312"/>
                <w:b/>
                <w:sz w:val="44"/>
                <w:szCs w:val="4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/>
                <w:sz w:val="44"/>
                <w:szCs w:val="44"/>
              </w:rPr>
              <w:t>年度</w:t>
            </w:r>
          </w:p>
          <w:p>
            <w:pPr>
              <w:spacing w:line="580" w:lineRule="exact"/>
              <w:ind w:firstLine="864" w:firstLineChars="200"/>
              <w:jc w:val="center"/>
              <w:rPr>
                <w:rFonts w:ascii="仿宋_GB2312" w:eastAsia="仿宋_GB2312"/>
                <w:b/>
                <w:sz w:val="44"/>
                <w:szCs w:val="44"/>
              </w:rPr>
            </w:pPr>
            <w:r>
              <w:rPr>
                <w:rFonts w:hint="eastAsia" w:ascii="仿宋_GB2312" w:eastAsia="仿宋_GB2312"/>
                <w:b/>
                <w:sz w:val="44"/>
                <w:szCs w:val="44"/>
                <w:lang w:val="en-US" w:eastAsia="zh-CN"/>
              </w:rPr>
              <w:t>路灯管理所、污水处理中心</w:t>
            </w:r>
            <w:r>
              <w:rPr>
                <w:rFonts w:hint="eastAsia" w:ascii="仿宋_GB2312" w:eastAsia="仿宋_GB2312"/>
                <w:b/>
                <w:sz w:val="44"/>
                <w:szCs w:val="44"/>
              </w:rPr>
              <w:t>专项资金绩效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44"/>
                <w:szCs w:val="44"/>
              </w:rPr>
              <w:t>评价报告</w:t>
            </w:r>
          </w:p>
          <w:p>
            <w:pPr>
              <w:spacing w:line="580" w:lineRule="exact"/>
              <w:ind w:firstLine="584" w:firstLineChars="200"/>
              <w:rPr>
                <w:rFonts w:hint="eastAsia" w:ascii="仿宋_GB2312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根据《岳阳市君山区财政局关于开展201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年度财政项目支出绩效自评工作的通知》要求，现对本单位路灯管理运行经费、污水处理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  <w:lang w:val="en-US" w:eastAsia="zh-CN"/>
              </w:rPr>
              <w:t>中心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运行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  <w:lang w:val="en-US" w:eastAsia="zh-CN"/>
              </w:rPr>
              <w:t>经费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开展了绩效自评。现将情况报告如下：</w:t>
            </w:r>
          </w:p>
          <w:p>
            <w:pPr>
              <w:spacing w:line="580" w:lineRule="exact"/>
              <w:ind w:firstLine="584" w:firstLineChars="200"/>
              <w:rPr>
                <w:rFonts w:hint="eastAsia" w:ascii="仿宋_GB2312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  <w:lang w:val="en-US" w:eastAsia="zh-CN"/>
              </w:rPr>
              <w:t>一）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项目基本情况</w:t>
            </w:r>
          </w:p>
          <w:p>
            <w:pPr>
              <w:rPr>
                <w:rFonts w:hint="eastAsia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2017年我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污水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  <w:lang w:val="en-US" w:eastAsia="zh-CN"/>
              </w:rPr>
              <w:t>处理中心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年处理量达到282万吨，污水处理率达到92%，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路灯管理所维修维护君山中心城区内共有路灯2252盏，464.92千瓦等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。以岳阳市“一级三宜”为契机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努力做好中心城区提质改造工作，节能减排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进一步改变了君山区的人居环境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2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580" w:lineRule="exact"/>
              <w:ind w:firstLine="584" w:firstLineChars="200"/>
              <w:rPr>
                <w:rFonts w:hint="eastAsia" w:ascii="仿宋_GB2312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项目资金使用及管理情况</w:t>
            </w:r>
          </w:p>
          <w:p>
            <w:pPr>
              <w:numPr>
                <w:ilvl w:val="0"/>
                <w:numId w:val="2"/>
              </w:numPr>
              <w:ind w:firstLine="624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项目资金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使用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情况。全年对全区城区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路灯和污水处理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投入项目资金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284.01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万元，其中：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路灯电费100.1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万元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路灯维护维修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开支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45.94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万元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污水处理中心电费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支出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40.93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万元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污泥处置费20.6万元、污泥净化药品费10.34万元、维修费1.88万元、实验药剂费2.04万元、污水管网清淤27.6万元、污水处理中心工资34.58万元。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2、项目资金管理情况。</w:t>
            </w:r>
            <w:r>
              <w:rPr>
                <w:rFonts w:hint="eastAsia" w:ascii="仿宋_GB2312" w:eastAsia="仿宋_GB2312"/>
                <w:color w:val="000000"/>
                <w:sz w:val="30"/>
                <w:szCs w:val="32"/>
              </w:rPr>
              <w:t>建立了健全的财务会计管理制度</w:t>
            </w:r>
            <w:r>
              <w:rPr>
                <w:rFonts w:hint="eastAsia" w:ascii="仿宋_GB2312" w:eastAsia="仿宋_GB2312"/>
                <w:color w:val="000000"/>
                <w:sz w:val="30"/>
                <w:szCs w:val="32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30"/>
                <w:szCs w:val="32"/>
              </w:rPr>
              <w:t>严格按照专项资金的管理要求</w:t>
            </w:r>
            <w:r>
              <w:rPr>
                <w:rFonts w:hint="eastAsia" w:ascii="仿宋_GB2312" w:eastAsia="仿宋_GB2312"/>
                <w:color w:val="000000"/>
                <w:sz w:val="30"/>
                <w:szCs w:val="32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30"/>
                <w:szCs w:val="32"/>
              </w:rPr>
              <w:t>实行专账核算，没有挪用资金现象。在项目资金管理中，坚持做到财政性资金直接通过财政申请拨付，杜绝了挤占、挪用建设资金。</w:t>
            </w:r>
          </w:p>
          <w:p>
            <w:pPr>
              <w:numPr>
                <w:ilvl w:val="0"/>
                <w:numId w:val="1"/>
              </w:numPr>
              <w:spacing w:line="580" w:lineRule="exact"/>
              <w:ind w:firstLine="584" w:firstLineChars="200"/>
              <w:rPr>
                <w:rFonts w:hint="eastAsia" w:ascii="仿宋_GB2312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  <w:lang w:val="en-US" w:eastAsia="zh-CN"/>
              </w:rPr>
              <w:t>项目组织实施情况</w:t>
            </w:r>
          </w:p>
          <w:p>
            <w:pPr>
              <w:ind w:firstLine="584" w:firstLineChars="200"/>
              <w:rPr>
                <w:rFonts w:hint="eastAsia" w:ascii="仿宋_GB2312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  <w:lang w:val="en-US" w:eastAsia="zh-CN"/>
              </w:rPr>
              <w:t>污水处理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中心每日定时检查各项数据（氨氮、COD、总磷、总氮、SS、PH），实施在线监控，严格控制出水水质，按要求达标排放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2"/>
              </w:rPr>
              <w:t>顺利通过了各项环保检查。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路灯管理所对全路段按照平均每天照明6个小时，春节、元旦、五一、国庆、中秋五个节日全部开放，（共31天，每天照明10小时）电子广告屏10.5千瓦，每天16小时。项目组织实施由路灯管理所控制路灯每天亮灯时间，电力局每月22号计量用电量，路灯所复核用电量，报局财务核销。</w:t>
            </w:r>
          </w:p>
          <w:p>
            <w:pPr>
              <w:spacing w:line="580" w:lineRule="exact"/>
              <w:ind w:firstLine="438" w:firstLineChars="150"/>
              <w:rPr>
                <w:rFonts w:hint="eastAsia" w:ascii="仿宋_GB2312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（四）项目评价情况及评价结论</w:t>
            </w:r>
          </w:p>
          <w:p>
            <w:pPr>
              <w:spacing w:line="600" w:lineRule="exact"/>
              <w:ind w:firstLine="584" w:firstLineChars="200"/>
              <w:outlineLvl w:val="0"/>
              <w:rPr>
                <w:rFonts w:hint="eastAsia" w:ascii="仿宋_GB2312" w:eastAsia="仿宋_GB2312"/>
                <w:color w:val="000000"/>
                <w:sz w:val="3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2"/>
              </w:rPr>
              <w:t>我单位成立了绩效评价领导小组，制定了绩效评价工作方案。</w:t>
            </w:r>
          </w:p>
          <w:p>
            <w:pPr>
              <w:spacing w:line="580" w:lineRule="exact"/>
              <w:ind w:firstLine="584" w:firstLineChars="200"/>
              <w:rPr>
                <w:rFonts w:hint="eastAsia" w:ascii="仿宋_GB2312" w:eastAsia="仿宋_GB2312"/>
                <w:color w:val="000000"/>
                <w:sz w:val="3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2"/>
              </w:rPr>
              <w:t>对照《财政支出绩效评价暂行办法》的评价标准，对污水处理中心运行支出、路灯管理所对专项资金项目进行了自评。从整体上看项目目标内容明确，决策正确，资金管理规范，项目管理到位，政策执行有力，有效发挥了财政资金的使用效率。生活污水处理的实施优化了人居环境，改善了招商引资环境；城建维护项目及路灯电费支出项目，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路灯晚上的亮化度达到98%，实实在在的方便了居民的安全出行。这些民生项目改善了人居环境，增强了出行的安全系数，宜居宜业，可提高公民的文明意识，提高招商引资的环境，提升了君山区城市形象。</w:t>
            </w:r>
            <w:r>
              <w:rPr>
                <w:rFonts w:hint="eastAsia" w:ascii="仿宋_GB2312" w:eastAsia="仿宋_GB2312"/>
                <w:color w:val="000000"/>
                <w:sz w:val="30"/>
                <w:szCs w:val="32"/>
              </w:rPr>
              <w:t>对本区域经济和社会的可持续发展起到了具大的促进作用，综合评价达到预期的效果，综合评价结果为良好。</w:t>
            </w:r>
          </w:p>
          <w:p>
            <w:pPr>
              <w:spacing w:line="580" w:lineRule="exact"/>
              <w:ind w:firstLine="584" w:firstLineChars="200"/>
              <w:rPr>
                <w:rFonts w:hint="eastAsia" w:ascii="仿宋_GB2312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（五）项目主要绩效情况分析</w:t>
            </w:r>
          </w:p>
          <w:p>
            <w:pPr>
              <w:spacing w:line="580" w:lineRule="exact"/>
              <w:ind w:firstLine="584" w:firstLineChars="200"/>
              <w:rPr>
                <w:rFonts w:hint="eastAsia" w:ascii="仿宋_GB2312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经济性效益分析：路灯所对项目实施分主次干道、分时段、分线路控制亮灯方式，既节约了电费又保障了主干道的亮灯率。</w:t>
            </w:r>
          </w:p>
          <w:p>
            <w:pPr>
              <w:spacing w:line="580" w:lineRule="exact"/>
              <w:ind w:firstLine="584" w:firstLineChars="200"/>
              <w:rPr>
                <w:rFonts w:hint="eastAsia" w:ascii="仿宋_GB2312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效率性分析：电力局按月计量电量和电费，路灯所准确复核电费，局财务及时核销，项目正常推进，有条不紊。</w:t>
            </w:r>
          </w:p>
          <w:p>
            <w:pPr>
              <w:spacing w:line="580" w:lineRule="exact"/>
              <w:ind w:firstLine="584" w:firstLineChars="200"/>
              <w:rPr>
                <w:rFonts w:hint="eastAsia" w:ascii="仿宋_GB2312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有效性分析：这二个项目均为公益性的支出，实行了节能减排；可持续性分析：随着城区范围扩大路灯数量增加，项目的预算资金必然增加，区政府应考虑给路灯管理所配置高空作业车和电缆故障检测仪，这样才能高效的保障项目的持续发展。</w:t>
            </w:r>
          </w:p>
          <w:p>
            <w:pPr>
              <w:numPr>
                <w:ilvl w:val="0"/>
                <w:numId w:val="3"/>
              </w:numPr>
              <w:spacing w:line="580" w:lineRule="exact"/>
              <w:ind w:firstLine="584" w:firstLineChars="200"/>
              <w:rPr>
                <w:rFonts w:hint="eastAsia" w:ascii="仿宋_GB2312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存在问题和建议</w:t>
            </w:r>
          </w:p>
          <w:p>
            <w:pPr>
              <w:numPr>
                <w:ilvl w:val="0"/>
                <w:numId w:val="4"/>
              </w:numPr>
              <w:spacing w:line="580" w:lineRule="exact"/>
              <w:ind w:left="729" w:leftChars="0" w:firstLine="0" w:firstLineChars="0"/>
              <w:rPr>
                <w:rFonts w:hint="eastAsia" w:ascii="仿宋_GB2312" w:eastAsia="仿宋_GB2312"/>
                <w:color w:val="000000"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  <w:lang w:val="en-US" w:eastAsia="zh-CN"/>
              </w:rPr>
              <w:t>存在问题</w:t>
            </w:r>
          </w:p>
          <w:p>
            <w:pPr>
              <w:spacing w:line="580" w:lineRule="exact"/>
              <w:ind w:firstLine="584" w:firstLineChars="200"/>
              <w:rPr>
                <w:rFonts w:hint="eastAsia" w:ascii="仿宋_GB2312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由于电费预算经费不足，除保障主干道亮灯时间外，其余辅道及次干道亮灯时间不够，居民时常投诉。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  <w:lang w:val="en-US" w:eastAsia="zh-CN"/>
              </w:rPr>
              <w:t>亮灯时间控制没有根据季节变化及白昼时间灵活调整，合理调配时间，最大限度节约资源。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路灯所的配套设备不完善，制约项目的高效运行。</w:t>
            </w:r>
          </w:p>
          <w:p>
            <w:pPr>
              <w:spacing w:line="580" w:lineRule="exact"/>
              <w:ind w:firstLine="584" w:firstLineChars="200"/>
              <w:rPr>
                <w:rFonts w:hint="eastAsia" w:ascii="仿宋_GB2312" w:eastAsia="仿宋_GB2312"/>
                <w:color w:val="000000"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  <w:lang w:val="en-US" w:eastAsia="zh-CN"/>
              </w:rPr>
              <w:t>实际工作中，由于一些支出的不确定性，在资金的使用上可能会有与预算不完全一致的地方。</w:t>
            </w:r>
          </w:p>
          <w:p>
            <w:pPr>
              <w:numPr>
                <w:ilvl w:val="0"/>
                <w:numId w:val="4"/>
              </w:numPr>
              <w:spacing w:line="580" w:lineRule="exact"/>
              <w:ind w:left="729" w:leftChars="0" w:firstLine="0" w:firstLineChars="0"/>
              <w:rPr>
                <w:rFonts w:hint="eastAsia" w:ascii="仿宋_GB2312" w:eastAsia="仿宋_GB2312"/>
                <w:color w:val="000000"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  <w:lang w:val="en-US" w:eastAsia="zh-CN"/>
              </w:rPr>
              <w:t>建议</w:t>
            </w:r>
          </w:p>
          <w:p>
            <w:pPr>
              <w:spacing w:line="580" w:lineRule="exact"/>
              <w:ind w:firstLine="584" w:firstLineChars="200"/>
              <w:rPr>
                <w:rFonts w:hint="eastAsia" w:ascii="仿宋_GB2312" w:eastAsia="仿宋_GB2312"/>
                <w:color w:val="000000"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28"/>
                <w:lang w:val="en-US" w:eastAsia="zh-CN"/>
              </w:rPr>
              <w:t>针对辅道及次干道亮灯时间不够问题，希望能增加财政预算，争取让居民都能安全安心出行。路灯亮灯时间也会根据白昼时间长短进行灵活合理调配。支出方面会进一步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</w:rPr>
              <w:t>规范管理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30"/>
                <w:szCs w:val="28"/>
                <w:lang w:val="en-US" w:eastAsia="zh-CN"/>
              </w:rPr>
              <w:t>使资金使用最大限度跟预算保持一致。</w:t>
            </w:r>
          </w:p>
          <w:p>
            <w:pPr>
              <w:ind w:firstLine="584" w:firstLineChars="200"/>
              <w:rPr>
                <w:rFonts w:hint="eastAsia" w:ascii="仿宋_GB2312" w:eastAsia="仿宋_GB2312"/>
                <w:color w:val="000000"/>
                <w:sz w:val="30"/>
                <w:szCs w:val="28"/>
                <w:lang w:eastAsia="zh-CN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984" w:right="1531" w:bottom="1587" w:left="1644" w:header="851" w:footer="992" w:gutter="0"/>
      <w:pgNumType w:fmt="numberInDash" w:start="8"/>
      <w:cols w:space="720" w:num="1"/>
      <w:docGrid w:type="linesAndChars" w:linePitch="602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535" w:h="306" w:wrap="around" w:vAnchor="text" w:hAnchor="page" w:x="5425" w:y="82"/>
      <w:pBdr>
        <w:between w:val="none" w:color="auto" w:sz="0" w:space="0"/>
      </w:pBdr>
      <w:jc w:val="center"/>
    </w:pP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- 11 -</w:t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08234C"/>
    <w:multiLevelType w:val="singleLevel"/>
    <w:tmpl w:val="8D08234C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747883E"/>
    <w:multiLevelType w:val="singleLevel"/>
    <w:tmpl w:val="C747883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9EB9721"/>
    <w:multiLevelType w:val="singleLevel"/>
    <w:tmpl w:val="D9EB972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70D36F7"/>
    <w:multiLevelType w:val="singleLevel"/>
    <w:tmpl w:val="E70D36F7"/>
    <w:lvl w:ilvl="0" w:tentative="0">
      <w:start w:val="1"/>
      <w:numFmt w:val="decimal"/>
      <w:suff w:val="nothing"/>
      <w:lvlText w:val="%1、"/>
      <w:lvlJc w:val="left"/>
      <w:pPr>
        <w:ind w:left="729" w:leftChars="0" w:firstLine="0" w:firstLineChars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651F"/>
    <w:rsid w:val="0829651F"/>
    <w:rsid w:val="0FCC5E9E"/>
    <w:rsid w:val="117F385C"/>
    <w:rsid w:val="38591C78"/>
    <w:rsid w:val="414F2F70"/>
    <w:rsid w:val="4B404FC8"/>
    <w:rsid w:val="4C3D7994"/>
    <w:rsid w:val="54754B2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360" w:lineRule="auto"/>
      <w:ind w:firstLine="720" w:firstLineChars="200"/>
      <w:outlineLvl w:val="1"/>
    </w:pPr>
    <w:rPr>
      <w:rFonts w:ascii="Arial" w:hAnsi="Arial" w:eastAsia="黑体"/>
      <w:b/>
      <w:sz w:val="32"/>
      <w:szCs w:val="24"/>
      <w:lang w:bidi="ar-SA"/>
    </w:rPr>
  </w:style>
  <w:style w:type="paragraph" w:styleId="3">
    <w:name w:val="heading 3"/>
    <w:basedOn w:val="1"/>
    <w:next w:val="1"/>
    <w:link w:val="9"/>
    <w:qFormat/>
    <w:uiPriority w:val="0"/>
    <w:pPr>
      <w:keepNext/>
      <w:keepLines/>
      <w:spacing w:before="0" w:beforeLines="0" w:beforeAutospacing="0" w:after="0" w:afterLines="0" w:afterAutospacing="0" w:line="360" w:lineRule="auto"/>
      <w:outlineLvl w:val="2"/>
    </w:pPr>
    <w:rPr>
      <w:rFonts w:eastAsia="楷体_GB2312"/>
      <w:b/>
      <w:kern w:val="0"/>
      <w:sz w:val="32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uiPriority w:val="0"/>
    <w:pPr>
      <w:ind w:firstLine="588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9">
    <w:name w:val="标题 3 Char"/>
    <w:link w:val="3"/>
    <w:uiPriority w:val="0"/>
    <w:rPr>
      <w:rFonts w:eastAsia="楷体_GB2312"/>
      <w:b/>
      <w:kern w:val="0"/>
      <w:sz w:val="32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2018-07-10T07:22:00Z</dcterms:created>
  <dc:creator>Administrator</dc:creator>
  <cp:lastModifiedBy>Administrator</cp:lastModifiedBy>
  <dcterms:modified xsi:type="dcterms:W3CDTF">2018-07-31T02:37:06Z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