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附件3-2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  <w:bookmarkStart w:id="0" w:name="_GoBack"/>
      <w:bookmarkEnd w:id="0"/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君山区财政支出项目绩效评价自评报告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项目完成结果评价√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基本公共卫生服务经费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基层医疗卫生机构 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  君山区卫计局                   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报告日期：2018年7月19日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君山区财政局（制）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3"/>
        <w:tblW w:w="97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"/>
        <w:gridCol w:w="917"/>
        <w:gridCol w:w="91"/>
        <w:gridCol w:w="1245"/>
        <w:gridCol w:w="440"/>
        <w:gridCol w:w="556"/>
        <w:gridCol w:w="306"/>
        <w:gridCol w:w="243"/>
        <w:gridCol w:w="1104"/>
        <w:gridCol w:w="36"/>
        <w:gridCol w:w="590"/>
        <w:gridCol w:w="567"/>
        <w:gridCol w:w="1418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73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柳会祥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0730-8170007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555" w:type="dxa"/>
            <w:gridSpan w:val="6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基层医疗卫生机构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485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8387" w:type="dxa"/>
            <w:gridSpan w:val="13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2017年1月起至2017年12月止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1241.5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1241.5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1241.5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744.9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744.9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744.9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103.084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103.084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103.084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198.22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198.22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198.22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195.296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195.296</w:t>
            </w: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195.296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0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30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7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34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一季度公卫经费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276.75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2017年5月20号凭证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二季度公卫经费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276.75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2017年6月25号凭证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三季度公卫经费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276.75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2017年9月24号凭证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四季度公卫经费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217.1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2017年12月12号凭证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四季度公卫经费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187.25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2018年1月27号凭证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药具经费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6.9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省级代扣</w:t>
            </w: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6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1241.5</w:t>
            </w:r>
          </w:p>
        </w:tc>
        <w:tc>
          <w:tcPr>
            <w:tcW w:w="283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734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495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33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495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电子健康建档率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80%，0－6岁儿童管理率85%，孕产妇系统管理率95%，老年人健康管理率67%，慢病规范管理率60%，严重精神障碍患者规范管理率80%，中医药健康管理率45%。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1"/>
                <w:szCs w:val="21"/>
                <w:lang w:eastAsia="zh-CN"/>
              </w:rPr>
              <w:t>电子健康建档率</w:t>
            </w:r>
            <w:r>
              <w:rPr>
                <w:rFonts w:hint="eastAsia" w:eastAsia="仿宋_GB2312"/>
                <w:b/>
                <w:sz w:val="21"/>
                <w:szCs w:val="21"/>
                <w:lang w:val="en-US" w:eastAsia="zh-CN"/>
              </w:rPr>
              <w:t>90.27%，0－6岁儿童保健覆盖率88.12%，孕产妇系统管理率96.10%，老年人健康管理率69.32%，慢病规范管理率62.54%，严重精神障碍患者规范管理率96.97%，中医药健康管理率46.16%，结核病患者规范管理率100%。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33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24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健康档案管理率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90.27%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慢病</w:t>
            </w:r>
            <w:r>
              <w:rPr>
                <w:rFonts w:hint="eastAsia" w:eastAsia="仿宋_GB2312"/>
                <w:szCs w:val="21"/>
              </w:rPr>
              <w:t>患者</w:t>
            </w:r>
            <w:r>
              <w:rPr>
                <w:rFonts w:hint="eastAsia" w:eastAsia="仿宋_GB2312"/>
                <w:szCs w:val="21"/>
                <w:lang w:eastAsia="zh-CN"/>
              </w:rPr>
              <w:t>规范管理率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60%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62.54%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0－6岁</w:t>
            </w:r>
            <w:r>
              <w:rPr>
                <w:rFonts w:hint="eastAsia" w:eastAsia="仿宋_GB2312"/>
                <w:sz w:val="21"/>
                <w:szCs w:val="21"/>
                <w:lang w:eastAsia="zh-CN"/>
              </w:rPr>
              <w:t>儿童保健覆盖率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85%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88.12%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严重精神障碍患者规范管理率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80%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eastAsia="仿宋_GB2312"/>
                <w:sz w:val="21"/>
                <w:szCs w:val="21"/>
              </w:rPr>
              <w:t>突发公告卫生事件报告及时率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孕产妇系统管理率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中医药健康管理率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45%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46.16%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  <w:lang w:eastAsia="zh-CN"/>
              </w:rPr>
              <w:t>老年人健康管理率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67%</w:t>
            </w: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69.32%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好评率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335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80%</w:t>
            </w:r>
          </w:p>
        </w:tc>
        <w:tc>
          <w:tcPr>
            <w:tcW w:w="11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4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7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5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7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734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44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柳会祥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副局长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君山区卫计局</w:t>
            </w:r>
          </w:p>
        </w:tc>
        <w:tc>
          <w:tcPr>
            <w:tcW w:w="344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湛宇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股长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君山区卫计局</w:t>
            </w:r>
          </w:p>
        </w:tc>
        <w:tc>
          <w:tcPr>
            <w:tcW w:w="344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张四梅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基卫股专干</w:t>
            </w:r>
          </w:p>
        </w:tc>
        <w:tc>
          <w:tcPr>
            <w:tcW w:w="168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君山区卫计局</w:t>
            </w:r>
          </w:p>
        </w:tc>
        <w:tc>
          <w:tcPr>
            <w:tcW w:w="3449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734" w:type="dxa"/>
            <w:gridSpan w:val="15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jc w:val="center"/>
        </w:trPr>
        <w:tc>
          <w:tcPr>
            <w:tcW w:w="9734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exact"/>
          <w:jc w:val="center"/>
        </w:trPr>
        <w:tc>
          <w:tcPr>
            <w:tcW w:w="9734" w:type="dxa"/>
            <w:gridSpan w:val="15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734" w:type="dxa"/>
            <w:gridSpan w:val="15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tbl>
      <w:tblPr>
        <w:tblStyle w:val="3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附后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/>
    <w:p/>
    <w:p/>
    <w:p>
      <w:pPr>
        <w:spacing w:line="52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君山区201</w:t>
      </w:r>
      <w:r>
        <w:rPr>
          <w:rFonts w:hint="eastAsia"/>
          <w:b/>
          <w:bCs/>
          <w:sz w:val="44"/>
          <w:szCs w:val="44"/>
          <w:lang w:val="en-US" w:eastAsia="zh-CN"/>
        </w:rPr>
        <w:t>7</w:t>
      </w:r>
      <w:r>
        <w:rPr>
          <w:rFonts w:hint="eastAsia"/>
          <w:b/>
          <w:bCs/>
          <w:sz w:val="44"/>
          <w:szCs w:val="44"/>
        </w:rPr>
        <w:t>年基本公共卫生服务项目资金预算支出绩效评价报告</w:t>
      </w:r>
    </w:p>
    <w:p>
      <w:pPr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</w:t>
      </w:r>
    </w:p>
    <w:p>
      <w:pPr>
        <w:spacing w:line="52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一、基本情况：</w:t>
      </w:r>
    </w:p>
    <w:p>
      <w:pPr>
        <w:autoSpaceDN w:val="0"/>
        <w:spacing w:line="520" w:lineRule="exact"/>
        <w:ind w:firstLine="560" w:firstLineChars="200"/>
        <w:rPr>
          <w:rFonts w:ascii="仿宋_GB2312" w:hAnsi="仿宋_GB2312" w:eastAsia="仿宋_GB2312" w:cs="仿宋_GB2312"/>
          <w:b/>
          <w:bCs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君山区是1997年由原君山农场、钱粮湖农场、广兴洲镇及许市镇合并而成的市辖区。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2016年乡镇区划调整后，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区辖4镇、1办，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个行政村，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23个居委会，</w:t>
      </w:r>
      <w:r>
        <w:rPr>
          <w:rFonts w:hint="eastAsia" w:ascii="仿宋_GB2312" w:hAnsi="仿宋_GB2312" w:eastAsia="仿宋_GB2312" w:cs="仿宋_GB2312"/>
          <w:sz w:val="28"/>
          <w:szCs w:val="28"/>
        </w:rPr>
        <w:t>面积670.82平方公里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，常住人口24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00人。其中实施基本公共卫生服务的乡镇医疗卫生机构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家，村卫生室126家（其中行政村卫生室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家，非行政村卫生室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家）。基本公共卫生服务项目专业指导机构4家，分别为：区疾病预防控制中心、区妇幼保健计划生育技术服务中心、区卫生监督综合执法管理局及区中医院。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 xml:space="preserve"> 二、项目资金使用情况：</w:t>
      </w:r>
    </w:p>
    <w:p>
      <w:pPr>
        <w:widowControl/>
        <w:spacing w:line="520" w:lineRule="exact"/>
        <w:jc w:val="left"/>
        <w:textAlignment w:val="baseline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 xml:space="preserve">    201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年，我区共支出国家基本公共卫生服务项目经费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1241.5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万元（具体情况见附表）。</w:t>
      </w:r>
    </w:p>
    <w:p>
      <w:pPr>
        <w:widowControl/>
        <w:spacing w:line="520" w:lineRule="exact"/>
        <w:ind w:firstLine="560" w:firstLineChars="200"/>
        <w:jc w:val="left"/>
        <w:textAlignment w:val="baseline"/>
        <w:rPr>
          <w:rFonts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三、项目实施情况：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截止到201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/>
          <w:sz w:val="28"/>
          <w:szCs w:val="28"/>
        </w:rPr>
        <w:t>年底，全区共建立居民电子档案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222058</w:t>
      </w:r>
      <w:r>
        <w:rPr>
          <w:rFonts w:hint="eastAsia" w:ascii="仿宋_GB2312" w:hAnsi="仿宋_GB2312" w:eastAsia="仿宋_GB2312"/>
          <w:sz w:val="28"/>
          <w:szCs w:val="28"/>
        </w:rPr>
        <w:t>份，电子建档率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90.27</w:t>
      </w:r>
      <w:r>
        <w:rPr>
          <w:rFonts w:hint="eastAsia" w:ascii="仿宋_GB2312" w:hAnsi="仿宋_GB2312" w:eastAsia="仿宋_GB2312"/>
          <w:sz w:val="28"/>
          <w:szCs w:val="28"/>
        </w:rPr>
        <w:t>%；居民健康教育覆盖率达到了90%以上；</w:t>
      </w:r>
      <w:r>
        <w:rPr>
          <w:rFonts w:hint="eastAsia" w:ascii="仿宋_GB2312" w:hAnsi="仿宋_GB2312" w:eastAsia="仿宋_GB2312" w:cs="仿宋_GB2312"/>
          <w:sz w:val="28"/>
          <w:szCs w:val="28"/>
        </w:rPr>
        <w:t>儿童预防接种建证率达100%，儿童免疫规划疫苗接种率达95%；传染病报告及时率达100%,全年无突发公共卫生事件发生；孕产妇建卡率为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96.10%</w:t>
      </w:r>
      <w:r>
        <w:rPr>
          <w:rFonts w:hint="eastAsia" w:ascii="仿宋_GB2312" w:hAnsi="仿宋_GB2312" w:eastAsia="仿宋_GB2312" w:cs="仿宋_GB2312"/>
          <w:sz w:val="28"/>
          <w:szCs w:val="28"/>
        </w:rPr>
        <w:t>%，产检率100%，孕早期检测率95.99%，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产后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访视率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/>
        </w:rPr>
        <w:t>94.27%</w:t>
      </w:r>
      <w:r>
        <w:rPr>
          <w:rFonts w:hint="eastAsia" w:ascii="仿宋_GB2312" w:hAnsi="仿宋_GB2312" w:eastAsia="仿宋_GB2312" w:cs="仿宋_GB2312"/>
          <w:sz w:val="28"/>
          <w:szCs w:val="28"/>
        </w:rPr>
        <w:t>；7岁以下儿童保健覆盖率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0－6岁儿童保健覆盖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eastAsia="zh-CN"/>
        </w:rPr>
        <w:t>率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  <w:lang w:val="en-US" w:eastAsia="zh-CN"/>
        </w:rPr>
        <w:t>88.12%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/>
          <w:bCs/>
          <w:sz w:val="28"/>
          <w:szCs w:val="28"/>
          <w:lang w:val="en-US" w:eastAsia="zh-CN"/>
        </w:rPr>
        <w:t>新生儿访视率95.37%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老年人健康管理率为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69.32%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累计管理高血压患者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14201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人，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按规范要求管理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8979人，规范管理率63.23%，血压控制率为55.27%。累计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管理2型糖尿病患者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4952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人，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按规范要求管理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3063人，规范管理率61.85%</w:t>
      </w:r>
      <w:r>
        <w:rPr>
          <w:rFonts w:hint="eastAsia" w:ascii="仿宋_GB2312" w:hAnsi="仿宋_GB2312" w:eastAsia="仿宋_GB2312" w:cs="仿宋_GB2312"/>
          <w:sz w:val="28"/>
          <w:szCs w:val="28"/>
        </w:rPr>
        <w:t>；规范管理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严重精神障碍</w:t>
      </w:r>
      <w:r>
        <w:rPr>
          <w:rFonts w:hint="eastAsia" w:ascii="仿宋_GB2312" w:hAnsi="仿宋_GB2312" w:eastAsia="仿宋_GB2312" w:cs="仿宋_GB2312"/>
          <w:sz w:val="28"/>
          <w:szCs w:val="28"/>
        </w:rPr>
        <w:t>患者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1088人，规范管理率96.97%；</w:t>
      </w:r>
      <w:r>
        <w:rPr>
          <w:rFonts w:hint="eastAsia" w:ascii="仿宋_GB2312" w:hAnsi="仿宋_GB2312" w:eastAsia="仿宋_GB2312" w:cs="仿宋_GB2312"/>
          <w:sz w:val="28"/>
          <w:szCs w:val="28"/>
        </w:rPr>
        <w:t>卫生监督协管以县区为单位覆盖率达100%；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老年人中医药健康管理率为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45.93%，</w:t>
      </w:r>
      <w:r>
        <w:rPr>
          <w:rFonts w:hint="eastAsia" w:ascii="仿宋_GB2312" w:hAnsi="仿宋_GB2312" w:eastAsia="仿宋_GB2312" w:cs="仿宋_GB2312"/>
          <w:sz w:val="28"/>
          <w:szCs w:val="28"/>
        </w:rPr>
        <w:t>0－36个月儿童中医药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健康管理率为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46.38%</w:t>
      </w:r>
      <w:r>
        <w:rPr>
          <w:rFonts w:hint="eastAsia" w:ascii="仿宋_GB2312" w:hAnsi="仿宋_GB2312" w:eastAsia="仿宋_GB2312" w:cs="仿宋_GB2312"/>
          <w:sz w:val="28"/>
          <w:szCs w:val="28"/>
        </w:rPr>
        <w:t>；结核病患者管理率及肺结核患者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规范管理率</w:t>
      </w:r>
      <w:r>
        <w:rPr>
          <w:rFonts w:hint="eastAsia" w:ascii="仿宋_GB2312" w:hAnsi="仿宋_GB2312" w:eastAsia="仿宋_GB2312" w:cs="仿宋_GB2312"/>
          <w:sz w:val="28"/>
          <w:szCs w:val="28"/>
        </w:rPr>
        <w:t>为100%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规则服药率96.71%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widowControl/>
        <w:spacing w:line="520" w:lineRule="exact"/>
        <w:jc w:val="left"/>
        <w:textAlignment w:val="baseline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 xml:space="preserve"> 四、项目支出绩效情况：</w:t>
      </w:r>
    </w:p>
    <w:p>
      <w:pPr>
        <w:widowControl/>
        <w:spacing w:line="520" w:lineRule="exact"/>
        <w:jc w:val="left"/>
        <w:textAlignment w:val="baseline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通过项目的开展，有效提高了我区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居民的健康意识和对不良生活方式的改变，逐步树立起自我健康管理的理念;减少了主要健康危险因素，预防和控制传染病及慢性病的发生和流行;进一步提高了公共卫生服务和突发公共卫生服务应急处置能力，建立起了维护居民健康的第一道屏障，对于提高居民健康素质起到了重要的促进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/>
          <w:bCs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</w:rPr>
        <w:t>　</w:t>
      </w: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</w:rPr>
        <w:t>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一是基层服务力量不强。</w:t>
      </w:r>
      <w:r>
        <w:rPr>
          <w:rFonts w:hint="eastAsia" w:ascii="仿宋_GB2312" w:hAnsi="仿宋_GB2312" w:eastAsia="仿宋_GB2312"/>
          <w:color w:val="333333"/>
          <w:sz w:val="28"/>
          <w:szCs w:val="28"/>
          <w:lang w:val="en-US" w:eastAsia="zh-CN"/>
        </w:rPr>
        <w:t>基层医疗卫生单位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公共卫生力量薄弱，卫生专业技术人员奇缺，人员流动频繁，辖区内基本公共卫生服务项目开展不平衡。乡镇卫生院（社区卫生服务中心）没有专业精神科人才，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严重精神障碍患者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的管理存在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较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大困难。乡村医生从事基本公共卫生服务能力有限，不能按要求完成项目任务，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但上级规定必须按要求补足乡村医生公卫经费，乡村医生管理存在漏洞。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二是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</w:rPr>
        <w:t>工作任务繁重</w:t>
      </w: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目前已增加到十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大类</w:t>
      </w:r>
      <w:r>
        <w:rPr>
          <w:rFonts w:hint="eastAsia" w:ascii="仿宋_GB2312" w:hAnsi="仿宋_GB2312" w:eastAsia="仿宋_GB2312"/>
          <w:color w:val="333333"/>
          <w:sz w:val="28"/>
          <w:szCs w:val="28"/>
          <w:lang w:val="en-US" w:eastAsia="zh-CN"/>
        </w:rPr>
        <w:t>55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小项，而乡镇卫生院（社区卫生服务中心）本就缺乏专业技术人员，所以基层公共卫生人员多以兼职为主。尤其是乡村医生，集基本医疗与公共卫生服务于一身，加之居民不断提升的医疗需求和公共卫生服务需求，都给项目工作带来了沉重的压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三是管理服务难到位。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农村人口流动性大，外出人员较多，已建立的居民健康档案的个人基本信息不全，健康体检和随访服务难以落实到位。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0" w:firstLineChars="200"/>
        <w:textAlignment w:val="auto"/>
        <w:outlineLvl w:val="9"/>
        <w:rPr>
          <w:rFonts w:ascii="黑体" w:hAnsi="黑体" w:eastAsia="黑体" w:cs="黑体"/>
          <w:b w:val="0"/>
          <w:bCs w:val="0"/>
          <w:color w:val="333333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sz w:val="28"/>
          <w:szCs w:val="28"/>
        </w:rPr>
        <w:t>意见和建议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一是加强队伍建设。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放宽基层医疗卫生单位专业技术人才引进渠道，合理增加人员编制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对乡村医生实行收编管理，使基本公共卫生服务项目工作在村级落到实处。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二是完善机构机制。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建立县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区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级精神卫生指导机构，加强对精神病人的管理</w:t>
      </w:r>
      <w:r>
        <w:rPr>
          <w:rFonts w:hint="eastAsia" w:ascii="仿宋_GB2312" w:hAnsi="仿宋_GB2312" w:eastAsia="仿宋_GB2312"/>
          <w:color w:val="33333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实现省、市、县（区）间的信息平台共享机制，使流动人口的管理落到实处。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2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333333"/>
          <w:sz w:val="28"/>
          <w:szCs w:val="28"/>
          <w:lang w:val="en-US" w:eastAsia="zh-CN"/>
        </w:rPr>
        <w:t>三是强化工作保障。</w:t>
      </w:r>
      <w:r>
        <w:rPr>
          <w:rFonts w:hint="eastAsia" w:ascii="仿宋_GB2312" w:hAnsi="仿宋_GB2312" w:eastAsia="仿宋_GB2312"/>
          <w:color w:val="333333"/>
          <w:sz w:val="28"/>
          <w:szCs w:val="28"/>
        </w:rPr>
        <w:t>将基本公共卫生服务项目工作纳入政府绩效考核范畴，建立由政府主导、卫生计生部门组织协调、乡镇村全面参与的工作机制。</w:t>
      </w:r>
      <w:r>
        <w:rPr>
          <w:rFonts w:hint="eastAsia" w:ascii="仿宋_GB2312" w:hAnsi="仿宋_GB2312" w:eastAsia="仿宋_GB2312"/>
          <w:color w:val="333333"/>
          <w:sz w:val="28"/>
          <w:szCs w:val="28"/>
          <w:lang w:val="en-US" w:eastAsia="zh-CN"/>
        </w:rPr>
        <w:t>将基本公共卫生服务项目指导工作经费纳入财政预算范围，促进项目工作更好的开展。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right="0" w:rightChars="0" w:firstLine="560" w:firstLineChars="200"/>
        <w:textAlignment w:val="auto"/>
        <w:outlineLvl w:val="9"/>
        <w:rPr>
          <w:rFonts w:ascii="仿宋_GB2312" w:hAnsi="仿宋_GB2312" w:eastAsia="仿宋_GB2312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ascii="仿宋_GB2312" w:hAnsi="仿宋_GB2312" w:eastAsia="仿宋_GB2312" w:cs="仿宋_GB2312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20" w:lineRule="exact"/>
        <w:textAlignment w:val="auto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75C0E9D"/>
    <w:rsid w:val="003831B7"/>
    <w:rsid w:val="00637377"/>
    <w:rsid w:val="008E0D86"/>
    <w:rsid w:val="00903FAE"/>
    <w:rsid w:val="00B84192"/>
    <w:rsid w:val="00B97B8F"/>
    <w:rsid w:val="00CE4FED"/>
    <w:rsid w:val="00CF5C62"/>
    <w:rsid w:val="00D543D8"/>
    <w:rsid w:val="00E834E4"/>
    <w:rsid w:val="00E97366"/>
    <w:rsid w:val="199411E7"/>
    <w:rsid w:val="5176541B"/>
    <w:rsid w:val="5276694E"/>
    <w:rsid w:val="675C0E9D"/>
    <w:rsid w:val="6C4305A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277</Words>
  <Characters>1584</Characters>
  <Lines>13</Lines>
  <Paragraphs>3</Paragraphs>
  <TotalTime>4</TotalTime>
  <ScaleCrop>false</ScaleCrop>
  <LinksUpToDate>false</LinksUpToDate>
  <CharactersWithSpaces>1858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Administrator</cp:lastModifiedBy>
  <cp:lastPrinted>2018-07-26T01:42:56Z</cp:lastPrinted>
  <dcterms:modified xsi:type="dcterms:W3CDTF">2018-07-26T01:45:56Z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