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附件4-2</w:t>
      </w:r>
    </w:p>
    <w:p>
      <w:pPr>
        <w:spacing w:before="312" w:beforeLines="100" w:after="312" w:afterLines="100" w:line="3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项目支出绩效评价指标体系（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公用经费</w:t>
      </w:r>
      <w:r>
        <w:rPr>
          <w:rFonts w:hint="eastAsia" w:ascii="方正小标宋简体" w:eastAsia="方正小标宋简体"/>
          <w:sz w:val="44"/>
          <w:szCs w:val="44"/>
        </w:rPr>
        <w:t>）</w:t>
      </w:r>
    </w:p>
    <w:tbl>
      <w:tblPr>
        <w:tblStyle w:val="3"/>
        <w:tblW w:w="1000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528"/>
        <w:gridCol w:w="720"/>
        <w:gridCol w:w="491"/>
        <w:gridCol w:w="825"/>
        <w:gridCol w:w="560"/>
        <w:gridCol w:w="2480"/>
        <w:gridCol w:w="2860"/>
        <w:gridCol w:w="8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4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2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内容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①设有目标（1分）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②目标明确（1分）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③目标细化（1分）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④目标量化（1分）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4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依据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①符合法律法规（1分）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②符合经济社会发展规划（1分）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③部门年度工作计划（1分）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④针对某一实际问题和需求（1分）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程序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①符合申报条件（2分）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②项目申报、批复程序符合管理办法（1分）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③项目调整履行了相应手续（1分）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4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办法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①有相应的资金管理办法（1分）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②办法健全、规范（1分）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③因素全面合理（1分）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结果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①符合分配办法（2分）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②分配公平合理（3分）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2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4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实际到位/计划到位*100%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根据项目资金的实际到位率计算得分（3分）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①到位及时（2分）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t>②不及时但未影响项目进度 （1分）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③不及时并影响项目进度（0.5分）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4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使用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①虚列套取扣4-7分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②依据不合规扣2分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③截留、挤占、挪用扣3-6分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④超标准开支扣2-5分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⑤超预算扣2-5分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财务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①财务制度健全（1分）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②严格执行制度（1分）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③会计核算规范（1分）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2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4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①机构健全、分工明确  （1分）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支撑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条件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具备人员、场地、设备条件（1分）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实施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①按计划开工（1分）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②按计划开展（1分）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③按计划完工（1分）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制度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①管理制度健全（2分）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②制度执行严格（3分）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4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2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49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目标完成率=目标完成数/预定目标数×100%</w:t>
            </w: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完成绩效目标100%得5分，未完成100%的同比例扣减。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质量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目标完成质量=实际达到的效果/预定目标×100%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项目产出质量达到绩效目标100%得4分，未完成100%的同比例扣减。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项目产出时效达到绩效目标得3分，未如期完成且无充分理由的扣3分。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成本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项目产出成本按绩效目标控制得3分，未完成的，按超支比例扣减。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4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经济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指项目对国民经济和区域经济发展所带来的直接或间接效益等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完成绩效目标设定的经济效益得8分，未完成的，按完成情况酌情扣分。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社会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项目实施是否产生社会综合效益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完成绩效目标设定的社会效益得8分，未完成的，按完成情况酌情扣分。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环境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项目实施是否对环境产生积极或消极影响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完成绩效目标设定的积极的环境效益得8分，未完成的，按完成情况酌情扣分。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可持续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影响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项目实施对人、自然、资源是否带来可持续影响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完成绩效设定目标的得8分，未完成的，按完成情况酌情扣分。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对象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服务对象满意率=项目区被调查人数中表示满意的人数(户数)/ 被调查人数(户数)×100%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满意率达90%（含）以上的得8分，80%（含）-90%得6分，70%（含）-80%得4分，60%（含）-70%得2分，60%以下不得分。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  <w:lang w:val="en-US" w:eastAsia="zh-CN"/>
              </w:rPr>
              <w:t>98</w:t>
            </w:r>
          </w:p>
        </w:tc>
      </w:tr>
    </w:tbl>
    <w:p>
      <w:pPr>
        <w:adjustRightInd w:val="0"/>
        <w:snapToGrid w:val="0"/>
        <w:spacing w:before="156" w:beforeLines="50" w:line="240" w:lineRule="auto"/>
        <w:contextualSpacing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备注：部门（单位）根据项目实际，在《项目支出绩效评价指标体系（参考样表）》上进一步完</w:t>
      </w:r>
    </w:p>
    <w:p>
      <w:pPr>
        <w:adjustRightInd w:val="0"/>
        <w:snapToGrid w:val="0"/>
        <w:spacing w:before="156" w:beforeLines="50" w:line="240" w:lineRule="auto"/>
        <w:ind w:firstLine="630" w:firstLineChars="300"/>
        <w:contextualSpacing/>
        <w:jc w:val="both"/>
        <w:rPr>
          <w:rFonts w:hint="eastAsia" w:eastAsia="仿宋_GB2312"/>
          <w:sz w:val="32"/>
        </w:rPr>
      </w:pPr>
      <w:r>
        <w:rPr>
          <w:rFonts w:hint="eastAsia" w:ascii="仿宋_GB2312" w:eastAsia="仿宋_GB2312"/>
        </w:rPr>
        <w:t>善、量化、细化个性指标，形成本项目的指标体系。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FA6C72"/>
    <w:rsid w:val="2CC515D0"/>
    <w:rsid w:val="44FA6C72"/>
    <w:rsid w:val="5127435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2018-05-23T03:40:00Z</dcterms:created>
  <dc:creator>Administrator</dc:creator>
  <cp:lastModifiedBy>Administrator</cp:lastModifiedBy>
  <cp:lastPrinted>2018-08-06T09:53:00Z</cp:lastPrinted>
  <dcterms:modified xsi:type="dcterms:W3CDTF">2018-08-08T08:18:50Z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