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hint="eastAsia" w:ascii="黑体" w:hAnsi="黑体" w:eastAsia="黑体"/>
          <w:sz w:val="32"/>
          <w:szCs w:val="32"/>
        </w:rPr>
      </w:pPr>
    </w:p>
    <w:p>
      <w:pPr>
        <w:spacing w:before="312" w:beforeLines="100" w:after="312" w:afterLines="100"/>
        <w:jc w:val="center"/>
        <w:rPr>
          <w:rFonts w:hint="eastAsia" w:ascii="方正小标宋简体" w:eastAsia="方正小标宋简体"/>
          <w:sz w:val="36"/>
          <w:szCs w:val="36"/>
        </w:rPr>
      </w:pPr>
      <w:bookmarkStart w:id="0" w:name="_GoBack"/>
      <w:bookmarkEnd w:id="0"/>
      <w:r>
        <w:rPr>
          <w:rFonts w:hint="eastAsia" w:ascii="方正小标宋简体" w:eastAsia="方正小标宋简体"/>
          <w:sz w:val="36"/>
          <w:szCs w:val="36"/>
          <w:lang w:eastAsia="zh-CN"/>
        </w:rPr>
        <w:t>区征收禁违管理局</w:t>
      </w:r>
      <w:r>
        <w:rPr>
          <w:rFonts w:hint="eastAsia" w:ascii="方正小标宋简体" w:eastAsia="方正小标宋简体"/>
          <w:sz w:val="36"/>
          <w:szCs w:val="36"/>
        </w:rPr>
        <w:t>部门整体支出绩效评价评分表</w:t>
      </w:r>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Layout w:type="fixed"/>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5</w:t>
            </w:r>
          </w:p>
        </w:tc>
        <w:tc>
          <w:tcPr>
            <w:tcW w:w="1080"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6</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color w:val="000000"/>
                <w:kern w:val="0"/>
                <w:sz w:val="18"/>
                <w:szCs w:val="18"/>
                <w:lang w:val="en-US" w:eastAsia="zh-CN"/>
              </w:rPr>
            </w:pPr>
            <w:r>
              <w:rPr>
                <w:rFonts w:hint="eastAsia" w:ascii="仿宋_GB2312" w:hAnsi="宋体" w:eastAsia="仿宋_GB2312" w:cs="宋体"/>
                <w:color w:val="000000"/>
                <w:kern w:val="0"/>
                <w:sz w:val="18"/>
                <w:szCs w:val="18"/>
                <w:lang w:val="en-US" w:eastAsia="zh-CN"/>
              </w:rPr>
              <w:t>3</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color w:val="000000"/>
                <w:kern w:val="0"/>
                <w:sz w:val="18"/>
                <w:szCs w:val="18"/>
              </w:rPr>
            </w:pPr>
          </w:p>
        </w:tc>
      </w:tr>
      <w:tr>
        <w:tblPrEx>
          <w:tblLayout w:type="fixed"/>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bl>
    <w:p/>
    <w:tbl>
      <w:tblPr>
        <w:tblStyle w:val="3"/>
        <w:tblW w:w="9894" w:type="dxa"/>
        <w:jc w:val="center"/>
        <w:tblInd w:w="480" w:type="dxa"/>
        <w:tblLayout w:type="fixed"/>
        <w:tblCellMar>
          <w:top w:w="0" w:type="dxa"/>
          <w:left w:w="108" w:type="dxa"/>
          <w:bottom w:w="0" w:type="dxa"/>
          <w:right w:w="108" w:type="dxa"/>
        </w:tblCellMar>
      </w:tblPr>
      <w:tblGrid>
        <w:gridCol w:w="976"/>
        <w:gridCol w:w="939"/>
        <w:gridCol w:w="1389"/>
        <w:gridCol w:w="4171"/>
        <w:gridCol w:w="619"/>
        <w:gridCol w:w="720"/>
        <w:gridCol w:w="1080"/>
      </w:tblGrid>
      <w:tr>
        <w:tblPrEx>
          <w:tblLayout w:type="fixed"/>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Layout w:type="fixed"/>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single" w:color="auto" w:sz="4" w:space="0"/>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加快推进湖南发展新增长极建设2015年度综合绩效考评工作的通知》（岳发〔2015〕11号）和《中共岳阳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委 岳阳</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人民政府 关于做好2015年度综合绩效考评工作的补充通知》（岳发〔2015〕19号）附件2第一大项“工作实绩指标”（700分）考核内容设置。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7</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5</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w:t>
            </w:r>
            <w:r>
              <w:rPr>
                <w:rFonts w:hint="eastAsia" w:ascii="仿宋_GB2312" w:hAnsi="宋体" w:eastAsia="仿宋_GB2312" w:cs="宋体"/>
                <w:kern w:val="0"/>
                <w:sz w:val="18"/>
                <w:szCs w:val="18"/>
                <w:lang w:eastAsia="zh-CN"/>
              </w:rPr>
              <w:t>区</w:t>
            </w:r>
            <w:r>
              <w:rPr>
                <w:rFonts w:hint="eastAsia" w:ascii="仿宋_GB2312" w:hAnsi="宋体" w:eastAsia="仿宋_GB2312" w:cs="宋体"/>
                <w:kern w:val="0"/>
                <w:sz w:val="18"/>
                <w:szCs w:val="18"/>
              </w:rPr>
              <w:t>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2</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3</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征收、禁违是个连续性的工作。</w:t>
            </w:r>
          </w:p>
        </w:tc>
      </w:tr>
      <w:tr>
        <w:tblPrEx>
          <w:tblLayout w:type="fixed"/>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8</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6</w:t>
            </w: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ascii="仿宋_GB2312" w:hAnsi="宋体" w:eastAsia="仿宋_GB2312" w:cs="宋体"/>
                <w:kern w:val="0"/>
                <w:sz w:val="18"/>
                <w:szCs w:val="18"/>
              </w:rPr>
            </w:pPr>
          </w:p>
        </w:tc>
      </w:tr>
      <w:tr>
        <w:tblPrEx>
          <w:tblLayout w:type="fixed"/>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val="en-US" w:eastAsia="zh-CN"/>
              </w:rPr>
            </w:pPr>
          </w:p>
        </w:tc>
        <w:tc>
          <w:tcPr>
            <w:tcW w:w="1080" w:type="dxa"/>
            <w:tcBorders>
              <w:top w:val="nil"/>
              <w:left w:val="nil"/>
              <w:bottom w:val="single" w:color="auto" w:sz="4" w:space="0"/>
              <w:right w:val="single" w:color="auto" w:sz="4" w:space="0"/>
            </w:tcBorders>
            <w:shd w:val="clear" w:color="auto" w:fill="FFFFFF"/>
            <w:vAlign w:val="center"/>
          </w:tcPr>
          <w:p>
            <w:pPr>
              <w:widowControl/>
              <w:spacing w:line="240" w:lineRule="exact"/>
              <w:jc w:val="center"/>
              <w:rPr>
                <w:rFonts w:hint="eastAsia" w:ascii="仿宋_GB2312" w:hAnsi="宋体" w:eastAsia="仿宋_GB2312" w:cs="宋体"/>
                <w:kern w:val="0"/>
                <w:sz w:val="18"/>
                <w:szCs w:val="18"/>
                <w:lang w:eastAsia="zh-CN"/>
              </w:rPr>
            </w:pPr>
            <w:r>
              <w:rPr>
                <w:rFonts w:hint="eastAsia" w:ascii="仿宋_GB2312" w:hAnsi="宋体" w:eastAsia="仿宋_GB2312" w:cs="宋体"/>
                <w:kern w:val="0"/>
                <w:sz w:val="18"/>
                <w:szCs w:val="18"/>
                <w:lang w:eastAsia="zh-CN"/>
              </w:rPr>
              <w:t>加强生态效益，注重环保。</w:t>
            </w:r>
          </w:p>
        </w:tc>
      </w:tr>
      <w:tr>
        <w:tblPrEx>
          <w:tblLayout w:type="fixed"/>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val="en-US" w:eastAsia="zh-CN"/>
              </w:rPr>
              <w:t>4</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kern w:val="0"/>
                <w:sz w:val="18"/>
                <w:szCs w:val="18"/>
                <w:lang w:val="en-US" w:eastAsia="zh-CN"/>
              </w:rPr>
            </w:pPr>
            <w:r>
              <w:rPr>
                <w:rFonts w:hint="eastAsia" w:ascii="仿宋_GB2312" w:hAnsi="宋体" w:eastAsia="仿宋_GB2312" w:cs="宋体"/>
                <w:kern w:val="0"/>
                <w:sz w:val="18"/>
                <w:szCs w:val="18"/>
                <w:lang w:eastAsia="zh-CN"/>
              </w:rPr>
              <w:t>征收、禁违工作面对的农户，不可能做到</w:t>
            </w:r>
            <w:r>
              <w:rPr>
                <w:rFonts w:hint="eastAsia" w:ascii="仿宋_GB2312" w:hAnsi="宋体" w:eastAsia="仿宋_GB2312" w:cs="宋体"/>
                <w:kern w:val="0"/>
                <w:sz w:val="18"/>
                <w:szCs w:val="18"/>
                <w:lang w:val="en-US" w:eastAsia="zh-CN"/>
              </w:rPr>
              <w:t>100%满意。</w:t>
            </w:r>
          </w:p>
        </w:tc>
      </w:tr>
      <w:tr>
        <w:tblPrEx>
          <w:tblLayout w:type="fixed"/>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vAlign w:val="center"/>
          </w:tcPr>
          <w:p>
            <w:pPr>
              <w:widowControl/>
              <w:spacing w:line="240" w:lineRule="exact"/>
              <w:jc w:val="center"/>
              <w:rPr>
                <w:rFonts w:hint="eastAsia" w:ascii="仿宋_GB2312" w:hAnsi="宋体" w:eastAsia="仿宋_GB2312" w:cs="宋体"/>
                <w:b/>
                <w:bCs/>
                <w:kern w:val="0"/>
                <w:sz w:val="18"/>
                <w:szCs w:val="18"/>
                <w:lang w:val="en-US" w:eastAsia="zh-CN"/>
              </w:rPr>
            </w:pPr>
            <w:r>
              <w:rPr>
                <w:rFonts w:hint="eastAsia" w:ascii="仿宋_GB2312" w:hAnsi="宋体" w:eastAsia="仿宋_GB2312" w:cs="宋体"/>
                <w:b/>
                <w:bCs/>
                <w:kern w:val="0"/>
                <w:sz w:val="18"/>
                <w:szCs w:val="18"/>
                <w:lang w:val="en-US" w:eastAsia="zh-CN"/>
              </w:rPr>
              <w:t>97</w:t>
            </w:r>
          </w:p>
        </w:tc>
        <w:tc>
          <w:tcPr>
            <w:tcW w:w="1080" w:type="dxa"/>
            <w:tcBorders>
              <w:top w:val="nil"/>
              <w:left w:val="nil"/>
              <w:bottom w:val="single" w:color="auto" w:sz="4" w:space="0"/>
              <w:right w:val="single" w:color="auto" w:sz="4" w:space="0"/>
            </w:tcBorders>
            <w:vAlign w:val="center"/>
          </w:tcPr>
          <w:p>
            <w:pPr>
              <w:widowControl/>
              <w:spacing w:line="240" w:lineRule="exact"/>
              <w:jc w:val="center"/>
              <w:rPr>
                <w:rFonts w:ascii="仿宋_GB2312" w:hAnsi="宋体" w:eastAsia="仿宋_GB2312" w:cs="宋体"/>
                <w:b/>
                <w:bCs/>
                <w:kern w:val="0"/>
                <w:sz w:val="18"/>
                <w:szCs w:val="18"/>
              </w:rPr>
            </w:pPr>
          </w:p>
        </w:tc>
      </w:tr>
    </w:tbl>
    <w:p>
      <w:pPr>
        <w:spacing w:before="156" w:beforeLines="50"/>
        <w:rPr>
          <w:rFonts w:hint="eastAsia" w:ascii="仿宋_GB2312" w:hAnsi="宋体" w:eastAsia="仿宋_GB2312" w:cs="宋体"/>
          <w:kern w:val="0"/>
          <w:szCs w:val="21"/>
        </w:rPr>
      </w:pPr>
      <w:r>
        <w:rPr>
          <w:rFonts w:hint="eastAsia" w:ascii="仿宋_GB2312" w:hAnsi="宋体" w:eastAsia="仿宋_GB2312" w:cs="宋体"/>
          <w:kern w:val="0"/>
          <w:szCs w:val="21"/>
        </w:rPr>
        <w:t>备注：如部门（单位）根据本部门实际情况修改调整了附件3《部门整体支出绩效评价指标体系（参考样表）》，须相应修改调整本表中的对应部分。</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小标宋简体">
    <w:altName w:val="微软雅黑"/>
    <w:panose1 w:val="03000509000000000000"/>
    <w:charset w:val="86"/>
    <w:family w:val="script"/>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attachedTemplate r:id="rId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2330919"/>
    <w:rsid w:val="0CB26888"/>
    <w:rsid w:val="1D601D7C"/>
    <w:rsid w:val="28625A12"/>
    <w:rsid w:val="52330919"/>
    <w:rsid w:val="6B2453C6"/>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2">
    <w:name w:val="Default Paragraph Font"/>
    <w:semiHidden/>
    <w:uiPriority w:val="0"/>
  </w:style>
  <w:style w:type="table" w:default="1" w:styleId="3">
    <w:name w:val="Normal Table"/>
    <w:semiHidden/>
    <w:qFormat/>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istrator\AppData\Roaming\Kingsoft\wps\addons\pool\win-i386\knewfileres_1.0.0.3\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24</TotalTime>
  <ScaleCrop>false</ScaleCrop>
  <LinksUpToDate>false</LinksUpToDate>
  <CharactersWithSpaces>0</CharactersWithSpaces>
  <Application>WPS Office_10.1.0.7401_F1E327BC-269C-435d-A152-05C5408002CA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2018-05-23T03:38:00Z</dcterms:created>
  <dc:creator>Administrator</dc:creator>
  <cp:lastModifiedBy>Administrator</cp:lastModifiedBy>
  <cp:lastPrinted>2018-07-12T03:46:22Z</cp:lastPrinted>
  <dcterms:modified xsi:type="dcterms:W3CDTF">2018-07-12T03:47:48Z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2052-10.1.0.7401</vt:lpwstr>
  </property>
</Properties>
</file>