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48" w:lineRule="auto"/>
        <w:rPr>
          <w:rFonts w:hint="eastAsia" w:ascii="黑体" w:hAnsi="黑体" w:eastAsia="黑体" w:cs="黑体"/>
          <w:bCs/>
          <w:sz w:val="32"/>
          <w:szCs w:val="32"/>
        </w:rPr>
      </w:pPr>
      <w:r>
        <w:rPr>
          <w:rFonts w:hint="eastAsia" w:ascii="黑体" w:hAnsi="黑体" w:eastAsia="黑体" w:cs="黑体"/>
          <w:bCs/>
          <w:sz w:val="32"/>
          <w:szCs w:val="32"/>
        </w:rPr>
        <w:t>附件3-1</w:t>
      </w:r>
    </w:p>
    <w:p>
      <w:pPr>
        <w:spacing w:line="348" w:lineRule="auto"/>
        <w:jc w:val="center"/>
        <w:rPr>
          <w:rFonts w:hint="eastAsia" w:eastAsia="方正小标宋简体"/>
          <w:bCs/>
          <w:sz w:val="42"/>
          <w:szCs w:val="42"/>
        </w:rPr>
      </w:pPr>
    </w:p>
    <w:p>
      <w:pPr>
        <w:spacing w:line="800" w:lineRule="exact"/>
        <w:jc w:val="center"/>
        <w:rPr>
          <w:rFonts w:hint="eastAsia" w:eastAsia="方正小标宋简体"/>
          <w:bCs/>
          <w:sz w:val="46"/>
          <w:szCs w:val="46"/>
        </w:rPr>
      </w:pPr>
      <w:r>
        <w:rPr>
          <w:rFonts w:hint="eastAsia" w:eastAsia="方正小标宋简体"/>
          <w:bCs/>
          <w:sz w:val="46"/>
          <w:szCs w:val="46"/>
        </w:rPr>
        <w:t>岳阳</w:t>
      </w:r>
      <w:r>
        <w:rPr>
          <w:rFonts w:hint="eastAsia" w:eastAsia="方正小标宋简体"/>
          <w:bCs/>
          <w:sz w:val="46"/>
          <w:szCs w:val="46"/>
          <w:lang w:eastAsia="zh-CN"/>
        </w:rPr>
        <w:t>区</w:t>
      </w:r>
      <w:r>
        <w:rPr>
          <w:rFonts w:hint="eastAsia" w:eastAsia="方正小标宋简体"/>
          <w:bCs/>
          <w:sz w:val="46"/>
          <w:szCs w:val="46"/>
        </w:rPr>
        <w:t>20</w:t>
      </w:r>
      <w:r>
        <w:rPr>
          <w:rFonts w:hint="eastAsia" w:eastAsia="方正小标宋简体"/>
          <w:bCs/>
          <w:sz w:val="46"/>
          <w:szCs w:val="46"/>
          <w:u w:val="single"/>
          <w:lang w:val="en-US" w:eastAsia="zh-CN"/>
        </w:rPr>
        <w:t>17</w:t>
      </w:r>
      <w:r>
        <w:rPr>
          <w:rFonts w:hint="eastAsia" w:eastAsia="方正小标宋简体"/>
          <w:bCs/>
          <w:sz w:val="46"/>
          <w:szCs w:val="46"/>
        </w:rPr>
        <w:t>年度部门（单位）整体支出</w:t>
      </w:r>
    </w:p>
    <w:p>
      <w:pPr>
        <w:spacing w:line="800" w:lineRule="exact"/>
        <w:jc w:val="center"/>
        <w:rPr>
          <w:rFonts w:hint="eastAsia" w:eastAsia="方正小标宋简体"/>
          <w:bCs/>
          <w:sz w:val="46"/>
          <w:szCs w:val="46"/>
        </w:rPr>
      </w:pPr>
      <w:r>
        <w:rPr>
          <w:rFonts w:hint="eastAsia" w:eastAsia="方正小标宋简体"/>
          <w:bCs/>
          <w:sz w:val="46"/>
          <w:szCs w:val="46"/>
        </w:rPr>
        <w:t>绩效评价自评报告</w:t>
      </w:r>
    </w:p>
    <w:p>
      <w:pPr>
        <w:rPr>
          <w:rFonts w:hint="eastAsia" w:eastAsia="仿宋_GB2312"/>
          <w:b/>
          <w:sz w:val="32"/>
        </w:rPr>
      </w:pPr>
    </w:p>
    <w:p>
      <w:pPr>
        <w:rPr>
          <w:rFonts w:hint="eastAsia" w:eastAsia="仿宋_GB2312"/>
          <w:b/>
          <w:sz w:val="32"/>
        </w:rPr>
      </w:pPr>
    </w:p>
    <w:p>
      <w:pPr>
        <w:rPr>
          <w:rFonts w:hint="eastAsia" w:eastAsia="仿宋_GB2312"/>
          <w:b/>
          <w:sz w:val="32"/>
        </w:rPr>
      </w:pPr>
    </w:p>
    <w:p>
      <w:pPr>
        <w:spacing w:before="301" w:beforeLines="50" w:line="348" w:lineRule="auto"/>
        <w:ind w:firstLine="476" w:firstLineChars="150"/>
        <w:rPr>
          <w:rFonts w:hint="eastAsia" w:eastAsia="仿宋_GB2312"/>
          <w:sz w:val="32"/>
          <w:szCs w:val="32"/>
          <w:u w:val="single"/>
        </w:rPr>
      </w:pPr>
      <w:r>
        <w:rPr>
          <w:rFonts w:hint="eastAsia" w:eastAsia="仿宋_GB2312"/>
          <w:sz w:val="32"/>
          <w:szCs w:val="32"/>
        </w:rPr>
        <w:t>部门(单位)名称：</w:t>
      </w:r>
      <w:r>
        <w:rPr>
          <w:rFonts w:hint="eastAsia" w:eastAsia="仿宋_GB2312"/>
          <w:sz w:val="32"/>
          <w:szCs w:val="32"/>
          <w:u w:val="single"/>
        </w:rPr>
        <w:t xml:space="preserve">   </w:t>
      </w:r>
      <w:r>
        <w:rPr>
          <w:rFonts w:hint="eastAsia" w:eastAsia="仿宋_GB2312"/>
          <w:sz w:val="32"/>
          <w:szCs w:val="32"/>
          <w:u w:val="single"/>
          <w:lang w:eastAsia="zh-CN"/>
        </w:rPr>
        <w:t>岳阳市君山区移民开发局</w:t>
      </w:r>
      <w:r>
        <w:rPr>
          <w:rFonts w:hint="eastAsia" w:eastAsia="仿宋_GB2312"/>
          <w:sz w:val="32"/>
          <w:szCs w:val="32"/>
          <w:u w:val="single"/>
        </w:rPr>
        <w:t xml:space="preserve">              </w:t>
      </w:r>
    </w:p>
    <w:p>
      <w:pPr>
        <w:spacing w:before="301" w:beforeLines="50" w:line="348" w:lineRule="auto"/>
        <w:ind w:firstLine="476" w:firstLineChars="150"/>
        <w:rPr>
          <w:rFonts w:hint="eastAsia" w:eastAsia="仿宋_GB2312"/>
          <w:spacing w:val="20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预</w:t>
      </w:r>
      <w:r>
        <w:rPr>
          <w:rFonts w:hint="eastAsia" w:eastAsia="仿宋_GB2312"/>
          <w:spacing w:val="30"/>
          <w:sz w:val="32"/>
          <w:szCs w:val="32"/>
        </w:rPr>
        <w:t xml:space="preserve"> 算 编 码：</w:t>
      </w:r>
      <w:r>
        <w:rPr>
          <w:rFonts w:hint="eastAsia" w:eastAsia="仿宋_GB2312"/>
          <w:spacing w:val="20"/>
          <w:sz w:val="32"/>
          <w:szCs w:val="32"/>
          <w:u w:val="single"/>
        </w:rPr>
        <w:t xml:space="preserve">     </w:t>
      </w:r>
      <w:r>
        <w:rPr>
          <w:rFonts w:hint="eastAsia" w:eastAsia="仿宋_GB2312"/>
          <w:spacing w:val="20"/>
          <w:sz w:val="32"/>
          <w:szCs w:val="32"/>
          <w:u w:val="single"/>
          <w:lang w:val="en-US" w:eastAsia="zh-CN"/>
        </w:rPr>
        <w:t>113</w:t>
      </w:r>
      <w:r>
        <w:rPr>
          <w:rFonts w:hint="eastAsia" w:eastAsia="仿宋_GB2312"/>
          <w:spacing w:val="20"/>
          <w:sz w:val="32"/>
          <w:szCs w:val="32"/>
          <w:u w:val="single"/>
        </w:rPr>
        <w:t xml:space="preserve">                       </w:t>
      </w:r>
    </w:p>
    <w:p>
      <w:pPr>
        <w:spacing w:before="301" w:beforeLines="50" w:line="348" w:lineRule="auto"/>
        <w:ind w:firstLine="476" w:firstLineChars="15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评价方式：部门（单位）绩效自评</w:t>
      </w:r>
    </w:p>
    <w:p>
      <w:pPr>
        <w:spacing w:before="301" w:beforeLines="50" w:line="348" w:lineRule="auto"/>
        <w:ind w:firstLine="476" w:firstLineChars="15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 xml:space="preserve">评价机构：部门（单位）评价组   </w:t>
      </w:r>
    </w:p>
    <w:p>
      <w:pPr>
        <w:spacing w:line="348" w:lineRule="auto"/>
        <w:ind w:firstLine="2188" w:firstLineChars="690"/>
        <w:rPr>
          <w:rFonts w:hint="eastAsia" w:eastAsia="仿宋_GB2312"/>
          <w:sz w:val="32"/>
        </w:rPr>
      </w:pPr>
    </w:p>
    <w:p>
      <w:pPr>
        <w:spacing w:line="348" w:lineRule="auto"/>
        <w:ind w:firstLine="2188" w:firstLineChars="690"/>
        <w:rPr>
          <w:rFonts w:hint="eastAsia" w:eastAsia="仿宋_GB2312"/>
          <w:sz w:val="32"/>
        </w:rPr>
      </w:pPr>
    </w:p>
    <w:p>
      <w:pPr>
        <w:spacing w:line="348" w:lineRule="auto"/>
        <w:jc w:val="center"/>
        <w:rPr>
          <w:rFonts w:hint="eastAsia" w:eastAsia="仿宋_GB2312"/>
          <w:sz w:val="32"/>
        </w:rPr>
      </w:pPr>
      <w:r>
        <w:rPr>
          <w:rFonts w:hint="eastAsia" w:eastAsia="仿宋_GB2312"/>
          <w:sz w:val="32"/>
        </w:rPr>
        <w:t>报告日期：</w:t>
      </w:r>
      <w:r>
        <w:rPr>
          <w:rFonts w:hint="eastAsia" w:eastAsia="仿宋_GB2312"/>
          <w:sz w:val="32"/>
          <w:lang w:val="en-US" w:eastAsia="zh-CN"/>
        </w:rPr>
        <w:t>2018</w:t>
      </w:r>
      <w:r>
        <w:rPr>
          <w:rFonts w:hint="eastAsia" w:eastAsia="仿宋_GB2312"/>
          <w:sz w:val="32"/>
        </w:rPr>
        <w:t>年</w:t>
      </w:r>
      <w:r>
        <w:rPr>
          <w:rFonts w:hint="eastAsia" w:eastAsia="仿宋_GB2312"/>
          <w:sz w:val="32"/>
          <w:lang w:val="en-US" w:eastAsia="zh-CN"/>
        </w:rPr>
        <w:t>8</w:t>
      </w:r>
      <w:r>
        <w:rPr>
          <w:rFonts w:hint="eastAsia" w:eastAsia="仿宋_GB2312"/>
          <w:sz w:val="32"/>
        </w:rPr>
        <w:t>月</w:t>
      </w:r>
      <w:r>
        <w:rPr>
          <w:rFonts w:hint="eastAsia" w:eastAsia="仿宋_GB2312"/>
          <w:sz w:val="32"/>
          <w:lang w:val="en-US" w:eastAsia="zh-CN"/>
        </w:rPr>
        <w:t>1</w:t>
      </w:r>
      <w:r>
        <w:rPr>
          <w:rFonts w:hint="eastAsia" w:eastAsia="仿宋_GB2312"/>
          <w:sz w:val="32"/>
        </w:rPr>
        <w:t>日</w:t>
      </w:r>
    </w:p>
    <w:p>
      <w:pPr>
        <w:autoSpaceDN w:val="0"/>
        <w:jc w:val="center"/>
        <w:textAlignment w:val="center"/>
        <w:rPr>
          <w:rFonts w:hint="eastAsia" w:eastAsia="仿宋_GB2312"/>
          <w:sz w:val="32"/>
          <w:szCs w:val="32"/>
        </w:rPr>
        <w:sectPr>
          <w:footerReference r:id="rId3" w:type="default"/>
          <w:footerReference r:id="rId4" w:type="even"/>
          <w:pgSz w:w="11906" w:h="16838"/>
          <w:pgMar w:top="1588" w:right="1588" w:bottom="1588" w:left="1588" w:header="851" w:footer="992" w:gutter="0"/>
          <w:pgNumType w:start="1"/>
          <w:cols w:space="720" w:num="1"/>
          <w:docGrid w:type="linesAndChars" w:linePitch="602" w:charSpace="-782"/>
        </w:sectPr>
      </w:pPr>
      <w:r>
        <w:rPr>
          <w:rFonts w:hint="eastAsia" w:eastAsia="仿宋_GB2312"/>
          <w:sz w:val="32"/>
        </w:rPr>
        <w:t>岳阳</w:t>
      </w:r>
      <w:r>
        <w:rPr>
          <w:rFonts w:hint="eastAsia" w:eastAsia="仿宋_GB2312"/>
          <w:sz w:val="32"/>
          <w:lang w:eastAsia="zh-CN"/>
        </w:rPr>
        <w:t>区</w:t>
      </w:r>
      <w:r>
        <w:rPr>
          <w:rFonts w:hint="eastAsia" w:eastAsia="仿宋_GB2312"/>
          <w:sz w:val="32"/>
        </w:rPr>
        <w:t>财政</w:t>
      </w:r>
      <w:r>
        <w:rPr>
          <w:rFonts w:hint="eastAsia" w:eastAsia="仿宋_GB2312"/>
          <w:sz w:val="32"/>
          <w:szCs w:val="32"/>
        </w:rPr>
        <w:t>局（制）</w:t>
      </w:r>
    </w:p>
    <w:tbl>
      <w:tblPr>
        <w:tblStyle w:val="5"/>
        <w:tblW w:w="9800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5" w:type="dxa"/>
          <w:bottom w:w="0" w:type="dxa"/>
          <w:right w:w="15" w:type="dxa"/>
        </w:tblCellMar>
      </w:tblPr>
      <w:tblGrid>
        <w:gridCol w:w="1441"/>
        <w:gridCol w:w="213"/>
        <w:gridCol w:w="46"/>
        <w:gridCol w:w="1080"/>
        <w:gridCol w:w="210"/>
        <w:gridCol w:w="1145"/>
        <w:gridCol w:w="272"/>
        <w:gridCol w:w="808"/>
        <w:gridCol w:w="1479"/>
        <w:gridCol w:w="226"/>
        <w:gridCol w:w="196"/>
        <w:gridCol w:w="259"/>
        <w:gridCol w:w="1080"/>
        <w:gridCol w:w="265"/>
        <w:gridCol w:w="139"/>
        <w:gridCol w:w="316"/>
        <w:gridCol w:w="62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一、部门（单位）基本概况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联系人</w:t>
            </w: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袁许丹</w:t>
            </w: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联络电话</w:t>
            </w: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8170122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人员编制</w:t>
            </w: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6</w:t>
            </w: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实有人数</w:t>
            </w: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500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职能职责概述</w:t>
            </w:r>
          </w:p>
        </w:tc>
        <w:tc>
          <w:tcPr>
            <w:tcW w:w="8146" w:type="dxa"/>
            <w:gridSpan w:val="1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480" w:lineRule="exact"/>
              <w:ind w:left="720" w:leftChars="0" w:right="0" w:rightChars="0" w:hanging="72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>贯彻实施党和国家的移民工作方针、政策和法律法规，研究制订本区移民工作的规划和办法。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480" w:lineRule="exact"/>
              <w:ind w:left="720" w:leftChars="0" w:right="0" w:rightChars="0" w:hanging="72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>负责编制本区移民生产开发的中、长期规划，组织实施上级主管部门下达的年度生产扶持规划。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480" w:lineRule="exact"/>
              <w:ind w:left="720" w:leftChars="0" w:right="0" w:rightChars="0" w:hanging="72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>负责编制本区移民基础设施建设中、长期规划，并分年度实施好上级移民主管部门下达的基础设施建设计划。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480" w:lineRule="exact"/>
              <w:ind w:left="720" w:leftChars="0" w:right="0" w:rightChars="0" w:hanging="72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>编制好区全智力移民工程培训，认真组织开展智力移民工程，对移民进行技能培训，实用技术培训和法制培训，并搞好移民镇（办事处）骨干和移民政策法律、法规的培训以及移民机构工作人员的政治、业务培训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480" w:lineRule="exact"/>
              <w:ind w:left="720" w:leftChars="0" w:right="0" w:rightChars="0" w:hanging="72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>负责本区移民资金的会计核算，严格要求直接管好全区移民资金，及时向移民主管部门和财政部门报送好财务统计等有关报表。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480" w:lineRule="exact"/>
              <w:ind w:left="720" w:leftChars="0" w:right="0" w:rightChars="0" w:hanging="72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>配合区委、区政府及相前部门处理好移民镇（办事处）突发性事件。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480" w:lineRule="exact"/>
              <w:ind w:left="720" w:leftChars="0" w:right="0" w:rightChars="0" w:hanging="720" w:firstLineChars="0"/>
              <w:jc w:val="left"/>
              <w:textAlignment w:val="center"/>
              <w:outlineLvl w:val="9"/>
              <w:rPr>
                <w:rFonts w:hint="eastAsia" w:ascii="仿宋_GB2312" w:hAnsi="仿宋_GB2312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>负责本区移民政策法律、法规的宣传落实和移民的维权执法工作。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>完成好区委、区人民政府交办的其他工作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464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年度主要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工作内容</w:t>
            </w:r>
          </w:p>
        </w:tc>
        <w:tc>
          <w:tcPr>
            <w:tcW w:w="8146" w:type="dxa"/>
            <w:gridSpan w:val="1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宋体" w:eastAsia="仿宋_GB2312"/>
                <w:color w:val="auto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>任务1：</w:t>
            </w:r>
            <w:r>
              <w:rPr>
                <w:rFonts w:hint="eastAsia" w:ascii="仿宋_GB2312" w:hAnsi="宋体" w:eastAsia="仿宋_GB2312"/>
                <w:color w:val="auto"/>
                <w:sz w:val="24"/>
              </w:rPr>
              <w:t>以重点移民村为中心，精心编制今年项目计划——认真实施201</w:t>
            </w:r>
            <w:r>
              <w:rPr>
                <w:rFonts w:hint="eastAsia" w:ascii="仿宋_GB2312" w:hAnsi="宋体" w:eastAsia="仿宋_GB2312"/>
                <w:color w:val="auto"/>
                <w:sz w:val="24"/>
                <w:lang w:val="en-US" w:eastAsia="zh-CN"/>
              </w:rPr>
              <w:t>7</w:t>
            </w:r>
            <w:r>
              <w:rPr>
                <w:rFonts w:hint="eastAsia" w:ascii="仿宋_GB2312" w:hAnsi="宋体" w:eastAsia="仿宋_GB2312"/>
                <w:color w:val="auto"/>
                <w:sz w:val="24"/>
              </w:rPr>
              <w:t>年计划项目</w:t>
            </w:r>
            <w:r>
              <w:rPr>
                <w:rFonts w:hint="eastAsia" w:ascii="仿宋_GB2312" w:hAnsi="宋体" w:eastAsia="仿宋_GB2312"/>
                <w:color w:val="auto"/>
                <w:sz w:val="24"/>
                <w:lang w:val="en-US" w:eastAsia="zh-CN"/>
              </w:rPr>
              <w:t>99</w:t>
            </w:r>
            <w:r>
              <w:rPr>
                <w:rFonts w:hint="eastAsia" w:ascii="仿宋_GB2312" w:hAnsi="宋体" w:eastAsia="仿宋_GB2312"/>
                <w:color w:val="auto"/>
                <w:sz w:val="24"/>
              </w:rPr>
              <w:t>个。培训移民</w:t>
            </w:r>
            <w:r>
              <w:rPr>
                <w:rFonts w:hint="eastAsia" w:ascii="仿宋_GB2312" w:hAnsi="宋体" w:eastAsia="仿宋_GB2312"/>
                <w:color w:val="auto"/>
                <w:sz w:val="24"/>
                <w:lang w:val="en-US" w:eastAsia="zh-CN"/>
              </w:rPr>
              <w:t>437</w:t>
            </w:r>
            <w:r>
              <w:rPr>
                <w:rFonts w:hint="eastAsia" w:ascii="仿宋_GB2312" w:hAnsi="宋体" w:eastAsia="仿宋_GB2312"/>
                <w:color w:val="auto"/>
                <w:sz w:val="24"/>
              </w:rPr>
              <w:t>人次，其中实用技术培训</w:t>
            </w:r>
            <w:r>
              <w:rPr>
                <w:rFonts w:hint="eastAsia" w:ascii="仿宋_GB2312" w:hAnsi="宋体" w:eastAsia="仿宋_GB2312"/>
                <w:color w:val="auto"/>
                <w:sz w:val="24"/>
                <w:lang w:val="en-US" w:eastAsia="zh-CN"/>
              </w:rPr>
              <w:t>385</w:t>
            </w:r>
            <w:r>
              <w:rPr>
                <w:rFonts w:hint="eastAsia" w:ascii="仿宋_GB2312" w:hAnsi="宋体" w:eastAsia="仿宋_GB2312"/>
                <w:color w:val="auto"/>
                <w:sz w:val="24"/>
              </w:rPr>
              <w:t>人，转移就业培训</w:t>
            </w:r>
            <w:r>
              <w:rPr>
                <w:rFonts w:hint="eastAsia" w:ascii="仿宋_GB2312" w:hAnsi="宋体" w:eastAsia="仿宋_GB2312"/>
                <w:color w:val="auto"/>
                <w:sz w:val="24"/>
                <w:lang w:val="en-US" w:eastAsia="zh-CN"/>
              </w:rPr>
              <w:t>2</w:t>
            </w:r>
            <w:r>
              <w:rPr>
                <w:rFonts w:hint="eastAsia" w:ascii="仿宋_GB2312" w:hAnsi="宋体" w:eastAsia="仿宋_GB2312"/>
                <w:color w:val="auto"/>
                <w:sz w:val="24"/>
              </w:rPr>
              <w:t>期</w:t>
            </w:r>
            <w:r>
              <w:rPr>
                <w:rFonts w:hint="eastAsia" w:ascii="仿宋_GB2312" w:hAnsi="宋体" w:eastAsia="仿宋_GB2312"/>
                <w:color w:val="auto"/>
                <w:sz w:val="24"/>
                <w:lang w:val="en-US" w:eastAsia="zh-CN"/>
              </w:rPr>
              <w:t>52</w:t>
            </w:r>
            <w:r>
              <w:rPr>
                <w:rFonts w:hint="eastAsia" w:ascii="仿宋_GB2312" w:hAnsi="宋体" w:eastAsia="仿宋_GB2312"/>
                <w:color w:val="auto"/>
                <w:sz w:val="24"/>
              </w:rPr>
              <w:t>人。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480" w:lineRule="exac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仿宋_GB2312" w:hAnsi="黑体" w:eastAsia="仿宋_GB2312"/>
                <w:bCs/>
                <w:color w:val="auto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>任务2：</w:t>
            </w:r>
            <w:r>
              <w:rPr>
                <w:rFonts w:hint="eastAsia" w:ascii="仿宋_GB2312" w:hAnsi="黑体" w:eastAsia="仿宋_GB2312"/>
                <w:bCs/>
                <w:color w:val="auto"/>
                <w:sz w:val="24"/>
              </w:rPr>
              <w:t>规范移民人口管理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黑体" w:eastAsia="仿宋_GB2312"/>
                <w:bCs/>
                <w:color w:val="auto"/>
                <w:sz w:val="24"/>
              </w:rPr>
              <w:t>任务3：规范移民资金管理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260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pacing w:val="-6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pacing w:val="-6"/>
                <w:sz w:val="24"/>
              </w:rPr>
              <w:t>年度部门（单位）总体运行情况及取得的成绩</w:t>
            </w:r>
          </w:p>
        </w:tc>
        <w:tc>
          <w:tcPr>
            <w:tcW w:w="8146" w:type="dxa"/>
            <w:gridSpan w:val="1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48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一年来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区移民局紧紧围绕区委、区政府工作中心，认真履职，扎实工作，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在移民扶贫攻坚整村推进和美丽乡村（家园）建设、移民扶助项目、民生实事办理、争资争项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等方面做了大量工作，并取得了一定的成绩。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482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一</w:t>
            </w: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做好特困群体的慰问工作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48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为落实区委、区政府君办[2016]38号通知精神，区移民局开展了“送温暖”春节慰问活动。 1月19日, 根据区扶贫办特困移民信息摸底情况，局领导班子成员深入到各镇、场、街道办事处，对联点村、扶贫村、移民社区等贫困移民进行了走访慰问，共慰问贫困对象287户，623人，慰问款12.55万元。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482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二</w:t>
            </w: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编制好2017年项目的计划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48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移民局党组根据“十三.五”移民项目编制计划。分管项目计划负责人和项目建设负责人下到各移民安置区，对所有申报项目进行定性、定量审查，主要围绕移民安置区新农村建设、环境整治、精准扶贫、移民集中安置建房、道路硬化等。本着“资金跟着项目走，项目跟着计划走，计划跟着规划走”的原则，根据移民项目建设实施和移民项目资金实行“县级报帐制”的要求，编制了2017年第一批项目计划和节余基金计划，合计资金700多万元，并及时向上级移民部门申报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482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三</w:t>
            </w: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民生实事办实办好。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48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一是认真把关2017年全区移民年检。截止到目前，本年度应检移民23739人，己检移民22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11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3人，未检14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0人，核减直补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21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6人。根据上级主管部门相关文件精神，大中型水库移民后期扶持基金对于移民实行动态管理，即：季核年审。近日，已对通过年检移民按上级有关文件精神纳入乡财“一卡通”进行上半年两个季度资金发放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，三、四季度的正在办理中。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二是移民培训务求实效。4月份，在组织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实用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技木培训移民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385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人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；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5月7日至5月16日，区移民局委托湖南明人教育咨询有限公司在市委党校举办为期10天的育婴员(月嫂)培训班，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7月2日在泰和大酒店举办了为期十天的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推拿按摩师培训，共计培训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51人。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学员在培训结束后，统一参加人社部门的职业技能考试，考试合格者颁发育婴员培训证书，学员可选择自主择业，也可由培训机构推荐上岗，服务社会，就业创收。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482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四</w:t>
            </w: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精准扶贫，打好扶贫攻坚战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48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一是整改突出问题。回头看，以问题导向，查摆扶贫工作中的突出问题和不足，制定切实可行的整改方案。二是贯彻实施《湖南省农村扶贫开发条例》，建档立卡，对贫困户实行动态管理。对不同困难家庭制订不同帮扶方案，建立扶贫台账，下村入户实打实地进行帮扶。三是移民助学。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元月份对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考取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三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本以上大学的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移民独生子女及双女户学生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37人共计10万元，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6月份对困难移民独生子女及双女户2017年考取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三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本以上大学的应届毕业生模底核实，进行资助，圆特困移民学生大学梦。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8月份对困难移民独生子女及双女户2017年考上高中并取得学籍的初中应届毕业生进行摸底核实，进行资助，绝不让一个移民子弟因贫困上不了学！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482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五</w:t>
            </w: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</w:rPr>
              <w:t>美丽乡村建设，突出重点，整村推进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48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为认真落实全省移民规划计划会议“突出重点、整村推进”精神。4月份，区移民局对良心堡镇的望君洲村和钱粮湖镇的丰收村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、牛奶湖村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进行了深入调查了解。并已申报市局核准，落实望君洲村、丰收村、牛奶湖村第一批项目后扶资金200万元，为整村推进前期工作打下了坚实基础。近日，根据湘移函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[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2017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]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65号《湖南省水库移民开发管理局关于申报2017年突出重点、精准扶持、整村推进试点村的通知》精神。我局已完成钱粮湖镇牛奶湖村为省2017年拟先确定50个移民村作为面上“整村推进”试点村的申报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（全省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50个名额，岳阳市仅5个，我们君山区争得了一个名额），前期拟投资300余万元。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482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  <w:lang w:val="en-US" w:eastAsia="zh-CN"/>
              </w:rPr>
              <w:t>六、做好数据公示，接受社会监督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48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应上级要求将2007年至2016年的所有项目录入“湖南省移民综合信息管理网”。进行资料整理后获得将近一千个项目详细资料，在工作人员不足的情况下，加班加点提前完成任务，在全市移民系统里区移民局后来者居上第一个完成相关任务，收到市局高度赞扬。2017年项目公示推行新的公示系统即“互联网＋监督系统”，区移民局严格按照市移民局、区财政局公示一个结算一个的要求，一步一步做好公示工作，保证项目和资金的安全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4"/>
                <w:szCs w:val="24"/>
                <w:lang w:val="en-US" w:eastAsia="zh-CN"/>
              </w:rPr>
              <w:t xml:space="preserve">    七、开展2016年项目、资金双验收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48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8月中旬区移民开发局邀请区政府、财政局等相关部门，对我区2016年26个10万元以上的移民后扶项目进行验收，对资金进行共同监管。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480" w:firstLineChars="200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在资金管理上，区移民开发局严格按照上级的要求，全面实施财务县级报账制度，将项目资金直接打入施工单位账户，避免了资金的挪用、套取等问题的出现。在项目管理上，严格项目实施过程。由村镇上报项目计划，区移民局现场核实后录入项目库，经市局批复后组织施工，并按照施工进度付款，最后经过后扶验收小组验收合格后才能结算 。在项目实施的过程中各环节紧紧相扣，确保了项目的高质量。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二、部门（单位）收支情况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</w:rPr>
              <w:t>年度收入情况（万元）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700" w:type="dxa"/>
            <w:gridSpan w:val="3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机构名称</w:t>
            </w:r>
          </w:p>
        </w:tc>
        <w:tc>
          <w:tcPr>
            <w:tcW w:w="1080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收入合计</w:t>
            </w:r>
          </w:p>
        </w:tc>
        <w:tc>
          <w:tcPr>
            <w:tcW w:w="7020" w:type="dxa"/>
            <w:gridSpan w:val="13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其中：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014" w:hRule="atLeast"/>
          <w:jc w:val="center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上年结转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公共财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政拨款</w:t>
            </w:r>
          </w:p>
        </w:tc>
        <w:tc>
          <w:tcPr>
            <w:tcW w:w="1705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政府基金拨款</w:t>
            </w:r>
          </w:p>
        </w:tc>
        <w:tc>
          <w:tcPr>
            <w:tcW w:w="180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纳入专户管理的非税收入拨款</w:t>
            </w:r>
          </w:p>
        </w:tc>
        <w:tc>
          <w:tcPr>
            <w:tcW w:w="1080" w:type="dxa"/>
            <w:gridSpan w:val="3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其他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收入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772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局机关及二级机构汇总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  <w:lang w:val="en-US" w:eastAsia="zh-CN"/>
              </w:rPr>
              <w:t>2454.3917</w:t>
            </w: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lang w:val="en-US" w:eastAsia="zh-CN"/>
              </w:rPr>
              <w:t>71.3917</w:t>
            </w:r>
          </w:p>
        </w:tc>
        <w:tc>
          <w:tcPr>
            <w:tcW w:w="1705" w:type="dxa"/>
            <w:gridSpan w:val="2"/>
            <w:vAlign w:val="center"/>
          </w:tcPr>
          <w:p>
            <w:pPr>
              <w:autoSpaceDN w:val="0"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lang w:val="en-US" w:eastAsia="zh-CN"/>
              </w:rPr>
              <w:t>2381</w:t>
            </w:r>
          </w:p>
        </w:tc>
        <w:tc>
          <w:tcPr>
            <w:tcW w:w="180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1、局机关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705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80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2、二级机构1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705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80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3、二级机构2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705" w:type="dxa"/>
            <w:gridSpan w:val="2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80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3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sz w:val="24"/>
              </w:rPr>
              <w:t>部门（单位）年度支出和结余情况（万元）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restart"/>
            <w:vAlign w:val="center"/>
          </w:tcPr>
          <w:p>
            <w:pPr>
              <w:snapToGrid w:val="0"/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机构名称</w:t>
            </w:r>
          </w:p>
        </w:tc>
        <w:tc>
          <w:tcPr>
            <w:tcW w:w="1080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支出合计</w:t>
            </w:r>
          </w:p>
        </w:tc>
        <w:tc>
          <w:tcPr>
            <w:tcW w:w="5675" w:type="dxa"/>
            <w:gridSpan w:val="9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其中：</w:t>
            </w:r>
          </w:p>
        </w:tc>
        <w:tc>
          <w:tcPr>
            <w:tcW w:w="1345" w:type="dxa"/>
            <w:gridSpan w:val="4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结余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基本支出</w:t>
            </w:r>
          </w:p>
        </w:tc>
        <w:tc>
          <w:tcPr>
            <w:tcW w:w="3240" w:type="dxa"/>
            <w:gridSpan w:val="6"/>
            <w:tcBorders>
              <w:top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其中：</w:t>
            </w:r>
          </w:p>
        </w:tc>
        <w:tc>
          <w:tcPr>
            <w:tcW w:w="1080" w:type="dxa"/>
            <w:vMerge w:val="restart"/>
            <w:tcBorders>
              <w:top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项目支出</w:t>
            </w:r>
          </w:p>
        </w:tc>
        <w:tc>
          <w:tcPr>
            <w:tcW w:w="720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当年结余</w:t>
            </w:r>
          </w:p>
        </w:tc>
        <w:tc>
          <w:tcPr>
            <w:tcW w:w="625" w:type="dxa"/>
            <w:vMerge w:val="restart"/>
            <w:tcBorders>
              <w:top w:val="single" w:color="auto" w:sz="4" w:space="0"/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累计结余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人员支出</w:t>
            </w: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公用支出</w:t>
            </w: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720" w:type="dxa"/>
            <w:gridSpan w:val="3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25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877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局机关及二级机构汇总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lang w:val="en-US" w:eastAsia="zh-CN"/>
              </w:rPr>
              <w:t>2454.3917</w:t>
            </w: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lang w:val="en-US" w:eastAsia="zh-CN"/>
              </w:rPr>
              <w:t>71.3917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lang w:val="en-US" w:eastAsia="zh-CN"/>
              </w:rPr>
              <w:t>36.1117</w:t>
            </w: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lang w:val="en-US" w:eastAsia="zh-CN"/>
              </w:rPr>
              <w:t>37.28</w:t>
            </w:r>
          </w:p>
        </w:tc>
        <w:tc>
          <w:tcPr>
            <w:tcW w:w="1080" w:type="dxa"/>
            <w:vAlign w:val="center"/>
          </w:tcPr>
          <w:p>
            <w:pPr>
              <w:autoSpaceDN w:val="0"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  <w:lang w:val="en-US" w:eastAsia="zh-CN"/>
              </w:rPr>
              <w:t>2381</w:t>
            </w:r>
          </w:p>
        </w:tc>
        <w:tc>
          <w:tcPr>
            <w:tcW w:w="720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0</w:t>
            </w:r>
          </w:p>
        </w:tc>
        <w:tc>
          <w:tcPr>
            <w:tcW w:w="625" w:type="dxa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2"/>
                <w:szCs w:val="22"/>
              </w:rPr>
              <w:t>0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1、局机关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720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25" w:type="dxa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2、二级机构1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720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25" w:type="dxa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3、二级机构2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720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625" w:type="dxa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机构名称</w:t>
            </w:r>
          </w:p>
        </w:tc>
        <w:tc>
          <w:tcPr>
            <w:tcW w:w="1080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三公经费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合计</w:t>
            </w:r>
          </w:p>
        </w:tc>
        <w:tc>
          <w:tcPr>
            <w:tcW w:w="7020" w:type="dxa"/>
            <w:gridSpan w:val="13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其中：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公务接待费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公务用车运维费</w:t>
            </w: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公务用车购置费</w:t>
            </w:r>
          </w:p>
        </w:tc>
        <w:tc>
          <w:tcPr>
            <w:tcW w:w="2425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因公出国费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858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局机关及二级机构汇总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5</w:t>
            </w: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5</w:t>
            </w: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425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1、局机关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425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2、二级机构1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425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3、二级机构2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355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160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425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机构名称</w:t>
            </w:r>
          </w:p>
        </w:tc>
        <w:tc>
          <w:tcPr>
            <w:tcW w:w="1080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固定资产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合计</w:t>
            </w:r>
          </w:p>
        </w:tc>
        <w:tc>
          <w:tcPr>
            <w:tcW w:w="6079" w:type="dxa"/>
            <w:gridSpan w:val="11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其中：</w:t>
            </w:r>
          </w:p>
        </w:tc>
        <w:tc>
          <w:tcPr>
            <w:tcW w:w="941" w:type="dxa"/>
            <w:gridSpan w:val="2"/>
            <w:vMerge w:val="restart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其他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080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435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在用固定资产</w:t>
            </w:r>
          </w:p>
        </w:tc>
        <w:tc>
          <w:tcPr>
            <w:tcW w:w="3644" w:type="dxa"/>
            <w:gridSpan w:val="7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出租固定资产</w:t>
            </w:r>
          </w:p>
        </w:tc>
        <w:tc>
          <w:tcPr>
            <w:tcW w:w="941" w:type="dxa"/>
            <w:gridSpan w:val="2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855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局机关及二级机构汇总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25.1</w:t>
            </w:r>
          </w:p>
        </w:tc>
        <w:tc>
          <w:tcPr>
            <w:tcW w:w="2435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25.1</w:t>
            </w:r>
          </w:p>
        </w:tc>
        <w:tc>
          <w:tcPr>
            <w:tcW w:w="364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941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1、局机关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435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364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941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2、二级机构1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435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364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941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24" w:hRule="atLeast"/>
          <w:jc w:val="center"/>
        </w:trPr>
        <w:tc>
          <w:tcPr>
            <w:tcW w:w="1700" w:type="dxa"/>
            <w:gridSpan w:val="3"/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3、二级机构2</w:t>
            </w:r>
          </w:p>
        </w:tc>
        <w:tc>
          <w:tcPr>
            <w:tcW w:w="1080" w:type="dxa"/>
            <w:tcBorders>
              <w:righ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435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364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941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三、部门（单位）整体支出绩效自评情况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72" w:hRule="atLeast"/>
          <w:jc w:val="center"/>
        </w:trPr>
        <w:tc>
          <w:tcPr>
            <w:tcW w:w="1441" w:type="dxa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整体支出绩效定性目标及实施计划完成情况</w:t>
            </w:r>
          </w:p>
        </w:tc>
        <w:tc>
          <w:tcPr>
            <w:tcW w:w="3774" w:type="dxa"/>
            <w:gridSpan w:val="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预期目标</w:t>
            </w:r>
          </w:p>
        </w:tc>
        <w:tc>
          <w:tcPr>
            <w:tcW w:w="4585" w:type="dxa"/>
            <w:gridSpan w:val="9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实际完成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172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3774" w:type="dxa"/>
            <w:gridSpan w:val="7"/>
            <w:vAlign w:val="center"/>
          </w:tcPr>
          <w:p>
            <w:pPr>
              <w:autoSpaceDN w:val="0"/>
              <w:spacing w:line="4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>目标1：完成计划申报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>批次</w:t>
            </w:r>
          </w:p>
          <w:p>
            <w:pPr>
              <w:autoSpaceDN w:val="0"/>
              <w:spacing w:line="4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>目标2：完成移民培训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360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>人次</w:t>
            </w:r>
          </w:p>
        </w:tc>
        <w:tc>
          <w:tcPr>
            <w:tcW w:w="4585" w:type="dxa"/>
            <w:gridSpan w:val="9"/>
            <w:vAlign w:val="center"/>
          </w:tcPr>
          <w:p>
            <w:pPr>
              <w:autoSpaceDN w:val="0"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>完成计划申报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>批次；完成移民培训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37</w:t>
            </w:r>
            <w:r>
              <w:rPr>
                <w:rFonts w:hint="eastAsia" w:ascii="仿宋_GB2312" w:hAnsi="仿宋_GB2312" w:eastAsia="仿宋_GB2312" w:cs="仿宋_GB2312"/>
                <w:color w:val="auto"/>
                <w:sz w:val="24"/>
              </w:rPr>
              <w:t>人次，超额完成既定任务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441" w:type="dxa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整体支出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绩效定量目标及实施计划完成情况</w:t>
            </w:r>
          </w:p>
        </w:tc>
        <w:tc>
          <w:tcPr>
            <w:tcW w:w="2966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评价内容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绩效目标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完成情况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产出目标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（部门工作实绩，包含上级部门和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委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eastAsia="zh-CN"/>
              </w:rPr>
              <w:t>区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政府布置的重点工作、实事任务等，根据部门实际进行调整细化）</w:t>
            </w:r>
          </w:p>
        </w:tc>
        <w:tc>
          <w:tcPr>
            <w:tcW w:w="1417" w:type="dxa"/>
            <w:gridSpan w:val="2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质量指标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指标1：</w:t>
            </w:r>
            <w:r>
              <w:rPr>
                <w:rFonts w:eastAsia="仿宋_GB2312"/>
                <w:color w:val="000000"/>
                <w:kern w:val="0"/>
                <w:sz w:val="20"/>
                <w:szCs w:val="20"/>
              </w:rPr>
              <w:t>质量达标率＝（质量达标产出数/实际产出数）/100%。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tcBorders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709" w:type="dxa"/>
            <w:gridSpan w:val="4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指标2：</w:t>
            </w:r>
            <w:r>
              <w:rPr>
                <w:rFonts w:eastAsia="仿宋_GB2312"/>
                <w:color w:val="000000"/>
                <w:kern w:val="0"/>
                <w:sz w:val="20"/>
                <w:szCs w:val="20"/>
              </w:rPr>
              <w:t>质量达标产出数：一定时期（本年度或项目期）内实际达到既定质量标准的产品或服务数量。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tcBorders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709" w:type="dxa"/>
            <w:gridSpan w:val="4"/>
            <w:vAlign w:val="center"/>
          </w:tcPr>
          <w:p>
            <w:pPr>
              <w:widowControl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：</w:t>
            </w:r>
            <w:r>
              <w:rPr>
                <w:rFonts w:eastAsia="仿宋_GB2312"/>
                <w:color w:val="000000"/>
                <w:kern w:val="0"/>
                <w:sz w:val="20"/>
                <w:szCs w:val="20"/>
              </w:rPr>
              <w:t>既定质量标准是指项目实施单位设立绩效目标时依据计划标准、行业标准、历史标准或其他标准而设定的绩效指标值。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数量指标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指标1：</w:t>
            </w:r>
            <w:r>
              <w:rPr>
                <w:rFonts w:eastAsia="仿宋_GB2312"/>
                <w:color w:val="000000"/>
                <w:kern w:val="0"/>
                <w:sz w:val="20"/>
                <w:szCs w:val="20"/>
              </w:rPr>
              <w:t>实际完成率＝（实际产出数/计划产出数）×100%。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61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709" w:type="dxa"/>
            <w:gridSpan w:val="4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指标2：</w:t>
            </w:r>
            <w:r>
              <w:rPr>
                <w:rFonts w:eastAsia="仿宋_GB2312"/>
                <w:color w:val="000000"/>
                <w:kern w:val="0"/>
                <w:sz w:val="20"/>
                <w:szCs w:val="20"/>
              </w:rPr>
              <w:t>实际产出数：一定时期（本年度或项目期）内项目实际产出的产品或提供的服务数。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61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：</w:t>
            </w:r>
            <w:r>
              <w:rPr>
                <w:rFonts w:eastAsia="仿宋_GB2312"/>
                <w:color w:val="000000"/>
                <w:kern w:val="0"/>
                <w:sz w:val="20"/>
                <w:szCs w:val="20"/>
              </w:rPr>
              <w:t>计划产出数：项目绩效目标确定的在一定时期（本年度或项目期）内计划产出的产品或提供的服务数量。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时效指标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指标1：</w:t>
            </w:r>
            <w:r>
              <w:rPr>
                <w:rFonts w:eastAsia="仿宋_GB2312"/>
                <w:color w:val="000000"/>
                <w:kern w:val="0"/>
                <w:sz w:val="20"/>
                <w:szCs w:val="20"/>
              </w:rPr>
              <w:t>完成及时率[ (计划完成时间-实际完成时间）/计划完成时间] ×100%。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指标2：</w:t>
            </w:r>
            <w:r>
              <w:rPr>
                <w:rFonts w:eastAsia="仿宋_GB2312"/>
                <w:color w:val="000000"/>
                <w:kern w:val="0"/>
                <w:sz w:val="20"/>
                <w:szCs w:val="20"/>
              </w:rPr>
              <w:t>实际完成时间：项目实施单位完成该项目实际所耗用的时间。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：</w:t>
            </w:r>
            <w:r>
              <w:rPr>
                <w:rFonts w:eastAsia="仿宋_GB2312"/>
                <w:color w:val="000000"/>
                <w:kern w:val="0"/>
                <w:sz w:val="20"/>
                <w:szCs w:val="20"/>
              </w:rPr>
              <w:t>计划完成时间：桉照项目实施计划或相关规定完成该项目所需的时间。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成本指标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指标1：</w:t>
            </w:r>
            <w:r>
              <w:rPr>
                <w:rFonts w:eastAsia="仿宋_GB2312"/>
                <w:color w:val="000000"/>
                <w:kern w:val="0"/>
                <w:sz w:val="20"/>
                <w:szCs w:val="20"/>
              </w:rPr>
              <w:t>成本节约率＝(计划成本-实际成本) /计划成本×100%。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709" w:type="dxa"/>
            <w:gridSpan w:val="4"/>
            <w:vAlign w:val="center"/>
          </w:tcPr>
          <w:p>
            <w:pPr>
              <w:widowControl/>
              <w:jc w:val="left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指标2：</w:t>
            </w:r>
            <w:r>
              <w:rPr>
                <w:rFonts w:eastAsia="仿宋_GB2312"/>
                <w:color w:val="000000"/>
                <w:kern w:val="0"/>
                <w:sz w:val="20"/>
                <w:szCs w:val="20"/>
              </w:rPr>
              <w:t>实际成本：项目实施单位如期、保质、保量完成既定工作目标实际所耗费的支出。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45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709" w:type="dxa"/>
            <w:gridSpan w:val="4"/>
            <w:vAlign w:val="center"/>
          </w:tcPr>
          <w:p>
            <w:pPr>
              <w:widowControl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：</w:t>
            </w:r>
            <w:r>
              <w:rPr>
                <w:rFonts w:eastAsia="仿宋_GB2312"/>
                <w:color w:val="000000"/>
                <w:kern w:val="0"/>
                <w:sz w:val="20"/>
                <w:szCs w:val="20"/>
              </w:rPr>
              <w:t>计划成本：项目实施单位为完成工作目标计划安排的支出，一般以项目预算为参考。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889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restart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效益目标</w:t>
            </w:r>
          </w:p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（预期实现的效益）</w:t>
            </w:r>
          </w:p>
        </w:tc>
        <w:tc>
          <w:tcPr>
            <w:tcW w:w="1417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社会效益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指标1：</w:t>
            </w:r>
            <w:r>
              <w:rPr>
                <w:rFonts w:hint="eastAsia" w:eastAsia="仿宋_GB2312"/>
                <w:color w:val="000000"/>
                <w:kern w:val="0"/>
                <w:sz w:val="20"/>
                <w:szCs w:val="20"/>
              </w:rPr>
              <w:t>贫困移民脱贫比例。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794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经济效益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指标1：</w:t>
            </w:r>
            <w:r>
              <w:rPr>
                <w:rFonts w:hint="eastAsia" w:eastAsia="仿宋_GB2312"/>
                <w:color w:val="000000"/>
                <w:kern w:val="0"/>
                <w:sz w:val="20"/>
                <w:szCs w:val="20"/>
              </w:rPr>
              <w:t>移民收入变化。</w:t>
            </w:r>
            <w:bookmarkStart w:id="0" w:name="_GoBack"/>
            <w:bookmarkEnd w:id="0"/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885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生态效益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指标1：</w:t>
            </w:r>
            <w:r>
              <w:rPr>
                <w:rFonts w:hint="eastAsia" w:eastAsia="仿宋_GB2312"/>
                <w:color w:val="000000"/>
                <w:kern w:val="0"/>
                <w:sz w:val="20"/>
                <w:szCs w:val="20"/>
              </w:rPr>
              <w:t>生态环境改善情况。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085" w:hRule="atLeast"/>
          <w:jc w:val="center"/>
        </w:trPr>
        <w:tc>
          <w:tcPr>
            <w:tcW w:w="1441" w:type="dxa"/>
            <w:vMerge w:val="continue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549" w:type="dxa"/>
            <w:gridSpan w:val="4"/>
            <w:vMerge w:val="continue"/>
            <w:vAlign w:val="center"/>
          </w:tcPr>
          <w:p>
            <w:pPr>
              <w:autoSpaceDN w:val="0"/>
              <w:spacing w:line="3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社会公众或服务对象满意度</w:t>
            </w:r>
          </w:p>
        </w:tc>
        <w:tc>
          <w:tcPr>
            <w:tcW w:w="2709" w:type="dxa"/>
            <w:gridSpan w:val="4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指标1：</w:t>
            </w:r>
            <w:r>
              <w:rPr>
                <w:rFonts w:eastAsia="仿宋_GB2312"/>
                <w:color w:val="000000"/>
                <w:kern w:val="0"/>
                <w:sz w:val="20"/>
                <w:szCs w:val="20"/>
              </w:rPr>
              <w:t>采取社会调查的方式。</w:t>
            </w:r>
          </w:p>
        </w:tc>
        <w:tc>
          <w:tcPr>
            <w:tcW w:w="2684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1012" w:hRule="atLeast"/>
          <w:jc w:val="center"/>
        </w:trPr>
        <w:tc>
          <w:tcPr>
            <w:tcW w:w="2990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绩效自评综合得分</w:t>
            </w:r>
          </w:p>
        </w:tc>
        <w:tc>
          <w:tcPr>
            <w:tcW w:w="6810" w:type="dxa"/>
            <w:gridSpan w:val="1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872" w:hRule="atLeast"/>
          <w:jc w:val="center"/>
        </w:trPr>
        <w:tc>
          <w:tcPr>
            <w:tcW w:w="2990" w:type="dxa"/>
            <w:gridSpan w:val="5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评价等次</w:t>
            </w:r>
          </w:p>
        </w:tc>
        <w:tc>
          <w:tcPr>
            <w:tcW w:w="6810" w:type="dxa"/>
            <w:gridSpan w:val="1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8"/>
                <w:szCs w:val="28"/>
              </w:rPr>
              <w:t>四、评价人员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567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姓  名</w:t>
            </w: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职务/职称</w:t>
            </w: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单  位</w:t>
            </w: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签  字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val="en-US" w:eastAsia="zh-CN"/>
              </w:rPr>
              <w:t>蔡时岩</w:t>
            </w: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eastAsia="zh-CN"/>
              </w:rPr>
              <w:t>党组书记、局长</w:t>
            </w: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eastAsia="zh-CN"/>
              </w:rPr>
              <w:t>岳阳市君山区移民开发局</w:t>
            </w: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eastAsia="zh-CN"/>
              </w:rPr>
              <w:t>李胜</w:t>
            </w: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eastAsia="zh-CN"/>
              </w:rPr>
              <w:t>党组成员、副局长</w:t>
            </w: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4"/>
                <w:lang w:eastAsia="zh-CN"/>
              </w:rPr>
              <w:t>岳阳市君山区移民开发局</w:t>
            </w: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1654" w:type="dxa"/>
            <w:gridSpan w:val="2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3561" w:type="dxa"/>
            <w:gridSpan w:val="6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1479" w:type="dxa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  <w:tc>
          <w:tcPr>
            <w:tcW w:w="3106" w:type="dxa"/>
            <w:gridSpan w:val="8"/>
            <w:vAlign w:val="center"/>
          </w:tcPr>
          <w:p>
            <w:pPr>
              <w:autoSpaceDN w:val="0"/>
              <w:spacing w:line="32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722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评价组组长（签字）：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 xml:space="preserve">                                                               年    月    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722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部门（单位）意见：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 xml:space="preserve">                                         部门（单位）负责人（签章）：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 xml:space="preserve">                                                               年    月    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5" w:type="dxa"/>
            <w:bottom w:w="0" w:type="dxa"/>
            <w:right w:w="15" w:type="dxa"/>
          </w:tblCellMar>
        </w:tblPrEx>
        <w:trPr>
          <w:trHeight w:val="2794" w:hRule="atLeast"/>
          <w:jc w:val="center"/>
        </w:trPr>
        <w:tc>
          <w:tcPr>
            <w:tcW w:w="9800" w:type="dxa"/>
            <w:gridSpan w:val="17"/>
            <w:vAlign w:val="center"/>
          </w:tcPr>
          <w:p>
            <w:pPr>
              <w:spacing w:line="32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>财政部门归口业务科室意见：</w:t>
            </w:r>
          </w:p>
          <w:p>
            <w:pPr>
              <w:spacing w:line="320" w:lineRule="exact"/>
              <w:rPr>
                <w:rFonts w:hint="eastAsia" w:eastAsia="仿宋_GB2312"/>
                <w:sz w:val="24"/>
              </w:rPr>
            </w:pPr>
          </w:p>
          <w:p>
            <w:pPr>
              <w:spacing w:line="320" w:lineRule="exact"/>
              <w:rPr>
                <w:rFonts w:hint="eastAsia" w:eastAsia="仿宋_GB2312"/>
                <w:sz w:val="24"/>
              </w:rPr>
            </w:pPr>
          </w:p>
          <w:p>
            <w:pPr>
              <w:spacing w:line="320" w:lineRule="exact"/>
              <w:rPr>
                <w:rFonts w:hint="eastAsia" w:eastAsia="仿宋_GB2312"/>
                <w:sz w:val="24"/>
              </w:rPr>
            </w:pPr>
          </w:p>
          <w:p>
            <w:pPr>
              <w:spacing w:line="320" w:lineRule="exact"/>
              <w:rPr>
                <w:rFonts w:hint="eastAsia" w:eastAsia="仿宋_GB2312"/>
                <w:sz w:val="24"/>
              </w:rPr>
            </w:pPr>
          </w:p>
          <w:p>
            <w:pPr>
              <w:spacing w:line="320" w:lineRule="exact"/>
              <w:rPr>
                <w:rFonts w:hint="eastAsia" w:eastAsia="仿宋_GB2312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                             财政部门归口业务科室负责人（签章）：</w:t>
            </w:r>
          </w:p>
          <w:p>
            <w:pPr>
              <w:autoSpaceDN w:val="0"/>
              <w:spacing w:line="32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color w:val="000000"/>
                <w:sz w:val="24"/>
              </w:rPr>
            </w:pPr>
            <w:r>
              <w:rPr>
                <w:rFonts w:hint="eastAsia" w:eastAsia="仿宋_GB2312"/>
                <w:sz w:val="24"/>
              </w:rPr>
              <w:t xml:space="preserve">                                                                 年    月   日</w:t>
            </w:r>
          </w:p>
        </w:tc>
      </w:tr>
    </w:tbl>
    <w:p>
      <w:pPr>
        <w:rPr>
          <w:rFonts w:hint="eastAsia" w:eastAsia="仿宋_GB2312" w:cs="仿宋_GB2312"/>
          <w:bCs/>
          <w:sz w:val="28"/>
          <w:szCs w:val="28"/>
        </w:rPr>
      </w:pPr>
      <w:r>
        <w:rPr>
          <w:rFonts w:hint="eastAsia" w:eastAsia="仿宋_GB2312" w:cs="仿宋_GB2312"/>
          <w:bCs/>
          <w:sz w:val="28"/>
          <w:szCs w:val="28"/>
        </w:rPr>
        <w:t>填报人（签名）：                          联系电话：</w:t>
      </w:r>
    </w:p>
    <w:tbl>
      <w:tblPr>
        <w:tblStyle w:val="5"/>
        <w:tblW w:w="9558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5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98" w:hRule="atLeast"/>
          <w:jc w:val="center"/>
        </w:trPr>
        <w:tc>
          <w:tcPr>
            <w:tcW w:w="9558" w:type="dxa"/>
            <w:vAlign w:val="top"/>
          </w:tcPr>
          <w:p>
            <w:pPr>
              <w:jc w:val="center"/>
              <w:rPr>
                <w:rFonts w:hint="eastAsia" w:ascii="黑体" w:hAnsi="黑体" w:eastAsia="黑体" w:cs="黑体"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Cs/>
                <w:sz w:val="28"/>
                <w:szCs w:val="28"/>
              </w:rPr>
              <w:t>五、评价报告综述（文字部分）</w:t>
            </w:r>
          </w:p>
          <w:p>
            <w:pPr>
              <w:spacing w:line="440" w:lineRule="exact"/>
              <w:ind w:firstLine="640" w:firstLineChars="200"/>
              <w:rPr>
                <w:rFonts w:hint="eastAsia" w:eastAsia="仿宋_GB2312"/>
                <w:sz w:val="32"/>
                <w:szCs w:val="32"/>
              </w:rPr>
            </w:pPr>
          </w:p>
          <w:p>
            <w:pPr>
              <w:spacing w:line="560" w:lineRule="exact"/>
              <w:ind w:firstLine="560" w:firstLineChars="200"/>
              <w:rPr>
                <w:rFonts w:hint="eastAsia" w:ascii="黑体" w:hAnsi="黑体" w:eastAsia="黑体" w:cs="黑体"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Cs/>
                <w:sz w:val="28"/>
                <w:szCs w:val="28"/>
              </w:rPr>
              <w:t>一、部门（单位）概况</w:t>
            </w:r>
          </w:p>
          <w:p>
            <w:pPr>
              <w:spacing w:line="400" w:lineRule="exact"/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FF0000"/>
                <w:sz w:val="32"/>
                <w:szCs w:val="32"/>
                <w:lang w:val="en-US" w:eastAsia="zh-CN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君山区移民开发局系区人民政府直属行政类事业单位，主要职责为：贯彻实施党和国家的移民工作方针、政策和法律、法规，研究制订本区移民工作的规划和办法；负责编制本区移民生产开发的中、长期规划，组织实施上级主管部门下达的基础设施建设计划，解决好移民“行路难、增收难、饮水难、求学难、看病难”五难问题，全面抓好工程项目的实施、严格质量的监督，及时办好项目竣工验收的所有手续；编制好全区智力移民工程培训；负责本区移民资金的会计核算等。</w:t>
            </w:r>
          </w:p>
          <w:p>
            <w:pPr>
              <w:autoSpaceDN w:val="0"/>
              <w:spacing w:line="400" w:lineRule="exact"/>
              <w:jc w:val="left"/>
              <w:textAlignment w:val="center"/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</w:rPr>
              <w:t>年度主要工作内容</w:t>
            </w: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>以重点移民村为中心，精心编制今年项目计划</w:t>
            </w: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  <w:lang w:val="en-US" w:eastAsia="zh-CN"/>
              </w:rPr>
              <w:t>4批，</w:t>
            </w: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>认真实施201</w:t>
            </w: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  <w:lang w:val="en-US" w:eastAsia="zh-CN"/>
              </w:rPr>
              <w:t>7</w:t>
            </w: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>年计划项目</w:t>
            </w: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  <w:lang w:val="en-US" w:eastAsia="zh-CN"/>
              </w:rPr>
              <w:t>99</w:t>
            </w: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>个；培训移民</w:t>
            </w: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  <w:lang w:val="en-US" w:eastAsia="zh-CN"/>
              </w:rPr>
              <w:t>437</w:t>
            </w: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>人次，其中实用技术培训</w:t>
            </w: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  <w:lang w:val="en-US" w:eastAsia="zh-CN"/>
              </w:rPr>
              <w:t>385</w:t>
            </w: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>人，转移就业培训</w:t>
            </w: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>期</w:t>
            </w: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  <w:lang w:val="en-US" w:eastAsia="zh-CN"/>
              </w:rPr>
              <w:t>52</w:t>
            </w: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>人；</w:t>
            </w:r>
            <w:r>
              <w:rPr>
                <w:rFonts w:hint="eastAsia" w:ascii="仿宋_GB2312" w:hAnsi="黑体" w:eastAsia="仿宋_GB2312"/>
                <w:bCs/>
                <w:color w:val="auto"/>
                <w:sz w:val="28"/>
                <w:szCs w:val="28"/>
              </w:rPr>
              <w:t>规范移民人口管理</w:t>
            </w:r>
            <w:r>
              <w:rPr>
                <w:rFonts w:hint="eastAsia" w:ascii="仿宋_GB2312" w:hAnsi="宋体" w:eastAsia="仿宋_GB2312"/>
                <w:color w:val="auto"/>
                <w:sz w:val="28"/>
                <w:szCs w:val="28"/>
              </w:rPr>
              <w:t>；</w:t>
            </w:r>
            <w:r>
              <w:rPr>
                <w:rFonts w:hint="eastAsia" w:ascii="仿宋_GB2312" w:hAnsi="黑体" w:eastAsia="仿宋_GB2312"/>
                <w:bCs/>
                <w:color w:val="auto"/>
                <w:sz w:val="28"/>
                <w:szCs w:val="28"/>
              </w:rPr>
              <w:t>规范移民资金管理。</w:t>
            </w:r>
          </w:p>
          <w:p>
            <w:pPr>
              <w:spacing w:line="560" w:lineRule="exact"/>
              <w:ind w:firstLine="560" w:firstLineChars="200"/>
              <w:rPr>
                <w:rFonts w:hint="eastAsia" w:ascii="黑体" w:hAnsi="黑体" w:eastAsia="黑体" w:cs="黑体"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Cs/>
                <w:sz w:val="28"/>
                <w:szCs w:val="28"/>
              </w:rPr>
              <w:t>二、部门（单位）整体支出管理及使用情况</w:t>
            </w:r>
          </w:p>
          <w:p>
            <w:pPr>
              <w:spacing w:line="400" w:lineRule="exact"/>
              <w:ind w:firstLine="560" w:firstLineChars="200"/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（一）基本支出：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lang w:val="en-US" w:eastAsia="zh-CN"/>
              </w:rPr>
              <w:t>71.3917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万元，其中： 人员支出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lang w:val="en-US" w:eastAsia="zh-CN"/>
              </w:rPr>
              <w:t>36.1117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万元；公用支出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lang w:val="en-US" w:eastAsia="zh-CN"/>
              </w:rPr>
              <w:t>37.28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万元。</w:t>
            </w:r>
          </w:p>
          <w:p>
            <w:pPr>
              <w:spacing w:line="400" w:lineRule="exact"/>
              <w:ind w:firstLine="560" w:firstLineChars="200"/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（二）专项支出：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lang w:val="en-US" w:eastAsia="zh-CN"/>
              </w:rPr>
              <w:t>2381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万元</w:t>
            </w:r>
          </w:p>
          <w:p>
            <w:pPr>
              <w:spacing w:line="400" w:lineRule="exact"/>
              <w:ind w:firstLine="560" w:firstLineChars="200"/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专项资金用于全区移民直补打卡发放1680万元，移民直补资金通过乡财一卡通系统直接打卡到人；用于项目建设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lang w:val="en-US" w:eastAsia="zh-CN"/>
              </w:rPr>
              <w:t>701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万元解决移民生产、生活、出行等困难。</w:t>
            </w:r>
          </w:p>
          <w:p>
            <w:pPr>
              <w:spacing w:line="400" w:lineRule="exact"/>
              <w:ind w:firstLine="560" w:firstLineChars="200"/>
              <w:rPr>
                <w:rFonts w:hint="eastAsia" w:ascii="黑体" w:hAnsi="黑体" w:eastAsia="黑体" w:cs="黑体"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Cs/>
                <w:sz w:val="28"/>
                <w:szCs w:val="28"/>
              </w:rPr>
              <w:t>三、部门（单位）整体支出绩效情况</w:t>
            </w:r>
          </w:p>
          <w:p>
            <w:pPr>
              <w:spacing w:line="400" w:lineRule="exact"/>
              <w:ind w:firstLine="560" w:firstLineChars="200"/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区移民局出台《移民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lang w:eastAsia="zh-CN"/>
              </w:rPr>
              <w:t>后扶项目资金县级报帐制实施办法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》，由区法制办审定后下发。在项目管理中，坚持统筹兼顾的原则，严格年度项目计划。做好项目前期工作，由移民村“三会”，即移民代表会、党员代表会、村两委会确定项目内容。区移民局对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lang w:val="en-US" w:eastAsia="zh-CN"/>
              </w:rPr>
              <w:t>10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万元以上项目，派人现场调研查看，经确定后报市移民局审批。项目实施做到“四个不”，即计划未批不开工，当年计划原则上不调整，擅自变更计划的项目不验收，因项目建设影响稳定的不发开工令。在考核年内实施的项目，均如期实施到位，没有发生变更计划的项目。今年，移民局会同区财政、审计等相关部门对去年实施的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lang w:val="en-US" w:eastAsia="zh-CN"/>
              </w:rPr>
              <w:t>10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万元以上的项目进行检查验收，没有发现违规或质量问题，移民项目移民满意，政府放心。</w:t>
            </w:r>
          </w:p>
          <w:p>
            <w:pPr>
              <w:spacing w:line="400" w:lineRule="exact"/>
              <w:ind w:firstLine="560" w:firstLineChars="200"/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认真开展移民资金使用管理自查自纠专项活动，针对存在的问题和薄弱环节，逐条逐项进行分析，查找原因。按照资金管理更加规范、资金使用更加安全、资金效益更加提升的基本要求，进一步完善了《君山区移民项目资金管理实施细则》，移民资金一律实行依章管理、分类管理、民主管理和监督管理。项目资金进一步完善区级报账制，加强项目资金台账、资料管理，实行台账核算，村级专账和村账镇管。移民直补资金通过“一卡通”及时足额发放，并用手机通讯平台通知移民本人。今年，组织对移民资金使用管理工作情况进行抽查，移民资金使用管理安全、有序，没有发现违规行为。</w:t>
            </w:r>
          </w:p>
          <w:p>
            <w:pPr>
              <w:spacing w:line="400" w:lineRule="exact"/>
              <w:ind w:firstLine="560" w:firstLineChars="200"/>
              <w:rPr>
                <w:rFonts w:hint="eastAsia" w:ascii="黑体" w:hAnsi="黑体" w:eastAsia="黑体" w:cs="黑体"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lang w:eastAsia="zh-CN"/>
              </w:rPr>
              <w:t>按照移民人口动态管理的要求，开展人口年检年审，召开各乡镇移民专干会议，制定实施方案，加强组织领导，明确工作责任。1000人以上的移民乡镇，由镇移民专干负责年检，区移民局监督抽查；1000人以下的乡镇由区移民局派专人年检，被核减的直补移民指标转化项目资金，在乡、村进行项目扶持。今年被核减的直补移民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lang w:val="en-US" w:eastAsia="zh-CN"/>
              </w:rPr>
              <w:t>300</w:t>
            </w: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  <w:lang w:eastAsia="zh-CN"/>
              </w:rPr>
              <w:t>人，有效地维护了后扶政策的严肃性。</w:t>
            </w:r>
          </w:p>
          <w:p>
            <w:pPr>
              <w:numPr>
                <w:numId w:val="0"/>
              </w:numPr>
              <w:spacing w:line="560" w:lineRule="exact"/>
              <w:ind w:firstLine="560" w:firstLineChars="200"/>
              <w:rPr>
                <w:rFonts w:hint="eastAsia" w:ascii="黑体" w:hAnsi="黑体" w:eastAsia="黑体" w:cs="黑体"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Cs/>
                <w:sz w:val="28"/>
                <w:szCs w:val="28"/>
                <w:lang w:eastAsia="zh-CN"/>
              </w:rPr>
              <w:t>四、</w:t>
            </w:r>
            <w:r>
              <w:rPr>
                <w:rFonts w:hint="eastAsia" w:ascii="黑体" w:hAnsi="黑体" w:eastAsia="黑体" w:cs="黑体"/>
                <w:bCs/>
                <w:sz w:val="28"/>
                <w:szCs w:val="28"/>
              </w:rPr>
              <w:t>存在的主要问题</w:t>
            </w:r>
          </w:p>
          <w:p>
            <w:pPr>
              <w:spacing w:line="400" w:lineRule="exact"/>
              <w:ind w:firstLine="560" w:firstLineChars="200"/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 xml:space="preserve">一是“三公经费”中公务接待费未严格执行公函消费和接待清单制度。 </w:t>
            </w:r>
          </w:p>
          <w:p>
            <w:pPr>
              <w:spacing w:line="400" w:lineRule="exact"/>
              <w:ind w:firstLine="560" w:firstLineChars="200"/>
              <w:rPr>
                <w:rFonts w:hint="eastAsia" w:ascii="黑体" w:hAnsi="黑体" w:eastAsia="黑体" w:cs="黑体"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二是预算编制有待更严格执行。预算编制与实际支出项目有的存在差异。</w:t>
            </w:r>
          </w:p>
          <w:p>
            <w:pPr>
              <w:numPr>
                <w:ilvl w:val="0"/>
                <w:numId w:val="2"/>
              </w:numPr>
              <w:spacing w:line="560" w:lineRule="exact"/>
              <w:ind w:left="0" w:leftChars="0" w:firstLine="560" w:firstLineChars="200"/>
              <w:rPr>
                <w:rFonts w:hint="eastAsia" w:ascii="黑体" w:hAnsi="黑体" w:eastAsia="黑体" w:cs="黑体"/>
                <w:bCs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Cs/>
                <w:sz w:val="28"/>
                <w:szCs w:val="28"/>
              </w:rPr>
              <w:t>改进措施和有关建议</w:t>
            </w:r>
          </w:p>
          <w:p>
            <w:pPr>
              <w:spacing w:line="400" w:lineRule="exact"/>
              <w:ind w:firstLine="560" w:firstLineChars="200"/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一是按照预算规定的项目和用途严格财务审核，经费支出严格按预算规定项目的财务支出内容进行财务核算，在预算金额内严格控制费用的支出。</w:t>
            </w:r>
          </w:p>
          <w:p>
            <w:pPr>
              <w:spacing w:line="400" w:lineRule="exact"/>
              <w:ind w:firstLine="560" w:firstLineChars="200"/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二是严格控制“三公经费”支出，杜绝挪用和挤占其他预算资金；进一步细化“三公经费”管理，压缩“三公经费”支出。</w:t>
            </w:r>
          </w:p>
          <w:p>
            <w:pPr>
              <w:spacing w:line="400" w:lineRule="exact"/>
              <w:ind w:firstLine="560" w:firstLineChars="200"/>
              <w:rPr>
                <w:rFonts w:hint="eastAsia" w:ascii="黑体" w:hAnsi="黑体" w:eastAsia="黑体" w:cs="黑体"/>
                <w:bCs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auto"/>
                <w:sz w:val="28"/>
                <w:szCs w:val="28"/>
              </w:rPr>
              <w:t>三是预算财务分析常态化，定期做好预算支出财务分析，做好部门整体支出预算评价工作。</w:t>
            </w:r>
          </w:p>
          <w:p>
            <w:pPr>
              <w:rPr>
                <w:rFonts w:eastAsia="楷体_GB2312"/>
                <w:bCs/>
                <w:sz w:val="28"/>
                <w:szCs w:val="28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1A0F3C52" w:usb2="00000010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4"/>
        <w:sz w:val="24"/>
        <w:szCs w:val="24"/>
      </w:rPr>
    </w:pPr>
    <w:r>
      <w:rPr>
        <w:rStyle w:val="4"/>
        <w:rFonts w:hint="eastAsia"/>
        <w:sz w:val="24"/>
        <w:szCs w:val="24"/>
        <w:lang w:eastAsia="zh-CN"/>
      </w:rPr>
      <w:t xml:space="preserve">— </w:t>
    </w:r>
    <w:r>
      <w:rPr>
        <w:sz w:val="24"/>
        <w:szCs w:val="24"/>
      </w:rPr>
      <w:fldChar w:fldCharType="begin"/>
    </w:r>
    <w:r>
      <w:rPr>
        <w:rStyle w:val="4"/>
        <w:sz w:val="24"/>
        <w:szCs w:val="24"/>
      </w:rPr>
      <w:instrText xml:space="preserve">PAGE  </w:instrText>
    </w:r>
    <w:r>
      <w:rPr>
        <w:sz w:val="24"/>
        <w:szCs w:val="24"/>
      </w:rPr>
      <w:fldChar w:fldCharType="separate"/>
    </w:r>
    <w:r>
      <w:rPr>
        <w:rStyle w:val="4"/>
        <w:sz w:val="24"/>
        <w:szCs w:val="24"/>
      </w:rPr>
      <w:t>1</w:t>
    </w:r>
    <w:r>
      <w:rPr>
        <w:sz w:val="24"/>
        <w:szCs w:val="24"/>
      </w:rPr>
      <w:fldChar w:fldCharType="end"/>
    </w:r>
    <w:r>
      <w:rPr>
        <w:rStyle w:val="4"/>
        <w:rFonts w:hint="eastAsia"/>
        <w:sz w:val="24"/>
        <w:szCs w:val="24"/>
        <w:lang w:eastAsia="zh-CN"/>
      </w:rPr>
      <w:t xml:space="preserve"> —</w:t>
    </w:r>
  </w:p>
  <w:p>
    <w:pPr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framePr w:wrap="around" w:vAnchor="text" w:hAnchor="margin" w:xAlign="outside" w:y="1"/>
    </w:pPr>
    <w:r>
      <w:fldChar w:fldCharType="begin"/>
    </w:r>
    <w:r>
      <w:instrText xml:space="preserve">PAGE  </w:instrText>
    </w:r>
    <w:r>
      <w:fldChar w:fldCharType="separate"/>
    </w:r>
    <w:r>
      <w:t>- 15 -</w:t>
    </w:r>
    <w:r>
      <w:fldChar w:fldCharType="end"/>
    </w:r>
  </w:p>
  <w:p>
    <w:pPr>
      <w:ind w:right="360" w:firstLine="360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31C7D71"/>
    <w:multiLevelType w:val="singleLevel"/>
    <w:tmpl w:val="F31C7D71"/>
    <w:lvl w:ilvl="0" w:tentative="0">
      <w:start w:val="5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10373D6"/>
    <w:multiLevelType w:val="multilevel"/>
    <w:tmpl w:val="010373D6"/>
    <w:lvl w:ilvl="0" w:tentative="0">
      <w:start w:val="1"/>
      <w:numFmt w:val="japaneseCounting"/>
      <w:lvlText w:val="（%1）"/>
      <w:lvlJc w:val="left"/>
      <w:pPr>
        <w:tabs>
          <w:tab w:val="left" w:pos="720"/>
        </w:tabs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8146B58"/>
    <w:rsid w:val="0EC80CC2"/>
    <w:rsid w:val="4CBD6EF8"/>
    <w:rsid w:val="51655B8D"/>
    <w:rsid w:val="55364E11"/>
    <w:rsid w:val="58146B58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character" w:styleId="4">
    <w:name w:val="page numb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es_1.0.0.3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2018-05-23T03:19:00Z</dcterms:created>
  <dc:creator>Administrator</dc:creator>
  <cp:lastModifiedBy>Administrator</cp:lastModifiedBy>
  <dcterms:modified xsi:type="dcterms:W3CDTF">2018-08-02T03:44:45Z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