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48" w:lineRule="auto"/>
        <w:jc w:val="center"/>
        <w:rPr>
          <w:rFonts w:hint="eastAsia" w:eastAsia="方正小标宋简体"/>
          <w:bCs/>
          <w:sz w:val="42"/>
          <w:szCs w:val="42"/>
        </w:rPr>
      </w:pPr>
      <w:bookmarkStart w:id="0" w:name="_GoBack"/>
      <w:bookmarkEnd w:id="0"/>
    </w:p>
    <w:p>
      <w:pPr>
        <w:spacing w:line="800" w:lineRule="exact"/>
        <w:jc w:val="center"/>
        <w:rPr>
          <w:rFonts w:hint="eastAsia" w:eastAsia="方正小标宋简体"/>
          <w:bCs/>
          <w:sz w:val="46"/>
          <w:szCs w:val="46"/>
        </w:rPr>
      </w:pPr>
      <w:r>
        <w:rPr>
          <w:rFonts w:hint="eastAsia" w:eastAsia="方正小标宋简体"/>
          <w:bCs/>
          <w:sz w:val="46"/>
          <w:szCs w:val="46"/>
        </w:rPr>
        <w:t>岳阳</w:t>
      </w:r>
      <w:r>
        <w:rPr>
          <w:rFonts w:hint="eastAsia" w:eastAsia="方正小标宋简体"/>
          <w:bCs/>
          <w:sz w:val="46"/>
          <w:szCs w:val="46"/>
          <w:lang w:eastAsia="zh-CN"/>
        </w:rPr>
        <w:t>区</w:t>
      </w:r>
      <w:r>
        <w:rPr>
          <w:rFonts w:hint="eastAsia" w:eastAsia="方正小标宋简体"/>
          <w:bCs/>
          <w:sz w:val="46"/>
          <w:szCs w:val="46"/>
        </w:rPr>
        <w:t>20</w:t>
      </w:r>
      <w:r>
        <w:rPr>
          <w:rFonts w:hint="eastAsia" w:eastAsia="方正小标宋简体"/>
          <w:bCs/>
          <w:sz w:val="46"/>
          <w:szCs w:val="46"/>
          <w:lang w:val="en-US" w:eastAsia="zh-CN"/>
        </w:rPr>
        <w:t>17</w:t>
      </w:r>
      <w:r>
        <w:rPr>
          <w:rFonts w:hint="eastAsia" w:eastAsia="方正小标宋简体"/>
          <w:bCs/>
          <w:sz w:val="46"/>
          <w:szCs w:val="46"/>
        </w:rPr>
        <w:t>年度部门（单位）整体支出</w:t>
      </w:r>
    </w:p>
    <w:p>
      <w:pPr>
        <w:spacing w:line="800" w:lineRule="exact"/>
        <w:jc w:val="center"/>
        <w:rPr>
          <w:rFonts w:hint="eastAsia" w:eastAsia="方正小标宋简体"/>
          <w:bCs/>
          <w:sz w:val="46"/>
          <w:szCs w:val="46"/>
        </w:rPr>
      </w:pPr>
      <w:r>
        <w:rPr>
          <w:rFonts w:hint="eastAsia" w:eastAsia="方正小标宋简体"/>
          <w:bCs/>
          <w:sz w:val="46"/>
          <w:szCs w:val="46"/>
        </w:rPr>
        <w:t>绩效评价自评报告</w:t>
      </w:r>
    </w:p>
    <w:p>
      <w:pPr>
        <w:rPr>
          <w:rFonts w:hint="eastAsia" w:eastAsia="仿宋_GB2312"/>
          <w:b/>
          <w:sz w:val="32"/>
        </w:rPr>
      </w:pPr>
    </w:p>
    <w:p>
      <w:pPr>
        <w:rPr>
          <w:rFonts w:hint="eastAsia" w:eastAsia="仿宋_GB2312"/>
          <w:b/>
          <w:sz w:val="32"/>
        </w:rPr>
      </w:pPr>
    </w:p>
    <w:p>
      <w:pPr>
        <w:rPr>
          <w:rFonts w:hint="eastAsia" w:eastAsia="仿宋_GB2312"/>
          <w:b/>
          <w:sz w:val="32"/>
        </w:rPr>
      </w:pPr>
    </w:p>
    <w:p>
      <w:pPr>
        <w:spacing w:before="301" w:beforeLines="50" w:line="348" w:lineRule="auto"/>
        <w:ind w:firstLine="476" w:firstLineChars="150"/>
        <w:rPr>
          <w:rFonts w:hint="eastAsia" w:eastAsia="仿宋_GB2312"/>
          <w:sz w:val="32"/>
          <w:szCs w:val="32"/>
          <w:u w:val="single"/>
        </w:rPr>
      </w:pPr>
      <w:r>
        <w:rPr>
          <w:rFonts w:hint="eastAsia" w:eastAsia="仿宋_GB2312"/>
          <w:sz w:val="32"/>
          <w:szCs w:val="32"/>
        </w:rPr>
        <w:t>部门(单位)名称：</w:t>
      </w:r>
      <w:r>
        <w:rPr>
          <w:rFonts w:hint="eastAsia" w:eastAsia="仿宋_GB2312"/>
          <w:sz w:val="32"/>
          <w:szCs w:val="32"/>
          <w:u w:val="single"/>
        </w:rPr>
        <w:t xml:space="preserve">     </w:t>
      </w:r>
      <w:r>
        <w:rPr>
          <w:rFonts w:hint="eastAsia" w:eastAsia="仿宋_GB2312"/>
          <w:sz w:val="32"/>
          <w:szCs w:val="32"/>
          <w:u w:val="single"/>
          <w:lang w:eastAsia="zh-CN"/>
        </w:rPr>
        <w:t>共青团君山区委员会</w:t>
      </w:r>
      <w:r>
        <w:rPr>
          <w:rFonts w:hint="eastAsia" w:eastAsia="仿宋_GB2312"/>
          <w:sz w:val="32"/>
          <w:szCs w:val="32"/>
          <w:u w:val="single"/>
        </w:rPr>
        <w:t xml:space="preserve">                              </w:t>
      </w:r>
    </w:p>
    <w:p>
      <w:pPr>
        <w:spacing w:before="301" w:beforeLines="50" w:line="348" w:lineRule="auto"/>
        <w:ind w:firstLine="476" w:firstLineChars="150"/>
        <w:rPr>
          <w:rFonts w:hint="eastAsia" w:eastAsia="仿宋_GB2312"/>
          <w:spacing w:val="20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预</w:t>
      </w:r>
      <w:r>
        <w:rPr>
          <w:rFonts w:hint="eastAsia" w:eastAsia="仿宋_GB2312"/>
          <w:spacing w:val="30"/>
          <w:sz w:val="32"/>
          <w:szCs w:val="32"/>
        </w:rPr>
        <w:t xml:space="preserve"> 算 编 码：</w:t>
      </w:r>
      <w:r>
        <w:rPr>
          <w:rFonts w:hint="eastAsia" w:eastAsia="仿宋_GB2312"/>
          <w:spacing w:val="20"/>
          <w:sz w:val="32"/>
          <w:szCs w:val="32"/>
          <w:u w:val="single"/>
        </w:rPr>
        <w:t xml:space="preserve">     </w:t>
      </w:r>
      <w:r>
        <w:rPr>
          <w:rFonts w:hint="eastAsia" w:eastAsia="仿宋_GB2312"/>
          <w:spacing w:val="20"/>
          <w:sz w:val="32"/>
          <w:szCs w:val="32"/>
          <w:u w:val="single"/>
          <w:lang w:val="en-US" w:eastAsia="zh-CN"/>
        </w:rPr>
        <w:t>116</w:t>
      </w:r>
      <w:r>
        <w:rPr>
          <w:rFonts w:hint="eastAsia" w:eastAsia="仿宋_GB2312"/>
          <w:spacing w:val="20"/>
          <w:sz w:val="32"/>
          <w:szCs w:val="32"/>
          <w:u w:val="single"/>
        </w:rPr>
        <w:t xml:space="preserve">                       </w:t>
      </w:r>
    </w:p>
    <w:p>
      <w:pPr>
        <w:spacing w:before="301" w:beforeLines="50" w:line="348" w:lineRule="auto"/>
        <w:ind w:firstLine="476" w:firstLineChars="150"/>
        <w:rPr>
          <w:rFonts w:hint="eastAsia"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评价方式：部门（单位）绩效自评</w:t>
      </w:r>
    </w:p>
    <w:p>
      <w:pPr>
        <w:spacing w:before="301" w:beforeLines="50" w:line="348" w:lineRule="auto"/>
        <w:ind w:firstLine="476" w:firstLineChars="150"/>
        <w:rPr>
          <w:rFonts w:hint="eastAsia"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 xml:space="preserve">评价机构：部门（单位）评价组   </w:t>
      </w:r>
    </w:p>
    <w:p>
      <w:pPr>
        <w:spacing w:line="348" w:lineRule="auto"/>
        <w:ind w:firstLine="2188" w:firstLineChars="690"/>
        <w:rPr>
          <w:rFonts w:hint="eastAsia" w:eastAsia="仿宋_GB2312"/>
          <w:sz w:val="32"/>
        </w:rPr>
      </w:pPr>
    </w:p>
    <w:p>
      <w:pPr>
        <w:spacing w:line="348" w:lineRule="auto"/>
        <w:ind w:firstLine="2188" w:firstLineChars="690"/>
        <w:rPr>
          <w:rFonts w:hint="eastAsia" w:eastAsia="仿宋_GB2312"/>
          <w:sz w:val="32"/>
        </w:rPr>
      </w:pPr>
    </w:p>
    <w:p>
      <w:pPr>
        <w:spacing w:line="348" w:lineRule="auto"/>
        <w:jc w:val="center"/>
        <w:rPr>
          <w:rFonts w:hint="eastAsia" w:eastAsia="仿宋_GB2312"/>
          <w:sz w:val="32"/>
        </w:rPr>
      </w:pPr>
      <w:r>
        <w:rPr>
          <w:rFonts w:hint="eastAsia" w:eastAsia="仿宋_GB2312"/>
          <w:sz w:val="32"/>
        </w:rPr>
        <w:t xml:space="preserve">报告日期： </w:t>
      </w:r>
      <w:r>
        <w:rPr>
          <w:rFonts w:hint="eastAsia" w:eastAsia="仿宋_GB2312"/>
          <w:sz w:val="32"/>
          <w:lang w:val="en-US" w:eastAsia="zh-CN"/>
        </w:rPr>
        <w:t>2018</w:t>
      </w:r>
      <w:r>
        <w:rPr>
          <w:rFonts w:hint="eastAsia" w:eastAsia="仿宋_GB2312"/>
          <w:sz w:val="32"/>
        </w:rPr>
        <w:t xml:space="preserve">  年  </w:t>
      </w:r>
      <w:r>
        <w:rPr>
          <w:rFonts w:hint="eastAsia" w:eastAsia="仿宋_GB2312"/>
          <w:sz w:val="32"/>
          <w:lang w:val="en-US" w:eastAsia="zh-CN"/>
        </w:rPr>
        <w:t>7</w:t>
      </w:r>
      <w:r>
        <w:rPr>
          <w:rFonts w:hint="eastAsia" w:eastAsia="仿宋_GB2312"/>
          <w:sz w:val="32"/>
        </w:rPr>
        <w:t xml:space="preserve"> 月  </w:t>
      </w:r>
      <w:r>
        <w:rPr>
          <w:rFonts w:hint="eastAsia" w:eastAsia="仿宋_GB2312"/>
          <w:sz w:val="32"/>
          <w:lang w:val="en-US" w:eastAsia="zh-CN"/>
        </w:rPr>
        <w:t>13</w:t>
      </w:r>
      <w:r>
        <w:rPr>
          <w:rFonts w:hint="eastAsia" w:eastAsia="仿宋_GB2312"/>
          <w:sz w:val="32"/>
        </w:rPr>
        <w:t xml:space="preserve"> 日</w:t>
      </w:r>
    </w:p>
    <w:p>
      <w:pPr>
        <w:autoSpaceDN w:val="0"/>
        <w:jc w:val="center"/>
        <w:textAlignment w:val="center"/>
        <w:rPr>
          <w:rFonts w:hint="eastAsia" w:eastAsia="仿宋_GB2312"/>
          <w:sz w:val="32"/>
          <w:szCs w:val="32"/>
        </w:rPr>
        <w:sectPr>
          <w:footerReference r:id="rId3" w:type="default"/>
          <w:footerReference r:id="rId4" w:type="even"/>
          <w:pgSz w:w="11906" w:h="16838"/>
          <w:pgMar w:top="1588" w:right="1588" w:bottom="1588" w:left="1588" w:header="851" w:footer="992" w:gutter="0"/>
          <w:pgNumType w:start="1"/>
          <w:cols w:space="720" w:num="1"/>
          <w:docGrid w:type="linesAndChars" w:linePitch="602" w:charSpace="-782"/>
        </w:sectPr>
      </w:pPr>
      <w:r>
        <w:rPr>
          <w:rFonts w:hint="eastAsia" w:eastAsia="仿宋_GB2312"/>
          <w:sz w:val="32"/>
        </w:rPr>
        <w:t>岳阳</w:t>
      </w:r>
      <w:r>
        <w:rPr>
          <w:rFonts w:hint="eastAsia" w:eastAsia="仿宋_GB2312"/>
          <w:sz w:val="32"/>
          <w:lang w:eastAsia="zh-CN"/>
        </w:rPr>
        <w:t>区</w:t>
      </w:r>
      <w:r>
        <w:rPr>
          <w:rFonts w:hint="eastAsia" w:eastAsia="仿宋_GB2312"/>
          <w:sz w:val="32"/>
        </w:rPr>
        <w:t>财政</w:t>
      </w:r>
      <w:r>
        <w:rPr>
          <w:rFonts w:hint="eastAsia" w:eastAsia="仿宋_GB2312"/>
          <w:sz w:val="32"/>
          <w:szCs w:val="32"/>
        </w:rPr>
        <w:t>局（制）</w:t>
      </w:r>
    </w:p>
    <w:tbl>
      <w:tblPr>
        <w:tblStyle w:val="7"/>
        <w:tblW w:w="9800" w:type="dxa"/>
        <w:jc w:val="center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5" w:type="dxa"/>
          <w:bottom w:w="0" w:type="dxa"/>
          <w:right w:w="15" w:type="dxa"/>
        </w:tblCellMar>
      </w:tblPr>
      <w:tblGrid>
        <w:gridCol w:w="1441"/>
        <w:gridCol w:w="213"/>
        <w:gridCol w:w="46"/>
        <w:gridCol w:w="1080"/>
        <w:gridCol w:w="210"/>
        <w:gridCol w:w="1145"/>
        <w:gridCol w:w="272"/>
        <w:gridCol w:w="808"/>
        <w:gridCol w:w="1479"/>
        <w:gridCol w:w="226"/>
        <w:gridCol w:w="196"/>
        <w:gridCol w:w="259"/>
        <w:gridCol w:w="1080"/>
        <w:gridCol w:w="265"/>
        <w:gridCol w:w="139"/>
        <w:gridCol w:w="316"/>
        <w:gridCol w:w="62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9800" w:type="dxa"/>
            <w:gridSpan w:val="17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黑体" w:hAnsi="黑体" w:eastAsia="黑体" w:cs="黑体"/>
                <w:color w:val="000000"/>
                <w:sz w:val="28"/>
                <w:szCs w:val="28"/>
              </w:rPr>
              <w:t>一、部门（单位）基本概况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654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联系人</w:t>
            </w:r>
          </w:p>
        </w:tc>
        <w:tc>
          <w:tcPr>
            <w:tcW w:w="3561" w:type="dxa"/>
            <w:gridSpan w:val="6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eastAsia="zh-CN"/>
              </w:rPr>
              <w:t>代颖慧</w:t>
            </w:r>
          </w:p>
        </w:tc>
        <w:tc>
          <w:tcPr>
            <w:tcW w:w="1479" w:type="dxa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联络电话</w:t>
            </w:r>
          </w:p>
        </w:tc>
        <w:tc>
          <w:tcPr>
            <w:tcW w:w="3106" w:type="dxa"/>
            <w:gridSpan w:val="8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18273051007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654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人员编制</w:t>
            </w:r>
          </w:p>
        </w:tc>
        <w:tc>
          <w:tcPr>
            <w:tcW w:w="3561" w:type="dxa"/>
            <w:gridSpan w:val="6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1</w:t>
            </w:r>
          </w:p>
        </w:tc>
        <w:tc>
          <w:tcPr>
            <w:tcW w:w="1479" w:type="dxa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实有人数</w:t>
            </w:r>
          </w:p>
        </w:tc>
        <w:tc>
          <w:tcPr>
            <w:tcW w:w="3106" w:type="dxa"/>
            <w:gridSpan w:val="8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1500" w:hRule="atLeast"/>
          <w:jc w:val="center"/>
        </w:trPr>
        <w:tc>
          <w:tcPr>
            <w:tcW w:w="1654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职能职责概述</w:t>
            </w:r>
          </w:p>
        </w:tc>
        <w:tc>
          <w:tcPr>
            <w:tcW w:w="8146" w:type="dxa"/>
            <w:gridSpan w:val="15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认真研究和把握新形势下青年工作的规律，积极探索组织、引导、服务、联系青年的新途径，充分发挥了共青团作为党的助手和后备军、党联系青年群众的桥梁纽带作用。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2464" w:hRule="atLeast"/>
          <w:jc w:val="center"/>
        </w:trPr>
        <w:tc>
          <w:tcPr>
            <w:tcW w:w="1654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年度主要</w:t>
            </w:r>
          </w:p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工作内容</w:t>
            </w:r>
          </w:p>
        </w:tc>
        <w:tc>
          <w:tcPr>
            <w:tcW w:w="8146" w:type="dxa"/>
            <w:gridSpan w:val="15"/>
            <w:vAlign w:val="center"/>
          </w:tcPr>
          <w:p>
            <w:pPr>
              <w:autoSpaceDN w:val="0"/>
              <w:spacing w:line="4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任务1：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eastAsia="zh-CN"/>
              </w:rPr>
              <w:t>开展学习十九大精神等系列活动</w:t>
            </w:r>
          </w:p>
          <w:p>
            <w:pPr>
              <w:autoSpaceDN w:val="0"/>
              <w:spacing w:line="4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任务2：学雷锋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eastAsia="zh-CN"/>
              </w:rPr>
              <w:t>月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、植树节、五四青年节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eastAsia="zh-CN"/>
              </w:rPr>
              <w:t>、清明节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等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eastAsia="zh-CN"/>
              </w:rPr>
              <w:t>重大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节日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eastAsia="zh-CN"/>
              </w:rPr>
              <w:t>、重要时间节点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常规活动开展</w:t>
            </w:r>
          </w:p>
          <w:p>
            <w:pPr>
              <w:autoSpaceDN w:val="0"/>
              <w:spacing w:line="4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eastAsia="zh-CN"/>
              </w:rPr>
              <w:t>任务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3：开展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金秋爱心助学活动</w:t>
            </w:r>
          </w:p>
          <w:p>
            <w:pPr>
              <w:autoSpaceDN w:val="0"/>
              <w:spacing w:line="4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任务4：“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eastAsia="zh-CN"/>
              </w:rPr>
              <w:t>缘起君山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·情定领岛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”君山区青年联谊活动</w:t>
            </w:r>
          </w:p>
          <w:p>
            <w:pPr>
              <w:autoSpaceDN w:val="0"/>
              <w:spacing w:line="4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任务5：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eastAsia="zh-CN"/>
              </w:rPr>
              <w:t>以美丽乡村建设为统领，做好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关爱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eastAsia="zh-CN"/>
              </w:rPr>
              <w:t>农村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留守儿童、空巢老人志愿者“送温暖”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eastAsia="zh-CN"/>
              </w:rPr>
              <w:t>、文明创建等系列志愿者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活动</w:t>
            </w:r>
          </w:p>
          <w:p>
            <w:pPr>
              <w:autoSpaceDN w:val="0"/>
              <w:spacing w:line="4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Cs w:val="21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任务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6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：</w:t>
            </w:r>
            <w:r>
              <w:rPr>
                <w:rFonts w:hint="eastAsia" w:ascii="仿宋_GB2312" w:hAnsi="仿宋_GB2312" w:eastAsia="仿宋_GB2312" w:cs="仿宋_GB2312"/>
                <w:color w:val="000000"/>
                <w:szCs w:val="21"/>
                <w:lang w:eastAsia="zh-CN"/>
              </w:rPr>
              <w:t>团干轮训、从严治团、十佳青年岗位能手推选等相关活动</w:t>
            </w: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Cs w:val="21"/>
              </w:rPr>
              <w:t>任务</w:t>
            </w:r>
            <w:r>
              <w:rPr>
                <w:rFonts w:hint="eastAsia" w:ascii="仿宋_GB2312" w:hAnsi="仿宋_GB2312" w:eastAsia="仿宋_GB2312" w:cs="仿宋_GB2312"/>
                <w:color w:val="000000"/>
                <w:szCs w:val="21"/>
                <w:lang w:val="en-US" w:eastAsia="zh-CN"/>
              </w:rPr>
              <w:t>7</w:t>
            </w:r>
            <w:r>
              <w:rPr>
                <w:rFonts w:hint="eastAsia" w:ascii="仿宋_GB2312" w:hAnsi="仿宋_GB2312" w:eastAsia="仿宋_GB2312" w:cs="仿宋_GB2312"/>
                <w:color w:val="000000"/>
                <w:szCs w:val="21"/>
              </w:rPr>
              <w:t>：</w:t>
            </w:r>
            <w:r>
              <w:rPr>
                <w:rFonts w:hint="eastAsia" w:ascii="仿宋_GB2312" w:hAnsi="仿宋_GB2312" w:eastAsia="仿宋_GB2312" w:cs="仿宋_GB2312"/>
                <w:color w:val="000000"/>
                <w:szCs w:val="21"/>
                <w:lang w:eastAsia="zh-CN"/>
              </w:rPr>
              <w:t>加强团属</w:t>
            </w:r>
            <w:r>
              <w:rPr>
                <w:rFonts w:hint="eastAsia" w:ascii="仿宋_GB2312" w:hAnsi="仿宋_GB2312" w:eastAsia="仿宋_GB2312" w:cs="仿宋_GB2312"/>
                <w:color w:val="000000"/>
                <w:szCs w:val="21"/>
                <w:lang w:val="en-US" w:eastAsia="zh-CN"/>
              </w:rPr>
              <w:t>新媒体建设</w:t>
            </w: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Cs w:val="21"/>
                <w:lang w:eastAsia="zh-CN"/>
              </w:rPr>
              <w:t>任务</w:t>
            </w:r>
            <w:r>
              <w:rPr>
                <w:rFonts w:hint="eastAsia" w:ascii="仿宋_GB2312" w:hAnsi="仿宋_GB2312" w:eastAsia="仿宋_GB2312" w:cs="仿宋_GB2312"/>
                <w:color w:val="000000"/>
                <w:szCs w:val="21"/>
                <w:lang w:val="en-US" w:eastAsia="zh-CN"/>
              </w:rPr>
              <w:t>8：</w:t>
            </w:r>
            <w:r>
              <w:rPr>
                <w:rFonts w:hint="eastAsia" w:ascii="仿宋_GB2312" w:hAnsi="仿宋_GB2312" w:eastAsia="仿宋_GB2312" w:cs="仿宋_GB2312"/>
                <w:color w:val="000000"/>
                <w:szCs w:val="21"/>
              </w:rPr>
              <w:t>完成</w:t>
            </w:r>
            <w:r>
              <w:rPr>
                <w:rFonts w:hint="eastAsia" w:ascii="仿宋_GB2312" w:hAnsi="仿宋_GB2312" w:eastAsia="仿宋_GB2312" w:cs="仿宋_GB2312"/>
                <w:color w:val="000000"/>
                <w:szCs w:val="21"/>
                <w:lang w:eastAsia="zh-CN"/>
              </w:rPr>
              <w:t>上级团组织和党政</w:t>
            </w:r>
            <w:r>
              <w:rPr>
                <w:rFonts w:hint="eastAsia" w:ascii="仿宋_GB2312" w:hAnsi="仿宋_GB2312" w:eastAsia="仿宋_GB2312" w:cs="仿宋_GB2312"/>
                <w:color w:val="000000"/>
                <w:szCs w:val="21"/>
              </w:rPr>
              <w:t>交办下来的</w:t>
            </w:r>
            <w:r>
              <w:rPr>
                <w:rFonts w:hint="eastAsia" w:ascii="仿宋_GB2312" w:hAnsi="仿宋_GB2312" w:eastAsia="仿宋_GB2312" w:cs="仿宋_GB2312"/>
                <w:color w:val="000000"/>
                <w:szCs w:val="21"/>
                <w:lang w:eastAsia="zh-CN"/>
              </w:rPr>
              <w:t>其他</w:t>
            </w:r>
            <w:r>
              <w:rPr>
                <w:rFonts w:hint="eastAsia" w:ascii="仿宋_GB2312" w:hAnsi="仿宋_GB2312" w:eastAsia="仿宋_GB2312" w:cs="仿宋_GB2312"/>
                <w:color w:val="000000"/>
                <w:szCs w:val="21"/>
              </w:rPr>
              <w:t>工作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2260" w:hRule="atLeast"/>
          <w:jc w:val="center"/>
        </w:trPr>
        <w:tc>
          <w:tcPr>
            <w:tcW w:w="1654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pacing w:val="-6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pacing w:val="-6"/>
                <w:sz w:val="24"/>
              </w:rPr>
              <w:t>年度部门（单位）总体运行情况及取得的成绩</w:t>
            </w:r>
          </w:p>
        </w:tc>
        <w:tc>
          <w:tcPr>
            <w:tcW w:w="8146" w:type="dxa"/>
            <w:gridSpan w:val="15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从整体上看，我委资金项目决策正确，资金管理规范，项目管理到位，政策执行有力，有效地发挥了财政资金的使用效率。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9800" w:type="dxa"/>
            <w:gridSpan w:val="17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黑体" w:hAnsi="黑体" w:eastAsia="黑体" w:cs="黑体"/>
                <w:color w:val="000000"/>
                <w:sz w:val="28"/>
                <w:szCs w:val="28"/>
              </w:rPr>
              <w:t>二、部门（单位）收支情况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9800" w:type="dxa"/>
            <w:gridSpan w:val="17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sz w:val="24"/>
              </w:rPr>
              <w:t>年度收入情况（万元）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700" w:type="dxa"/>
            <w:gridSpan w:val="3"/>
            <w:vMerge w:val="restart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机构名称</w:t>
            </w:r>
          </w:p>
        </w:tc>
        <w:tc>
          <w:tcPr>
            <w:tcW w:w="1080" w:type="dxa"/>
            <w:vMerge w:val="restart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收入合计</w:t>
            </w:r>
          </w:p>
        </w:tc>
        <w:tc>
          <w:tcPr>
            <w:tcW w:w="7020" w:type="dxa"/>
            <w:gridSpan w:val="13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其中：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1014" w:hRule="atLeast"/>
          <w:jc w:val="center"/>
        </w:trPr>
        <w:tc>
          <w:tcPr>
            <w:tcW w:w="1700" w:type="dxa"/>
            <w:gridSpan w:val="3"/>
            <w:vMerge w:val="continue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080" w:type="dxa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355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上年结转</w:t>
            </w:r>
          </w:p>
        </w:tc>
        <w:tc>
          <w:tcPr>
            <w:tcW w:w="1080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公共财</w:t>
            </w:r>
          </w:p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政拨款</w:t>
            </w:r>
          </w:p>
        </w:tc>
        <w:tc>
          <w:tcPr>
            <w:tcW w:w="1705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政府基金拨款</w:t>
            </w:r>
          </w:p>
        </w:tc>
        <w:tc>
          <w:tcPr>
            <w:tcW w:w="1800" w:type="dxa"/>
            <w:gridSpan w:val="4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纳入专户管理的非税收入拨款</w:t>
            </w:r>
          </w:p>
        </w:tc>
        <w:tc>
          <w:tcPr>
            <w:tcW w:w="1080" w:type="dxa"/>
            <w:gridSpan w:val="3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其他</w:t>
            </w:r>
          </w:p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收入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772" w:hRule="atLeast"/>
          <w:jc w:val="center"/>
        </w:trPr>
        <w:tc>
          <w:tcPr>
            <w:tcW w:w="1700" w:type="dxa"/>
            <w:gridSpan w:val="3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局机关及二级机构汇总</w:t>
            </w:r>
          </w:p>
        </w:tc>
        <w:tc>
          <w:tcPr>
            <w:tcW w:w="1080" w:type="dxa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27.77</w:t>
            </w:r>
          </w:p>
        </w:tc>
        <w:tc>
          <w:tcPr>
            <w:tcW w:w="1355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0</w:t>
            </w:r>
          </w:p>
        </w:tc>
        <w:tc>
          <w:tcPr>
            <w:tcW w:w="1080" w:type="dxa"/>
            <w:gridSpan w:val="2"/>
            <w:vAlign w:val="center"/>
          </w:tcPr>
          <w:p>
            <w:pPr>
              <w:autoSpaceDN w:val="0"/>
              <w:spacing w:line="320" w:lineRule="exact"/>
              <w:ind w:firstLine="240" w:firstLineChars="10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27.77</w:t>
            </w:r>
          </w:p>
        </w:tc>
        <w:tc>
          <w:tcPr>
            <w:tcW w:w="1705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0</w:t>
            </w:r>
          </w:p>
        </w:tc>
        <w:tc>
          <w:tcPr>
            <w:tcW w:w="1800" w:type="dxa"/>
            <w:gridSpan w:val="4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0</w:t>
            </w:r>
          </w:p>
        </w:tc>
        <w:tc>
          <w:tcPr>
            <w:tcW w:w="1080" w:type="dxa"/>
            <w:gridSpan w:val="3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700" w:type="dxa"/>
            <w:gridSpan w:val="3"/>
            <w:vAlign w:val="center"/>
          </w:tcPr>
          <w:p>
            <w:pPr>
              <w:spacing w:line="320" w:lineRule="exact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1、局机关</w:t>
            </w:r>
          </w:p>
        </w:tc>
        <w:tc>
          <w:tcPr>
            <w:tcW w:w="1080" w:type="dxa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27.77</w:t>
            </w:r>
          </w:p>
        </w:tc>
        <w:tc>
          <w:tcPr>
            <w:tcW w:w="1355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0</w:t>
            </w:r>
          </w:p>
        </w:tc>
        <w:tc>
          <w:tcPr>
            <w:tcW w:w="1080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27.77</w:t>
            </w:r>
          </w:p>
        </w:tc>
        <w:tc>
          <w:tcPr>
            <w:tcW w:w="1705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0</w:t>
            </w:r>
          </w:p>
        </w:tc>
        <w:tc>
          <w:tcPr>
            <w:tcW w:w="1800" w:type="dxa"/>
            <w:gridSpan w:val="4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0</w:t>
            </w:r>
          </w:p>
        </w:tc>
        <w:tc>
          <w:tcPr>
            <w:tcW w:w="1080" w:type="dxa"/>
            <w:gridSpan w:val="3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700" w:type="dxa"/>
            <w:gridSpan w:val="3"/>
            <w:vAlign w:val="center"/>
          </w:tcPr>
          <w:p>
            <w:pPr>
              <w:spacing w:line="320" w:lineRule="exact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2、二级机构1</w:t>
            </w:r>
          </w:p>
        </w:tc>
        <w:tc>
          <w:tcPr>
            <w:tcW w:w="1080" w:type="dxa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355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080" w:type="dxa"/>
            <w:gridSpan w:val="2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705" w:type="dxa"/>
            <w:gridSpan w:val="2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800" w:type="dxa"/>
            <w:gridSpan w:val="4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080" w:type="dxa"/>
            <w:gridSpan w:val="3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700" w:type="dxa"/>
            <w:gridSpan w:val="3"/>
            <w:vAlign w:val="center"/>
          </w:tcPr>
          <w:p>
            <w:pPr>
              <w:spacing w:line="320" w:lineRule="exact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3、二级机构2</w:t>
            </w:r>
          </w:p>
        </w:tc>
        <w:tc>
          <w:tcPr>
            <w:tcW w:w="1080" w:type="dxa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355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080" w:type="dxa"/>
            <w:gridSpan w:val="2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705" w:type="dxa"/>
            <w:gridSpan w:val="2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800" w:type="dxa"/>
            <w:gridSpan w:val="4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080" w:type="dxa"/>
            <w:gridSpan w:val="3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9800" w:type="dxa"/>
            <w:gridSpan w:val="17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sz w:val="24"/>
              </w:rPr>
              <w:t>部门（单位）年度支出和结余情况（万元）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700" w:type="dxa"/>
            <w:gridSpan w:val="3"/>
            <w:vMerge w:val="restart"/>
            <w:vAlign w:val="center"/>
          </w:tcPr>
          <w:p>
            <w:pPr>
              <w:snapToGrid w:val="0"/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机构名称</w:t>
            </w:r>
          </w:p>
        </w:tc>
        <w:tc>
          <w:tcPr>
            <w:tcW w:w="1080" w:type="dxa"/>
            <w:vMerge w:val="restart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支出合计</w:t>
            </w:r>
          </w:p>
        </w:tc>
        <w:tc>
          <w:tcPr>
            <w:tcW w:w="5675" w:type="dxa"/>
            <w:gridSpan w:val="9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其中：</w:t>
            </w:r>
          </w:p>
        </w:tc>
        <w:tc>
          <w:tcPr>
            <w:tcW w:w="1345" w:type="dxa"/>
            <w:gridSpan w:val="4"/>
            <w:tcBorders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结余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700" w:type="dxa"/>
            <w:gridSpan w:val="3"/>
            <w:vMerge w:val="continue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080" w:type="dxa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355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基本支出</w:t>
            </w:r>
          </w:p>
        </w:tc>
        <w:tc>
          <w:tcPr>
            <w:tcW w:w="3240" w:type="dxa"/>
            <w:gridSpan w:val="6"/>
            <w:tcBorders>
              <w:top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其中：</w:t>
            </w:r>
          </w:p>
        </w:tc>
        <w:tc>
          <w:tcPr>
            <w:tcW w:w="1080" w:type="dxa"/>
            <w:vMerge w:val="restart"/>
            <w:tcBorders>
              <w:top w:val="single" w:color="auto" w:sz="4" w:space="0"/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项目支出</w:t>
            </w:r>
          </w:p>
        </w:tc>
        <w:tc>
          <w:tcPr>
            <w:tcW w:w="720" w:type="dxa"/>
            <w:gridSpan w:val="3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当年结余</w:t>
            </w:r>
          </w:p>
        </w:tc>
        <w:tc>
          <w:tcPr>
            <w:tcW w:w="625" w:type="dxa"/>
            <w:vMerge w:val="restart"/>
            <w:tcBorders>
              <w:top w:val="single" w:color="auto" w:sz="4" w:space="0"/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累计结余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700" w:type="dxa"/>
            <w:gridSpan w:val="3"/>
            <w:vMerge w:val="continue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080" w:type="dxa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355" w:type="dxa"/>
            <w:gridSpan w:val="2"/>
            <w:vMerge w:val="continue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080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人员支出</w:t>
            </w:r>
          </w:p>
        </w:tc>
        <w:tc>
          <w:tcPr>
            <w:tcW w:w="2160" w:type="dxa"/>
            <w:gridSpan w:val="4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公用支出</w:t>
            </w:r>
          </w:p>
        </w:tc>
        <w:tc>
          <w:tcPr>
            <w:tcW w:w="1080" w:type="dxa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720" w:type="dxa"/>
            <w:gridSpan w:val="3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625" w:type="dxa"/>
            <w:vMerge w:val="continue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877" w:hRule="atLeast"/>
          <w:jc w:val="center"/>
        </w:trPr>
        <w:tc>
          <w:tcPr>
            <w:tcW w:w="1700" w:type="dxa"/>
            <w:gridSpan w:val="3"/>
            <w:vAlign w:val="center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局机关及二级机构汇总</w:t>
            </w:r>
          </w:p>
        </w:tc>
        <w:tc>
          <w:tcPr>
            <w:tcW w:w="1080" w:type="dxa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27.77</w:t>
            </w:r>
          </w:p>
        </w:tc>
        <w:tc>
          <w:tcPr>
            <w:tcW w:w="1355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11.77</w:t>
            </w:r>
          </w:p>
        </w:tc>
        <w:tc>
          <w:tcPr>
            <w:tcW w:w="1080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10.2</w:t>
            </w:r>
          </w:p>
        </w:tc>
        <w:tc>
          <w:tcPr>
            <w:tcW w:w="2160" w:type="dxa"/>
            <w:gridSpan w:val="4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1.57</w:t>
            </w:r>
          </w:p>
        </w:tc>
        <w:tc>
          <w:tcPr>
            <w:tcW w:w="1080" w:type="dxa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16</w:t>
            </w:r>
          </w:p>
        </w:tc>
        <w:tc>
          <w:tcPr>
            <w:tcW w:w="720" w:type="dxa"/>
            <w:gridSpan w:val="3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0</w:t>
            </w:r>
          </w:p>
        </w:tc>
        <w:tc>
          <w:tcPr>
            <w:tcW w:w="625" w:type="dxa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700" w:type="dxa"/>
            <w:gridSpan w:val="3"/>
            <w:vAlign w:val="center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1、局机关</w:t>
            </w:r>
          </w:p>
        </w:tc>
        <w:tc>
          <w:tcPr>
            <w:tcW w:w="1080" w:type="dxa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27.77</w:t>
            </w:r>
          </w:p>
        </w:tc>
        <w:tc>
          <w:tcPr>
            <w:tcW w:w="1355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11.77</w:t>
            </w:r>
          </w:p>
        </w:tc>
        <w:tc>
          <w:tcPr>
            <w:tcW w:w="1080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10.2</w:t>
            </w:r>
          </w:p>
        </w:tc>
        <w:tc>
          <w:tcPr>
            <w:tcW w:w="2160" w:type="dxa"/>
            <w:gridSpan w:val="4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1.57</w:t>
            </w:r>
          </w:p>
        </w:tc>
        <w:tc>
          <w:tcPr>
            <w:tcW w:w="1080" w:type="dxa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16</w:t>
            </w:r>
          </w:p>
        </w:tc>
        <w:tc>
          <w:tcPr>
            <w:tcW w:w="720" w:type="dxa"/>
            <w:gridSpan w:val="3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0</w:t>
            </w:r>
          </w:p>
        </w:tc>
        <w:tc>
          <w:tcPr>
            <w:tcW w:w="625" w:type="dxa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700" w:type="dxa"/>
            <w:gridSpan w:val="3"/>
            <w:vAlign w:val="center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2、二级机构1</w:t>
            </w:r>
          </w:p>
        </w:tc>
        <w:tc>
          <w:tcPr>
            <w:tcW w:w="1080" w:type="dxa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355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080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2160" w:type="dxa"/>
            <w:gridSpan w:val="4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080" w:type="dxa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720" w:type="dxa"/>
            <w:gridSpan w:val="3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625" w:type="dxa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700" w:type="dxa"/>
            <w:gridSpan w:val="3"/>
            <w:vAlign w:val="center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3、二级机构2</w:t>
            </w:r>
          </w:p>
        </w:tc>
        <w:tc>
          <w:tcPr>
            <w:tcW w:w="1080" w:type="dxa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355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080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2160" w:type="dxa"/>
            <w:gridSpan w:val="4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080" w:type="dxa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720" w:type="dxa"/>
            <w:gridSpan w:val="3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625" w:type="dxa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700" w:type="dxa"/>
            <w:gridSpan w:val="3"/>
            <w:vMerge w:val="restart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机构名称</w:t>
            </w:r>
          </w:p>
        </w:tc>
        <w:tc>
          <w:tcPr>
            <w:tcW w:w="1080" w:type="dxa"/>
            <w:vMerge w:val="restart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三公经费</w:t>
            </w:r>
          </w:p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合计</w:t>
            </w:r>
          </w:p>
        </w:tc>
        <w:tc>
          <w:tcPr>
            <w:tcW w:w="7020" w:type="dxa"/>
            <w:gridSpan w:val="13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其中：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700" w:type="dxa"/>
            <w:gridSpan w:val="3"/>
            <w:vMerge w:val="continue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080" w:type="dxa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355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公务接待费</w:t>
            </w:r>
          </w:p>
        </w:tc>
        <w:tc>
          <w:tcPr>
            <w:tcW w:w="1080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公务用车运维费</w:t>
            </w:r>
          </w:p>
        </w:tc>
        <w:tc>
          <w:tcPr>
            <w:tcW w:w="2160" w:type="dxa"/>
            <w:gridSpan w:val="4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公务用车购置费</w:t>
            </w:r>
          </w:p>
        </w:tc>
        <w:tc>
          <w:tcPr>
            <w:tcW w:w="2425" w:type="dxa"/>
            <w:gridSpan w:val="5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因公出国费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858" w:hRule="atLeast"/>
          <w:jc w:val="center"/>
        </w:trPr>
        <w:tc>
          <w:tcPr>
            <w:tcW w:w="1700" w:type="dxa"/>
            <w:gridSpan w:val="3"/>
            <w:vAlign w:val="center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局机关及二级机构汇总</w:t>
            </w:r>
          </w:p>
        </w:tc>
        <w:tc>
          <w:tcPr>
            <w:tcW w:w="1080" w:type="dxa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5.51</w:t>
            </w:r>
          </w:p>
        </w:tc>
        <w:tc>
          <w:tcPr>
            <w:tcW w:w="1355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3.24</w:t>
            </w:r>
          </w:p>
        </w:tc>
        <w:tc>
          <w:tcPr>
            <w:tcW w:w="1080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2.27</w:t>
            </w:r>
          </w:p>
        </w:tc>
        <w:tc>
          <w:tcPr>
            <w:tcW w:w="2160" w:type="dxa"/>
            <w:gridSpan w:val="4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2425" w:type="dxa"/>
            <w:gridSpan w:val="5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700" w:type="dxa"/>
            <w:gridSpan w:val="3"/>
            <w:vAlign w:val="center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1、局机关</w:t>
            </w:r>
          </w:p>
        </w:tc>
        <w:tc>
          <w:tcPr>
            <w:tcW w:w="1080" w:type="dxa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5.51</w:t>
            </w:r>
          </w:p>
        </w:tc>
        <w:tc>
          <w:tcPr>
            <w:tcW w:w="1355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3.24</w:t>
            </w:r>
          </w:p>
        </w:tc>
        <w:tc>
          <w:tcPr>
            <w:tcW w:w="1080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2.27</w:t>
            </w:r>
          </w:p>
        </w:tc>
        <w:tc>
          <w:tcPr>
            <w:tcW w:w="2160" w:type="dxa"/>
            <w:gridSpan w:val="4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2425" w:type="dxa"/>
            <w:gridSpan w:val="5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700" w:type="dxa"/>
            <w:gridSpan w:val="3"/>
            <w:vAlign w:val="center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2、二级机构1</w:t>
            </w:r>
          </w:p>
        </w:tc>
        <w:tc>
          <w:tcPr>
            <w:tcW w:w="1080" w:type="dxa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355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080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2160" w:type="dxa"/>
            <w:gridSpan w:val="4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2425" w:type="dxa"/>
            <w:gridSpan w:val="5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700" w:type="dxa"/>
            <w:gridSpan w:val="3"/>
            <w:vAlign w:val="center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3、二级机构2</w:t>
            </w:r>
          </w:p>
        </w:tc>
        <w:tc>
          <w:tcPr>
            <w:tcW w:w="1080" w:type="dxa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355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080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2160" w:type="dxa"/>
            <w:gridSpan w:val="4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2425" w:type="dxa"/>
            <w:gridSpan w:val="5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700" w:type="dxa"/>
            <w:gridSpan w:val="3"/>
            <w:vMerge w:val="restart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机构名称</w:t>
            </w:r>
          </w:p>
        </w:tc>
        <w:tc>
          <w:tcPr>
            <w:tcW w:w="1080" w:type="dxa"/>
            <w:vMerge w:val="restart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固定资产</w:t>
            </w:r>
          </w:p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合计</w:t>
            </w:r>
          </w:p>
        </w:tc>
        <w:tc>
          <w:tcPr>
            <w:tcW w:w="6079" w:type="dxa"/>
            <w:gridSpan w:val="11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其中：</w:t>
            </w:r>
          </w:p>
        </w:tc>
        <w:tc>
          <w:tcPr>
            <w:tcW w:w="941" w:type="dxa"/>
            <w:gridSpan w:val="2"/>
            <w:vMerge w:val="restart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其他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700" w:type="dxa"/>
            <w:gridSpan w:val="3"/>
            <w:vMerge w:val="continue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080" w:type="dxa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2435" w:type="dxa"/>
            <w:gridSpan w:val="4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在用固定资产</w:t>
            </w:r>
          </w:p>
        </w:tc>
        <w:tc>
          <w:tcPr>
            <w:tcW w:w="3644" w:type="dxa"/>
            <w:gridSpan w:val="7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出租固定资产</w:t>
            </w:r>
          </w:p>
        </w:tc>
        <w:tc>
          <w:tcPr>
            <w:tcW w:w="941" w:type="dxa"/>
            <w:gridSpan w:val="2"/>
            <w:vMerge w:val="continue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855" w:hRule="atLeast"/>
          <w:jc w:val="center"/>
        </w:trPr>
        <w:tc>
          <w:tcPr>
            <w:tcW w:w="1700" w:type="dxa"/>
            <w:gridSpan w:val="3"/>
            <w:vAlign w:val="center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局机关及二级机构汇总</w:t>
            </w:r>
          </w:p>
        </w:tc>
        <w:tc>
          <w:tcPr>
            <w:tcW w:w="1080" w:type="dxa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1.94</w:t>
            </w:r>
          </w:p>
        </w:tc>
        <w:tc>
          <w:tcPr>
            <w:tcW w:w="2435" w:type="dxa"/>
            <w:gridSpan w:val="4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1.94</w:t>
            </w:r>
          </w:p>
        </w:tc>
        <w:tc>
          <w:tcPr>
            <w:tcW w:w="3644" w:type="dxa"/>
            <w:gridSpan w:val="7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0</w:t>
            </w:r>
          </w:p>
        </w:tc>
        <w:tc>
          <w:tcPr>
            <w:tcW w:w="941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700" w:type="dxa"/>
            <w:gridSpan w:val="3"/>
            <w:vAlign w:val="center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1、局机关</w:t>
            </w:r>
          </w:p>
        </w:tc>
        <w:tc>
          <w:tcPr>
            <w:tcW w:w="1080" w:type="dxa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1.94</w:t>
            </w:r>
          </w:p>
        </w:tc>
        <w:tc>
          <w:tcPr>
            <w:tcW w:w="2435" w:type="dxa"/>
            <w:gridSpan w:val="4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1.94</w:t>
            </w:r>
          </w:p>
        </w:tc>
        <w:tc>
          <w:tcPr>
            <w:tcW w:w="3644" w:type="dxa"/>
            <w:gridSpan w:val="7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0</w:t>
            </w:r>
          </w:p>
        </w:tc>
        <w:tc>
          <w:tcPr>
            <w:tcW w:w="941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700" w:type="dxa"/>
            <w:gridSpan w:val="3"/>
            <w:vAlign w:val="center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2、二级机构1</w:t>
            </w:r>
          </w:p>
        </w:tc>
        <w:tc>
          <w:tcPr>
            <w:tcW w:w="1080" w:type="dxa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2435" w:type="dxa"/>
            <w:gridSpan w:val="4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3644" w:type="dxa"/>
            <w:gridSpan w:val="7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941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700" w:type="dxa"/>
            <w:gridSpan w:val="3"/>
            <w:vAlign w:val="center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3、二级机构2</w:t>
            </w:r>
          </w:p>
        </w:tc>
        <w:tc>
          <w:tcPr>
            <w:tcW w:w="1080" w:type="dxa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2435" w:type="dxa"/>
            <w:gridSpan w:val="4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3644" w:type="dxa"/>
            <w:gridSpan w:val="7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941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9800" w:type="dxa"/>
            <w:gridSpan w:val="17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黑体" w:hAnsi="黑体" w:eastAsia="黑体" w:cs="黑体"/>
                <w:color w:val="000000"/>
                <w:sz w:val="28"/>
                <w:szCs w:val="28"/>
              </w:rPr>
              <w:t>三、部门（单位）整体支出绩效自评情况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441" w:type="dxa"/>
            <w:vMerge w:val="restart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整体支出绩效定性目标及实施计划完成情况</w:t>
            </w:r>
          </w:p>
        </w:tc>
        <w:tc>
          <w:tcPr>
            <w:tcW w:w="3774" w:type="dxa"/>
            <w:gridSpan w:val="7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预期目标</w:t>
            </w:r>
          </w:p>
        </w:tc>
        <w:tc>
          <w:tcPr>
            <w:tcW w:w="4585" w:type="dxa"/>
            <w:gridSpan w:val="9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实际完成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1172" w:hRule="atLeast"/>
          <w:jc w:val="center"/>
        </w:trPr>
        <w:tc>
          <w:tcPr>
            <w:tcW w:w="1441" w:type="dxa"/>
            <w:vMerge w:val="continue"/>
            <w:vAlign w:val="center"/>
          </w:tcPr>
          <w:p>
            <w:pPr>
              <w:spacing w:line="32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3774" w:type="dxa"/>
            <w:gridSpan w:val="7"/>
            <w:vAlign w:val="center"/>
          </w:tcPr>
          <w:p>
            <w:pPr>
              <w:autoSpaceDN w:val="0"/>
              <w:spacing w:line="4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eastAsia="zh-CN"/>
              </w:rPr>
              <w:t>目标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  <w:t>1：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eastAsia="zh-CN"/>
              </w:rPr>
              <w:t>开展学习十九大精神等系列活动</w:t>
            </w:r>
          </w:p>
          <w:p>
            <w:pPr>
              <w:autoSpaceDN w:val="0"/>
              <w:spacing w:line="4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eastAsia="zh-CN"/>
              </w:rPr>
              <w:t>目标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  <w:t>2：学雷锋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eastAsia="zh-CN"/>
              </w:rPr>
              <w:t>月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  <w:t>、植树节、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eastAsia="zh-CN"/>
              </w:rPr>
              <w:t>清明节、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  <w:t>五四青年节等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eastAsia="zh-CN"/>
              </w:rPr>
              <w:t>重大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  <w:t>节日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eastAsia="zh-CN"/>
              </w:rPr>
              <w:t>、重要时间节点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  <w:t>常规活动开展</w:t>
            </w:r>
          </w:p>
          <w:p>
            <w:pPr>
              <w:autoSpaceDN w:val="0"/>
              <w:spacing w:line="4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 w:eastAsia="zh-CN"/>
              </w:rPr>
              <w:t>目标3：开展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  <w:t>金秋爱心助学活动</w:t>
            </w:r>
          </w:p>
          <w:p>
            <w:pPr>
              <w:autoSpaceDN w:val="0"/>
              <w:spacing w:line="4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eastAsia="zh-CN"/>
              </w:rPr>
              <w:t>目标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 w:eastAsia="zh-CN"/>
              </w:rPr>
              <w:t>4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  <w:t>：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eastAsia="zh-CN"/>
              </w:rPr>
              <w:t>开展大龄单身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  <w:t>青年联谊活动</w:t>
            </w:r>
          </w:p>
          <w:p>
            <w:pPr>
              <w:autoSpaceDN w:val="0"/>
              <w:spacing w:line="4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eastAsia="zh-CN"/>
              </w:rPr>
              <w:t>目标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 w:eastAsia="zh-CN"/>
              </w:rPr>
              <w:t>5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  <w:t>：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eastAsia="zh-CN"/>
              </w:rPr>
              <w:t>以美丽乡村建设为统领，做好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  <w:t>关爱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eastAsia="zh-CN"/>
              </w:rPr>
              <w:t>农村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  <w:t>留守儿童、空巢老人志愿者“送温暖”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eastAsia="zh-CN"/>
              </w:rPr>
              <w:t>、文明创建等系列志愿者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  <w:t>活动</w:t>
            </w:r>
          </w:p>
          <w:p>
            <w:pPr>
              <w:autoSpaceDN w:val="0"/>
              <w:spacing w:line="4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eastAsia="zh-CN"/>
              </w:rPr>
              <w:t>目标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 w:eastAsia="zh-CN"/>
              </w:rPr>
              <w:t>6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  <w:t>：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eastAsia="zh-CN"/>
              </w:rPr>
              <w:t>开展团干轮训、从严治团、十佳青年岗位能手推选等相关活动</w:t>
            </w: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eastAsia="zh-CN"/>
              </w:rPr>
              <w:t>目标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 w:eastAsia="zh-CN"/>
              </w:rPr>
              <w:t>7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  <w:t>：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eastAsia="zh-CN"/>
              </w:rPr>
              <w:t>加强团属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 w:eastAsia="zh-CN"/>
              </w:rPr>
              <w:t>新媒体建设</w:t>
            </w: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eastAsia="zh-CN"/>
              </w:rPr>
              <w:t>目标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 w:eastAsia="zh-CN"/>
              </w:rPr>
              <w:t>8：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  <w:t>完成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eastAsia="zh-CN"/>
              </w:rPr>
              <w:t>上级团组织和党政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  <w:t>交办下来的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eastAsia="zh-CN"/>
              </w:rPr>
              <w:t>其他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  <w:t>工作</w:t>
            </w:r>
          </w:p>
        </w:tc>
        <w:tc>
          <w:tcPr>
            <w:tcW w:w="4585" w:type="dxa"/>
            <w:gridSpan w:val="9"/>
            <w:vAlign w:val="center"/>
          </w:tcPr>
          <w:p>
            <w:pPr>
              <w:autoSpaceDN w:val="0"/>
              <w:spacing w:line="400" w:lineRule="exac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Cs w:val="21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Cs w:val="21"/>
              </w:rPr>
              <w:t>1、</w:t>
            </w:r>
            <w:r>
              <w:rPr>
                <w:rFonts w:hint="eastAsia" w:ascii="仿宋_GB2312" w:hAnsi="仿宋_GB2312" w:eastAsia="仿宋_GB2312" w:cs="仿宋_GB2312"/>
                <w:color w:val="000000"/>
                <w:szCs w:val="21"/>
                <w:lang w:val="en-US" w:eastAsia="zh-CN"/>
              </w:rPr>
              <w:t>9-10月，组织开展“喜迎十九大·齐心谋发展——学习习近平总书记系列重要讲话精神知识竞赛”活动。参与人数近千人。此外，发放学习十九大精神宣传册1000册。</w:t>
            </w:r>
          </w:p>
          <w:p>
            <w:pPr>
              <w:autoSpaceDN w:val="0"/>
              <w:spacing w:line="400" w:lineRule="exac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Cs w:val="21"/>
                <w:lang w:val="en-US" w:eastAsia="zh-CN"/>
              </w:rPr>
              <w:t>2.3月份向新河小学捐助一所爱心书屋；312组织团员青年天井山植树；清明节前夕组织团员青年前往天井山烈士陵园扫墓，54青年节举办十佳青年岗位能手选树活动。同时，号召全区各级团组织</w:t>
            </w:r>
            <w:r>
              <w:rPr>
                <w:rFonts w:hint="eastAsia" w:ascii="仿宋_GB2312" w:hAnsi="仿宋_GB2312" w:eastAsia="仿宋_GB2312" w:cs="仿宋_GB2312"/>
                <w:color w:val="000000"/>
                <w:szCs w:val="21"/>
                <w:lang w:eastAsia="zh-CN"/>
              </w:rPr>
              <w:t>结合</w:t>
            </w:r>
            <w:r>
              <w:rPr>
                <w:rFonts w:hint="eastAsia" w:ascii="仿宋_GB2312" w:hAnsi="仿宋_GB2312" w:eastAsia="仿宋_GB2312" w:cs="仿宋_GB2312"/>
                <w:color w:val="000000"/>
                <w:szCs w:val="21"/>
                <w:lang w:val="en-US" w:eastAsia="zh-CN"/>
              </w:rPr>
              <w:t>35</w:t>
            </w:r>
            <w:r>
              <w:rPr>
                <w:rFonts w:hint="eastAsia" w:ascii="仿宋_GB2312" w:hAnsi="仿宋_GB2312" w:eastAsia="仿宋_GB2312" w:cs="仿宋_GB2312"/>
                <w:color w:val="000000"/>
                <w:szCs w:val="21"/>
              </w:rPr>
              <w:t>学雷锋、</w:t>
            </w:r>
            <w:r>
              <w:rPr>
                <w:rFonts w:hint="eastAsia" w:ascii="仿宋_GB2312" w:hAnsi="仿宋_GB2312" w:eastAsia="仿宋_GB2312" w:cs="仿宋_GB2312"/>
                <w:color w:val="000000"/>
                <w:szCs w:val="21"/>
                <w:lang w:val="en-US" w:eastAsia="zh-CN"/>
              </w:rPr>
              <w:t>312</w:t>
            </w:r>
            <w:r>
              <w:rPr>
                <w:rFonts w:hint="eastAsia" w:ascii="仿宋_GB2312" w:hAnsi="仿宋_GB2312" w:eastAsia="仿宋_GB2312" w:cs="仿宋_GB2312"/>
                <w:color w:val="000000"/>
                <w:szCs w:val="21"/>
              </w:rPr>
              <w:t>植树节、五四青年节等</w:t>
            </w:r>
            <w:r>
              <w:rPr>
                <w:rFonts w:hint="eastAsia" w:ascii="仿宋_GB2312" w:hAnsi="仿宋_GB2312" w:eastAsia="仿宋_GB2312" w:cs="仿宋_GB2312"/>
                <w:color w:val="000000"/>
                <w:szCs w:val="21"/>
                <w:lang w:eastAsia="zh-CN"/>
              </w:rPr>
              <w:t>开展</w:t>
            </w:r>
            <w:r>
              <w:rPr>
                <w:rFonts w:hint="eastAsia" w:ascii="仿宋_GB2312" w:hAnsi="仿宋_GB2312" w:eastAsia="仿宋_GB2312" w:cs="仿宋_GB2312"/>
                <w:color w:val="000000"/>
                <w:szCs w:val="21"/>
              </w:rPr>
              <w:t>活动。</w:t>
            </w:r>
          </w:p>
          <w:p>
            <w:pPr>
              <w:numPr>
                <w:ilvl w:val="0"/>
                <w:numId w:val="1"/>
              </w:numPr>
              <w:autoSpaceDN w:val="0"/>
              <w:spacing w:line="400" w:lineRule="exac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Cs w:val="21"/>
              </w:rPr>
              <w:t>扎实推进 “情满君山·爱心圆梦”</w:t>
            </w:r>
            <w:r>
              <w:rPr>
                <w:rFonts w:hint="eastAsia" w:ascii="仿宋_GB2312" w:hAnsi="仿宋_GB2312" w:eastAsia="仿宋_GB2312" w:cs="仿宋_GB2312"/>
                <w:color w:val="000000"/>
                <w:szCs w:val="21"/>
                <w:lang w:eastAsia="zh-CN"/>
              </w:rPr>
              <w:t>金秋爱心助学</w:t>
            </w:r>
            <w:r>
              <w:rPr>
                <w:rFonts w:hint="eastAsia" w:ascii="仿宋_GB2312" w:hAnsi="仿宋_GB2312" w:eastAsia="仿宋_GB2312" w:cs="仿宋_GB2312"/>
                <w:color w:val="000000"/>
                <w:szCs w:val="21"/>
              </w:rPr>
              <w:t>活动。</w:t>
            </w:r>
            <w:r>
              <w:rPr>
                <w:rFonts w:hint="eastAsia" w:ascii="仿宋_GB2312" w:hAnsi="仿宋_GB2312" w:eastAsia="仿宋_GB2312" w:cs="仿宋_GB2312"/>
                <w:color w:val="000000"/>
                <w:szCs w:val="21"/>
                <w:lang w:eastAsia="zh-CN"/>
              </w:rPr>
              <w:t>全年累计争资</w:t>
            </w:r>
            <w:r>
              <w:rPr>
                <w:rFonts w:hint="eastAsia" w:ascii="仿宋_GB2312" w:hAnsi="仿宋_GB2312" w:eastAsia="仿宋_GB2312" w:cs="仿宋_GB2312"/>
                <w:color w:val="000000"/>
                <w:szCs w:val="21"/>
                <w:lang w:val="en-US" w:eastAsia="zh-CN"/>
              </w:rPr>
              <w:t>10多万元，帮扶贫困学子60多名。</w:t>
            </w:r>
          </w:p>
          <w:p>
            <w:pPr>
              <w:numPr>
                <w:ilvl w:val="0"/>
                <w:numId w:val="1"/>
              </w:numPr>
              <w:autoSpaceDN w:val="0"/>
              <w:spacing w:line="400" w:lineRule="exac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Cs w:val="21"/>
                <w:lang w:val="en-US" w:eastAsia="zh-CN"/>
              </w:rPr>
              <w:t>8月份，在合众领岛别墅区开展了“缘起君山·情定领岛”大型相亲交友活动，区内外超过200名单身青年朋友参加。</w:t>
            </w:r>
          </w:p>
          <w:p>
            <w:pPr>
              <w:numPr>
                <w:ilvl w:val="0"/>
                <w:numId w:val="1"/>
              </w:numPr>
              <w:autoSpaceDN w:val="0"/>
              <w:spacing w:line="400" w:lineRule="exac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Cs w:val="21"/>
                <w:lang w:val="en-US" w:eastAsia="zh-CN"/>
              </w:rPr>
              <w:t>4月21日启动“美丽乡村·青少年先行”活动，近400名青少年参加并沿君山旅游休闲绿道开展了生态徒步活动。此外，参与到良心堡镇油菜花节、2017中国（岳阳）野生荷花旅游文化节暨首届环洞庭湖民间歌手邀请赛、“江湖情、滨江美”生态文化节、2017中国（岳阳）热气球节等节会活动中去，全力助推美丽乡村建设。6月1日，对留守儿童进行走访慰问，还给福利院儿童送去了慰问物资。12月5日国际志愿者日，对新河小学留守儿童捐赠了爱心书包和文具。在文明城市复查期间，我们的志愿者每7人为一队，每天两队，轮流在主要交通要道上开展文明劝导、交通指引、政策宣传等工作。防汛期间，为全区防汛营部送去水、米、面、油、八宝粥等物资总计10余万元。</w:t>
            </w:r>
          </w:p>
          <w:p>
            <w:pPr>
              <w:numPr>
                <w:ilvl w:val="0"/>
                <w:numId w:val="1"/>
              </w:numPr>
              <w:autoSpaceDN w:val="0"/>
              <w:spacing w:line="400" w:lineRule="exac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Cs w:val="21"/>
                <w:lang w:val="en-US" w:eastAsia="zh-CN"/>
              </w:rPr>
              <w:t>54期间对全区青年团干开展了轮训。十佳青年岗位能手推选期间还制作了《君山新青年》宣传片。</w:t>
            </w:r>
          </w:p>
          <w:p>
            <w:pPr>
              <w:numPr>
                <w:ilvl w:val="0"/>
                <w:numId w:val="1"/>
              </w:numPr>
              <w:autoSpaceDN w:val="0"/>
              <w:spacing w:line="400" w:lineRule="exact"/>
              <w:ind w:left="0" w:leftChars="0" w:firstLine="0" w:firstLineChars="0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重点做好了“君山共青团”微信公众号品牌，全年共发布文章400多篇，凝聚粉丝5万多人。</w:t>
            </w:r>
          </w:p>
          <w:p>
            <w:pPr>
              <w:numPr>
                <w:ilvl w:val="0"/>
                <w:numId w:val="1"/>
              </w:numPr>
              <w:autoSpaceDN w:val="0"/>
              <w:spacing w:line="400" w:lineRule="exact"/>
              <w:ind w:left="0" w:leftChars="0" w:firstLine="0" w:firstLineChars="0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重点做好了预青犯罪和禁毒宣传等活动。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441" w:type="dxa"/>
            <w:vMerge w:val="restart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整体支出</w:t>
            </w:r>
          </w:p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绩效定量目标及实施计划完成情况</w:t>
            </w:r>
          </w:p>
        </w:tc>
        <w:tc>
          <w:tcPr>
            <w:tcW w:w="2966" w:type="dxa"/>
            <w:gridSpan w:val="6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评价内容</w:t>
            </w:r>
          </w:p>
        </w:tc>
        <w:tc>
          <w:tcPr>
            <w:tcW w:w="2709" w:type="dxa"/>
            <w:gridSpan w:val="4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绩效目标</w:t>
            </w:r>
          </w:p>
        </w:tc>
        <w:tc>
          <w:tcPr>
            <w:tcW w:w="2684" w:type="dxa"/>
            <w:gridSpan w:val="6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完成情况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454" w:hRule="atLeast"/>
          <w:jc w:val="center"/>
        </w:trPr>
        <w:tc>
          <w:tcPr>
            <w:tcW w:w="1441" w:type="dxa"/>
            <w:vMerge w:val="continue"/>
            <w:vAlign w:val="center"/>
          </w:tcPr>
          <w:p>
            <w:pPr>
              <w:spacing w:line="32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549" w:type="dxa"/>
            <w:gridSpan w:val="4"/>
            <w:vMerge w:val="restart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产出目标</w:t>
            </w:r>
          </w:p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（部门工作实绩，包含上级部门和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eastAsia="zh-CN"/>
              </w:rPr>
              <w:t>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委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eastAsia="zh-CN"/>
              </w:rPr>
              <w:t>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政府布置的重点工作、实事任务等，根据部门实际进行调整细化）</w:t>
            </w:r>
          </w:p>
        </w:tc>
        <w:tc>
          <w:tcPr>
            <w:tcW w:w="1417" w:type="dxa"/>
            <w:gridSpan w:val="2"/>
            <w:vMerge w:val="restart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质量指标</w:t>
            </w:r>
          </w:p>
        </w:tc>
        <w:tc>
          <w:tcPr>
            <w:tcW w:w="2709" w:type="dxa"/>
            <w:gridSpan w:val="4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  <w:t>指标1：帮扶对象满意度100％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eastAsia="zh-CN"/>
              </w:rPr>
              <w:t>。</w:t>
            </w:r>
          </w:p>
        </w:tc>
        <w:tc>
          <w:tcPr>
            <w:tcW w:w="2684" w:type="dxa"/>
            <w:gridSpan w:val="6"/>
            <w:vAlign w:val="center"/>
          </w:tcPr>
          <w:p>
            <w:pPr>
              <w:autoSpaceDN w:val="0"/>
              <w:spacing w:line="320" w:lineRule="exact"/>
              <w:jc w:val="both"/>
              <w:textAlignment w:val="center"/>
              <w:rPr>
                <w:rFonts w:hint="eastAsia" w:ascii="仿宋_GB2312" w:hAnsi="仿宋_GB2312" w:eastAsia="仿宋_GB2312" w:cs="仿宋_GB2312"/>
                <w:b/>
                <w:color w:val="00000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  <w:t>按质按量完成，满意度为100％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454" w:hRule="atLeast"/>
          <w:jc w:val="center"/>
        </w:trPr>
        <w:tc>
          <w:tcPr>
            <w:tcW w:w="1441" w:type="dxa"/>
            <w:vMerge w:val="continue"/>
            <w:vAlign w:val="center"/>
          </w:tcPr>
          <w:p>
            <w:pPr>
              <w:spacing w:line="32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549" w:type="dxa"/>
            <w:gridSpan w:val="4"/>
            <w:vMerge w:val="continue"/>
            <w:vAlign w:val="center"/>
          </w:tcPr>
          <w:p>
            <w:pPr>
              <w:autoSpaceDN w:val="0"/>
              <w:spacing w:line="32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417" w:type="dxa"/>
            <w:gridSpan w:val="2"/>
            <w:vMerge w:val="continue"/>
            <w:vAlign w:val="center"/>
          </w:tcPr>
          <w:p>
            <w:pPr>
              <w:spacing w:line="32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2709" w:type="dxa"/>
            <w:gridSpan w:val="4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  <w:t>指标2：帮扶事项的完成率95％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eastAsia="zh-CN"/>
              </w:rPr>
              <w:t>。</w:t>
            </w:r>
          </w:p>
        </w:tc>
        <w:tc>
          <w:tcPr>
            <w:tcW w:w="2684" w:type="dxa"/>
            <w:gridSpan w:val="6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color w:val="00000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  <w:t>完成率98％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454" w:hRule="atLeast"/>
          <w:jc w:val="center"/>
        </w:trPr>
        <w:tc>
          <w:tcPr>
            <w:tcW w:w="1441" w:type="dxa"/>
            <w:vMerge w:val="continue"/>
            <w:vAlign w:val="center"/>
          </w:tcPr>
          <w:p>
            <w:pPr>
              <w:spacing w:line="32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549" w:type="dxa"/>
            <w:gridSpan w:val="4"/>
            <w:vMerge w:val="continue"/>
            <w:vAlign w:val="center"/>
          </w:tcPr>
          <w:p>
            <w:pPr>
              <w:autoSpaceDN w:val="0"/>
              <w:spacing w:line="32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417" w:type="dxa"/>
            <w:gridSpan w:val="2"/>
            <w:vMerge w:val="restart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数量指标</w:t>
            </w:r>
          </w:p>
        </w:tc>
        <w:tc>
          <w:tcPr>
            <w:tcW w:w="2709" w:type="dxa"/>
            <w:gridSpan w:val="4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  <w:t>指标1：金秋助学活动帮扶学生50人次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eastAsia="zh-CN"/>
              </w:rPr>
              <w:t>。</w:t>
            </w:r>
          </w:p>
        </w:tc>
        <w:tc>
          <w:tcPr>
            <w:tcW w:w="2684" w:type="dxa"/>
            <w:gridSpan w:val="6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color w:val="00000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  <w:t>共计帮扶学生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 w:eastAsia="zh-CN"/>
              </w:rPr>
              <w:t>68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  <w:t>人次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461" w:hRule="atLeast"/>
          <w:jc w:val="center"/>
        </w:trPr>
        <w:tc>
          <w:tcPr>
            <w:tcW w:w="1441" w:type="dxa"/>
            <w:vMerge w:val="continue"/>
            <w:vAlign w:val="center"/>
          </w:tcPr>
          <w:p>
            <w:pPr>
              <w:spacing w:line="32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549" w:type="dxa"/>
            <w:gridSpan w:val="4"/>
            <w:vMerge w:val="continue"/>
            <w:vAlign w:val="center"/>
          </w:tcPr>
          <w:p>
            <w:pPr>
              <w:autoSpaceDN w:val="0"/>
              <w:spacing w:line="32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417" w:type="dxa"/>
            <w:gridSpan w:val="2"/>
            <w:vMerge w:val="continue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2709" w:type="dxa"/>
            <w:gridSpan w:val="4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  <w:t>指标2：帮扶留守儿童及孤寡老人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 w:eastAsia="zh-CN"/>
              </w:rPr>
              <w:t>500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  <w:t>人次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eastAsia="zh-CN"/>
              </w:rPr>
              <w:t>。</w:t>
            </w:r>
          </w:p>
        </w:tc>
        <w:tc>
          <w:tcPr>
            <w:tcW w:w="2684" w:type="dxa"/>
            <w:gridSpan w:val="6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color w:val="000000"/>
                <w:sz w:val="21"/>
                <w:szCs w:val="21"/>
                <w:lang w:eastAsia="zh-CN"/>
              </w:rPr>
              <w:t>累计帮扶超过</w:t>
            </w:r>
            <w:r>
              <w:rPr>
                <w:rFonts w:hint="eastAsia" w:ascii="仿宋_GB2312" w:hAnsi="仿宋_GB2312" w:eastAsia="仿宋_GB2312" w:cs="仿宋_GB2312"/>
                <w:b w:val="0"/>
                <w:bCs/>
                <w:color w:val="000000"/>
                <w:sz w:val="21"/>
                <w:szCs w:val="21"/>
                <w:lang w:val="en-US" w:eastAsia="zh-CN"/>
              </w:rPr>
              <w:t>2000人次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461" w:hRule="atLeast"/>
          <w:jc w:val="center"/>
        </w:trPr>
        <w:tc>
          <w:tcPr>
            <w:tcW w:w="1441" w:type="dxa"/>
            <w:vMerge w:val="continue"/>
            <w:vAlign w:val="center"/>
          </w:tcPr>
          <w:p>
            <w:pPr>
              <w:spacing w:line="32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549" w:type="dxa"/>
            <w:gridSpan w:val="4"/>
            <w:vMerge w:val="continue"/>
            <w:vAlign w:val="center"/>
          </w:tcPr>
          <w:p>
            <w:pPr>
              <w:autoSpaceDN w:val="0"/>
              <w:spacing w:line="32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417" w:type="dxa"/>
            <w:gridSpan w:val="2"/>
            <w:vMerge w:val="continue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2709" w:type="dxa"/>
            <w:gridSpan w:val="4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eastAsia="zh-CN"/>
              </w:rPr>
              <w:t>指标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 w:eastAsia="zh-CN"/>
              </w:rPr>
              <w:t>3：新发展团组织7个。</w:t>
            </w:r>
          </w:p>
        </w:tc>
        <w:tc>
          <w:tcPr>
            <w:tcW w:w="2684" w:type="dxa"/>
            <w:gridSpan w:val="6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color w:val="000000"/>
                <w:sz w:val="21"/>
                <w:szCs w:val="21"/>
                <w:lang w:eastAsia="zh-CN"/>
              </w:rPr>
              <w:t>完成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560" w:hRule="atLeast"/>
          <w:jc w:val="center"/>
        </w:trPr>
        <w:tc>
          <w:tcPr>
            <w:tcW w:w="1441" w:type="dxa"/>
            <w:vMerge w:val="continue"/>
            <w:vAlign w:val="center"/>
          </w:tcPr>
          <w:p>
            <w:pPr>
              <w:spacing w:line="32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549" w:type="dxa"/>
            <w:gridSpan w:val="4"/>
            <w:vMerge w:val="continue"/>
            <w:vAlign w:val="center"/>
          </w:tcPr>
          <w:p>
            <w:pPr>
              <w:autoSpaceDN w:val="0"/>
              <w:spacing w:line="32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417" w:type="dxa"/>
            <w:gridSpan w:val="2"/>
            <w:vMerge w:val="restart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时效指标</w:t>
            </w:r>
          </w:p>
        </w:tc>
        <w:tc>
          <w:tcPr>
            <w:tcW w:w="2709" w:type="dxa"/>
            <w:gridSpan w:val="4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1"/>
                <w:szCs w:val="21"/>
              </w:rPr>
              <w:t>指标1：实时更新君山区共青团微信公众平台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1"/>
                <w:szCs w:val="21"/>
                <w:lang w:eastAsia="zh-CN"/>
              </w:rPr>
              <w:t>。</w:t>
            </w:r>
          </w:p>
        </w:tc>
        <w:tc>
          <w:tcPr>
            <w:tcW w:w="2684" w:type="dxa"/>
            <w:gridSpan w:val="6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1"/>
                <w:szCs w:val="21"/>
              </w:rPr>
              <w:t>对团区委活动及时的进行更新，做到活动及时宣传及时反</w:t>
            </w:r>
          </w:p>
          <w:p>
            <w:pPr>
              <w:autoSpaceDN w:val="0"/>
              <w:spacing w:line="320" w:lineRule="exact"/>
              <w:jc w:val="both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1"/>
                <w:szCs w:val="21"/>
              </w:rPr>
              <w:t>馈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454" w:hRule="atLeast"/>
          <w:jc w:val="center"/>
        </w:trPr>
        <w:tc>
          <w:tcPr>
            <w:tcW w:w="1441" w:type="dxa"/>
            <w:vMerge w:val="continue"/>
            <w:vAlign w:val="center"/>
          </w:tcPr>
          <w:p>
            <w:pPr>
              <w:spacing w:line="32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549" w:type="dxa"/>
            <w:gridSpan w:val="4"/>
            <w:vMerge w:val="continue"/>
            <w:vAlign w:val="center"/>
          </w:tcPr>
          <w:p>
            <w:pPr>
              <w:autoSpaceDN w:val="0"/>
              <w:spacing w:line="32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417" w:type="dxa"/>
            <w:gridSpan w:val="2"/>
            <w:vMerge w:val="continue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2709" w:type="dxa"/>
            <w:gridSpan w:val="4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  <w:t>指标2：按时按质完成团市委交办下的任务。</w:t>
            </w:r>
          </w:p>
        </w:tc>
        <w:tc>
          <w:tcPr>
            <w:tcW w:w="2684" w:type="dxa"/>
            <w:gridSpan w:val="6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color w:val="000000"/>
                <w:sz w:val="21"/>
                <w:szCs w:val="21"/>
                <w:lang w:eastAsia="zh-CN"/>
              </w:rPr>
              <w:t>已完成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454" w:hRule="atLeast"/>
          <w:jc w:val="center"/>
        </w:trPr>
        <w:tc>
          <w:tcPr>
            <w:tcW w:w="1441" w:type="dxa"/>
            <w:vMerge w:val="continue"/>
            <w:vAlign w:val="center"/>
          </w:tcPr>
          <w:p>
            <w:pPr>
              <w:spacing w:line="32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549" w:type="dxa"/>
            <w:gridSpan w:val="4"/>
            <w:vMerge w:val="continue"/>
            <w:vAlign w:val="center"/>
          </w:tcPr>
          <w:p>
            <w:pPr>
              <w:autoSpaceDN w:val="0"/>
              <w:spacing w:line="32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417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成本指标</w:t>
            </w:r>
          </w:p>
        </w:tc>
        <w:tc>
          <w:tcPr>
            <w:tcW w:w="2709" w:type="dxa"/>
            <w:gridSpan w:val="4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  <w:t>指标1：控制在预算内</w:t>
            </w:r>
          </w:p>
        </w:tc>
        <w:tc>
          <w:tcPr>
            <w:tcW w:w="2684" w:type="dxa"/>
            <w:gridSpan w:val="6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  <w:t>基本控制在预算内，未超出预</w:t>
            </w:r>
          </w:p>
          <w:p>
            <w:pPr>
              <w:autoSpaceDN w:val="0"/>
              <w:spacing w:line="320" w:lineRule="exact"/>
              <w:jc w:val="both"/>
              <w:textAlignment w:val="center"/>
              <w:rPr>
                <w:rFonts w:hint="eastAsia" w:ascii="仿宋_GB2312" w:hAnsi="仿宋_GB2312" w:eastAsia="仿宋_GB2312" w:cs="仿宋_GB2312"/>
                <w:b/>
                <w:color w:val="00000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  <w:t>算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454" w:hRule="atLeast"/>
          <w:jc w:val="center"/>
        </w:trPr>
        <w:tc>
          <w:tcPr>
            <w:tcW w:w="1441" w:type="dxa"/>
            <w:vMerge w:val="continue"/>
            <w:vAlign w:val="center"/>
          </w:tcPr>
          <w:p>
            <w:pPr>
              <w:spacing w:line="32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549" w:type="dxa"/>
            <w:gridSpan w:val="4"/>
            <w:vMerge w:val="restart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效益目标</w:t>
            </w:r>
          </w:p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（预期实现的效益）</w:t>
            </w:r>
          </w:p>
        </w:tc>
        <w:tc>
          <w:tcPr>
            <w:tcW w:w="1417" w:type="dxa"/>
            <w:gridSpan w:val="2"/>
            <w:vMerge w:val="restart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社会效益</w:t>
            </w:r>
          </w:p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2709" w:type="dxa"/>
            <w:gridSpan w:val="4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  <w:t>指标1：全力推进青年就业创业</w:t>
            </w:r>
          </w:p>
        </w:tc>
        <w:tc>
          <w:tcPr>
            <w:tcW w:w="2684" w:type="dxa"/>
            <w:gridSpan w:val="6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color w:val="00000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color w:val="000000"/>
                <w:sz w:val="21"/>
                <w:szCs w:val="21"/>
              </w:rPr>
              <w:t>选送了3人</w:t>
            </w:r>
            <w:r>
              <w:rPr>
                <w:rFonts w:hint="eastAsia" w:ascii="仿宋_GB2312" w:hAnsi="仿宋_GB2312" w:eastAsia="仿宋_GB2312" w:cs="仿宋_GB2312"/>
                <w:b w:val="0"/>
                <w:bCs/>
                <w:color w:val="000000"/>
                <w:sz w:val="21"/>
                <w:szCs w:val="21"/>
                <w:lang w:val="en-US" w:eastAsia="zh-CN"/>
              </w:rPr>
              <w:t>代表</w:t>
            </w:r>
            <w:r>
              <w:rPr>
                <w:rFonts w:hint="eastAsia" w:ascii="仿宋_GB2312" w:hAnsi="仿宋_GB2312" w:eastAsia="仿宋_GB2312" w:cs="仿宋_GB2312"/>
                <w:b w:val="0"/>
                <w:bCs/>
                <w:color w:val="000000"/>
                <w:sz w:val="21"/>
                <w:szCs w:val="21"/>
              </w:rPr>
              <w:t>赴省里参</w:t>
            </w:r>
          </w:p>
          <w:p>
            <w:pPr>
              <w:autoSpaceDN w:val="0"/>
              <w:spacing w:line="320" w:lineRule="exact"/>
              <w:jc w:val="both"/>
              <w:textAlignment w:val="center"/>
              <w:rPr>
                <w:rFonts w:hint="eastAsia" w:ascii="仿宋_GB2312" w:hAnsi="仿宋_GB2312" w:eastAsia="仿宋_GB2312" w:cs="仿宋_GB2312"/>
                <w:b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color w:val="000000"/>
                <w:sz w:val="21"/>
                <w:szCs w:val="21"/>
              </w:rPr>
              <w:t>加电商创业培训</w:t>
            </w:r>
            <w:r>
              <w:rPr>
                <w:rFonts w:hint="eastAsia" w:ascii="仿宋_GB2312" w:hAnsi="仿宋_GB2312" w:eastAsia="仿宋_GB2312" w:cs="仿宋_GB2312"/>
                <w:b w:val="0"/>
                <w:bCs/>
                <w:color w:val="000000"/>
                <w:sz w:val="21"/>
                <w:szCs w:val="21"/>
                <w:lang w:eastAsia="zh-CN"/>
              </w:rPr>
              <w:t>，与</w:t>
            </w:r>
            <w:r>
              <w:rPr>
                <w:rFonts w:hint="eastAsia" w:ascii="仿宋_GB2312" w:hAnsi="仿宋_GB2312" w:eastAsia="仿宋_GB2312" w:cs="仿宋_GB2312"/>
                <w:b w:val="0"/>
                <w:bCs/>
                <w:color w:val="000000"/>
                <w:sz w:val="21"/>
                <w:szCs w:val="21"/>
                <w:lang w:val="en-US" w:eastAsia="zh-CN"/>
              </w:rPr>
              <w:t>智慧君山、供销e家等电商平台联合</w:t>
            </w:r>
            <w:r>
              <w:rPr>
                <w:rFonts w:hint="eastAsia" w:ascii="仿宋_GB2312" w:hAnsi="仿宋_GB2312" w:eastAsia="仿宋_GB2312" w:cs="仿宋_GB2312"/>
                <w:b w:val="0"/>
                <w:bCs/>
                <w:color w:val="000000"/>
                <w:sz w:val="21"/>
                <w:szCs w:val="21"/>
                <w:lang w:eastAsia="zh-CN"/>
              </w:rPr>
              <w:t>举办农村青年电商创业培训。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454" w:hRule="atLeast"/>
          <w:jc w:val="center"/>
        </w:trPr>
        <w:tc>
          <w:tcPr>
            <w:tcW w:w="1441" w:type="dxa"/>
            <w:vMerge w:val="continue"/>
            <w:vAlign w:val="center"/>
          </w:tcPr>
          <w:p>
            <w:pPr>
              <w:spacing w:line="32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549" w:type="dxa"/>
            <w:gridSpan w:val="4"/>
            <w:vMerge w:val="continue"/>
            <w:vAlign w:val="center"/>
          </w:tcPr>
          <w:p>
            <w:pPr>
              <w:autoSpaceDN w:val="0"/>
              <w:spacing w:line="32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417" w:type="dxa"/>
            <w:gridSpan w:val="2"/>
            <w:vMerge w:val="continue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2709" w:type="dxa"/>
            <w:gridSpan w:val="4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  <w:t>指标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 w:eastAsia="zh-CN"/>
              </w:rPr>
              <w:t>2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  <w:t>：以健全的组织网络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eastAsia="zh-CN"/>
              </w:rPr>
              <w:t>覆盖团结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  <w:t>青年</w:t>
            </w: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</w:pPr>
          </w:p>
        </w:tc>
        <w:tc>
          <w:tcPr>
            <w:tcW w:w="2684" w:type="dxa"/>
            <w:gridSpan w:val="6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color w:val="00000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color w:val="000000"/>
                <w:sz w:val="21"/>
                <w:szCs w:val="21"/>
                <w:lang w:eastAsia="zh-CN"/>
              </w:rPr>
              <w:t>新建两新组织团组织</w:t>
            </w:r>
            <w:r>
              <w:rPr>
                <w:rFonts w:hint="eastAsia" w:ascii="仿宋_GB2312" w:hAnsi="仿宋_GB2312" w:eastAsia="仿宋_GB2312" w:cs="仿宋_GB2312"/>
                <w:b w:val="0"/>
                <w:bCs/>
                <w:color w:val="000000"/>
                <w:sz w:val="21"/>
                <w:szCs w:val="21"/>
                <w:lang w:val="en-US" w:eastAsia="zh-CN"/>
              </w:rPr>
              <w:t>7个，</w:t>
            </w:r>
            <w:r>
              <w:rPr>
                <w:rFonts w:hint="eastAsia" w:ascii="仿宋_GB2312" w:hAnsi="仿宋_GB2312" w:eastAsia="仿宋_GB2312" w:cs="仿宋_GB2312"/>
                <w:b w:val="0"/>
                <w:bCs/>
                <w:color w:val="000000"/>
                <w:sz w:val="21"/>
                <w:szCs w:val="21"/>
              </w:rPr>
              <w:t>全区各级团干部微信微博实名认证率达到100%，已在全区各行业各类别青年群体中建立6个微信群。搭建了服务青年工</w:t>
            </w:r>
          </w:p>
          <w:p>
            <w:pPr>
              <w:autoSpaceDN w:val="0"/>
              <w:spacing w:line="320" w:lineRule="exact"/>
              <w:jc w:val="both"/>
              <w:textAlignment w:val="center"/>
              <w:rPr>
                <w:rFonts w:hint="eastAsia" w:ascii="仿宋_GB2312" w:hAnsi="仿宋_GB2312" w:eastAsia="仿宋_GB2312" w:cs="仿宋_GB2312"/>
                <w:b/>
                <w:color w:val="00000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color w:val="000000"/>
                <w:sz w:val="21"/>
                <w:szCs w:val="21"/>
              </w:rPr>
              <w:t>作的窗口和桥梁。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454" w:hRule="atLeast"/>
          <w:jc w:val="center"/>
        </w:trPr>
        <w:tc>
          <w:tcPr>
            <w:tcW w:w="1441" w:type="dxa"/>
            <w:vMerge w:val="continue"/>
            <w:vAlign w:val="center"/>
          </w:tcPr>
          <w:p>
            <w:pPr>
              <w:spacing w:line="32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549" w:type="dxa"/>
            <w:gridSpan w:val="4"/>
            <w:vMerge w:val="continue"/>
            <w:vAlign w:val="center"/>
          </w:tcPr>
          <w:p>
            <w:pPr>
              <w:autoSpaceDN w:val="0"/>
              <w:spacing w:line="32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417" w:type="dxa"/>
            <w:gridSpan w:val="2"/>
            <w:vMerge w:val="continue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2709" w:type="dxa"/>
            <w:gridSpan w:val="4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  <w:t>指标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  <w:t>：以夯实的工作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eastAsia="zh-CN"/>
              </w:rPr>
              <w:t>凝聚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  <w:t>服务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eastAsia="zh-CN"/>
              </w:rPr>
              <w:t>影响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  <w:t>青年</w:t>
            </w: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</w:pPr>
          </w:p>
        </w:tc>
        <w:tc>
          <w:tcPr>
            <w:tcW w:w="2684" w:type="dxa"/>
            <w:gridSpan w:val="6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  <w:t>开展金秋助学活动帮扶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eastAsia="zh-CN"/>
              </w:rPr>
              <w:t>学生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 w:eastAsia="zh-CN"/>
              </w:rPr>
              <w:t>68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  <w:t>名，资助金额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 w:eastAsia="zh-CN"/>
              </w:rPr>
              <w:t>20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  <w:t>多万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eastAsia="zh-CN"/>
              </w:rPr>
              <w:t>元。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454" w:hRule="atLeast"/>
          <w:jc w:val="center"/>
        </w:trPr>
        <w:tc>
          <w:tcPr>
            <w:tcW w:w="1441" w:type="dxa"/>
            <w:vMerge w:val="continue"/>
            <w:vAlign w:val="center"/>
          </w:tcPr>
          <w:p>
            <w:pPr>
              <w:spacing w:line="32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549" w:type="dxa"/>
            <w:gridSpan w:val="4"/>
            <w:vMerge w:val="continue"/>
            <w:vAlign w:val="center"/>
          </w:tcPr>
          <w:p>
            <w:pPr>
              <w:autoSpaceDN w:val="0"/>
              <w:spacing w:line="32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417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社会公众或服务对象满意度</w:t>
            </w:r>
          </w:p>
        </w:tc>
        <w:tc>
          <w:tcPr>
            <w:tcW w:w="2709" w:type="dxa"/>
            <w:gridSpan w:val="4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指标1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  <w:t>：帮扶对象满意度达到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lang w:val="en-US" w:eastAsia="zh-CN"/>
              </w:rPr>
              <w:t>95以上。</w:t>
            </w:r>
          </w:p>
        </w:tc>
        <w:tc>
          <w:tcPr>
            <w:tcW w:w="2684" w:type="dxa"/>
            <w:gridSpan w:val="6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eastAsia="zh-CN"/>
              </w:rPr>
              <w:t>满意率达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100%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2990" w:type="dxa"/>
            <w:gridSpan w:val="5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绩效自评综合得分</w:t>
            </w:r>
          </w:p>
        </w:tc>
        <w:tc>
          <w:tcPr>
            <w:tcW w:w="6810" w:type="dxa"/>
            <w:gridSpan w:val="1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99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2990" w:type="dxa"/>
            <w:gridSpan w:val="5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评价等次</w:t>
            </w:r>
          </w:p>
        </w:tc>
        <w:tc>
          <w:tcPr>
            <w:tcW w:w="6810" w:type="dxa"/>
            <w:gridSpan w:val="1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80" w:hRule="atLeast"/>
          <w:jc w:val="center"/>
        </w:trPr>
        <w:tc>
          <w:tcPr>
            <w:tcW w:w="9800" w:type="dxa"/>
            <w:gridSpan w:val="17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黑体" w:hAnsi="黑体" w:eastAsia="黑体" w:cs="黑体"/>
                <w:color w:val="000000"/>
                <w:sz w:val="28"/>
                <w:szCs w:val="28"/>
              </w:rPr>
              <w:t>四、评价人员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654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姓  名</w:t>
            </w:r>
          </w:p>
        </w:tc>
        <w:tc>
          <w:tcPr>
            <w:tcW w:w="3561" w:type="dxa"/>
            <w:gridSpan w:val="6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职务/职称</w:t>
            </w:r>
          </w:p>
        </w:tc>
        <w:tc>
          <w:tcPr>
            <w:tcW w:w="1479" w:type="dxa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单  位</w:t>
            </w:r>
          </w:p>
        </w:tc>
        <w:tc>
          <w:tcPr>
            <w:tcW w:w="3106" w:type="dxa"/>
            <w:gridSpan w:val="8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签  字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80" w:hRule="atLeast"/>
          <w:jc w:val="center"/>
        </w:trPr>
        <w:tc>
          <w:tcPr>
            <w:tcW w:w="1654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eastAsia="zh-CN"/>
              </w:rPr>
              <w:t>代颖慧</w:t>
            </w:r>
          </w:p>
        </w:tc>
        <w:tc>
          <w:tcPr>
            <w:tcW w:w="3561" w:type="dxa"/>
            <w:gridSpan w:val="6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eastAsia="zh-CN"/>
              </w:rPr>
              <w:t>书记</w:t>
            </w:r>
          </w:p>
        </w:tc>
        <w:tc>
          <w:tcPr>
            <w:tcW w:w="1479" w:type="dxa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eastAsia="zh-CN"/>
              </w:rPr>
              <w:t>团区委</w:t>
            </w:r>
          </w:p>
        </w:tc>
        <w:tc>
          <w:tcPr>
            <w:tcW w:w="3106" w:type="dxa"/>
            <w:gridSpan w:val="8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80" w:hRule="atLeast"/>
          <w:jc w:val="center"/>
        </w:trPr>
        <w:tc>
          <w:tcPr>
            <w:tcW w:w="1654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eastAsia="zh-CN"/>
              </w:rPr>
              <w:t>陈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eastAsia="zh-CN"/>
              </w:rPr>
              <w:t>勇</w:t>
            </w:r>
          </w:p>
        </w:tc>
        <w:tc>
          <w:tcPr>
            <w:tcW w:w="3561" w:type="dxa"/>
            <w:gridSpan w:val="6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eastAsia="zh-CN"/>
              </w:rPr>
              <w:t>副书记</w:t>
            </w:r>
          </w:p>
        </w:tc>
        <w:tc>
          <w:tcPr>
            <w:tcW w:w="1479" w:type="dxa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eastAsia="zh-CN"/>
              </w:rPr>
              <w:t>团区委</w:t>
            </w:r>
          </w:p>
        </w:tc>
        <w:tc>
          <w:tcPr>
            <w:tcW w:w="3106" w:type="dxa"/>
            <w:gridSpan w:val="8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80" w:hRule="atLeast"/>
          <w:jc w:val="center"/>
        </w:trPr>
        <w:tc>
          <w:tcPr>
            <w:tcW w:w="1654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3561" w:type="dxa"/>
            <w:gridSpan w:val="6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479" w:type="dxa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3106" w:type="dxa"/>
            <w:gridSpan w:val="8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80" w:hRule="atLeast"/>
          <w:jc w:val="center"/>
        </w:trPr>
        <w:tc>
          <w:tcPr>
            <w:tcW w:w="1654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3561" w:type="dxa"/>
            <w:gridSpan w:val="6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479" w:type="dxa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3106" w:type="dxa"/>
            <w:gridSpan w:val="8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2722" w:hRule="atLeast"/>
          <w:jc w:val="center"/>
        </w:trPr>
        <w:tc>
          <w:tcPr>
            <w:tcW w:w="9800" w:type="dxa"/>
            <w:gridSpan w:val="17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评价组组长（签字）：</w:t>
            </w: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 xml:space="preserve">                                                               年    月    日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2722" w:hRule="atLeast"/>
          <w:jc w:val="center"/>
        </w:trPr>
        <w:tc>
          <w:tcPr>
            <w:tcW w:w="9800" w:type="dxa"/>
            <w:gridSpan w:val="17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部门（单位）意见：</w:t>
            </w: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 xml:space="preserve">                                         部门（单位）负责人（签章）：</w:t>
            </w: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 xml:space="preserve">                                                               年    月    日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2794" w:hRule="atLeast"/>
          <w:jc w:val="center"/>
        </w:trPr>
        <w:tc>
          <w:tcPr>
            <w:tcW w:w="9800" w:type="dxa"/>
            <w:gridSpan w:val="17"/>
            <w:vAlign w:val="center"/>
          </w:tcPr>
          <w:p>
            <w:pPr>
              <w:spacing w:line="320" w:lineRule="exact"/>
              <w:rPr>
                <w:rFonts w:hint="eastAsia"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财政部门归口业务科室意见：</w:t>
            </w:r>
          </w:p>
          <w:p>
            <w:pPr>
              <w:spacing w:line="320" w:lineRule="exact"/>
              <w:rPr>
                <w:rFonts w:hint="eastAsia" w:eastAsia="仿宋_GB2312"/>
                <w:sz w:val="24"/>
              </w:rPr>
            </w:pPr>
          </w:p>
          <w:p>
            <w:pPr>
              <w:spacing w:line="320" w:lineRule="exact"/>
              <w:rPr>
                <w:rFonts w:hint="eastAsia" w:eastAsia="仿宋_GB2312"/>
                <w:sz w:val="24"/>
              </w:rPr>
            </w:pPr>
          </w:p>
          <w:p>
            <w:pPr>
              <w:spacing w:line="320" w:lineRule="exact"/>
              <w:rPr>
                <w:rFonts w:hint="eastAsia" w:eastAsia="仿宋_GB2312"/>
                <w:sz w:val="24"/>
              </w:rPr>
            </w:pPr>
          </w:p>
          <w:p>
            <w:pPr>
              <w:spacing w:line="320" w:lineRule="exact"/>
              <w:rPr>
                <w:rFonts w:hint="eastAsia" w:eastAsia="仿宋_GB2312"/>
                <w:sz w:val="24"/>
              </w:rPr>
            </w:pPr>
          </w:p>
          <w:p>
            <w:pPr>
              <w:spacing w:line="320" w:lineRule="exact"/>
              <w:rPr>
                <w:rFonts w:hint="eastAsia"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 xml:space="preserve">                                  财政部门归口业务科室负责人（签章）：</w:t>
            </w: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eastAsia="仿宋_GB2312"/>
                <w:sz w:val="24"/>
              </w:rPr>
              <w:t xml:space="preserve">                                                                 年    月   日</w:t>
            </w:r>
          </w:p>
        </w:tc>
      </w:tr>
    </w:tbl>
    <w:p>
      <w:pPr>
        <w:rPr>
          <w:rFonts w:hint="eastAsia" w:eastAsia="仿宋_GB2312" w:cs="仿宋_GB2312"/>
          <w:bCs/>
          <w:sz w:val="28"/>
          <w:szCs w:val="28"/>
          <w:lang w:val="en-US" w:eastAsia="zh-CN"/>
        </w:rPr>
      </w:pPr>
      <w:r>
        <w:rPr>
          <w:rFonts w:hint="eastAsia" w:eastAsia="仿宋_GB2312" w:cs="仿宋_GB2312"/>
          <w:bCs/>
          <w:sz w:val="28"/>
          <w:szCs w:val="28"/>
        </w:rPr>
        <w:t xml:space="preserve">填报人（签名）：  </w:t>
      </w:r>
      <w:r>
        <w:rPr>
          <w:rFonts w:hint="eastAsia" w:eastAsia="仿宋_GB2312" w:cs="仿宋_GB2312"/>
          <w:bCs/>
          <w:sz w:val="28"/>
          <w:szCs w:val="28"/>
          <w:lang w:eastAsia="zh-CN"/>
        </w:rPr>
        <w:t>代颖慧</w:t>
      </w:r>
      <w:r>
        <w:rPr>
          <w:rFonts w:hint="eastAsia" w:eastAsia="仿宋_GB2312" w:cs="仿宋_GB2312"/>
          <w:bCs/>
          <w:sz w:val="28"/>
          <w:szCs w:val="28"/>
        </w:rPr>
        <w:t xml:space="preserve">               联系电话：</w:t>
      </w:r>
      <w:r>
        <w:rPr>
          <w:rFonts w:hint="eastAsia" w:eastAsia="仿宋_GB2312" w:cs="仿宋_GB2312"/>
          <w:bCs/>
          <w:sz w:val="28"/>
          <w:szCs w:val="28"/>
          <w:lang w:val="en-US" w:eastAsia="zh-CN"/>
        </w:rPr>
        <w:t>18273051007</w:t>
      </w:r>
    </w:p>
    <w:tbl>
      <w:tblPr>
        <w:tblStyle w:val="7"/>
        <w:tblW w:w="9558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55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998" w:hRule="atLeast"/>
          <w:jc w:val="center"/>
        </w:trPr>
        <w:tc>
          <w:tcPr>
            <w:tcW w:w="9558" w:type="dxa"/>
            <w:vAlign w:val="top"/>
          </w:tcPr>
          <w:p>
            <w:pPr>
              <w:jc w:val="center"/>
              <w:rPr>
                <w:rFonts w:ascii="黑体" w:hAnsi="黑体" w:eastAsia="黑体" w:cs="黑体"/>
                <w:bCs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bCs/>
                <w:sz w:val="28"/>
                <w:szCs w:val="28"/>
              </w:rPr>
              <w:t>五、评价报告综述（文字部分）</w:t>
            </w:r>
          </w:p>
          <w:p>
            <w:pPr>
              <w:spacing w:line="500" w:lineRule="exact"/>
              <w:ind w:firstLine="600" w:firstLineChars="200"/>
              <w:rPr>
                <w:rFonts w:hint="eastAsia" w:ascii="黑体" w:hAnsi="黑体" w:eastAsia="黑体" w:cs="黑体"/>
                <w:bCs/>
                <w:sz w:val="30"/>
                <w:szCs w:val="30"/>
              </w:rPr>
            </w:pPr>
            <w:r>
              <w:rPr>
                <w:rFonts w:hint="eastAsia" w:ascii="黑体" w:hAnsi="黑体" w:eastAsia="黑体" w:cs="黑体"/>
                <w:bCs/>
                <w:sz w:val="30"/>
                <w:szCs w:val="30"/>
              </w:rPr>
              <w:t>一、单位概况</w:t>
            </w:r>
          </w:p>
          <w:p>
            <w:pPr>
              <w:spacing w:line="500" w:lineRule="exact"/>
              <w:ind w:firstLine="600" w:firstLineChars="200"/>
              <w:rPr>
                <w:rFonts w:hint="eastAsia" w:ascii="楷体_GB2312" w:hAnsi="仿宋_GB2312" w:eastAsia="楷体_GB2312" w:cs="仿宋_GB2312"/>
                <w:bCs/>
                <w:color w:val="000000"/>
                <w:sz w:val="30"/>
                <w:szCs w:val="30"/>
              </w:rPr>
            </w:pPr>
            <w:r>
              <w:rPr>
                <w:rFonts w:hint="eastAsia" w:ascii="楷体_GB2312" w:hAnsi="仿宋_GB2312" w:eastAsia="楷体_GB2312" w:cs="仿宋_GB2312"/>
                <w:bCs/>
                <w:color w:val="000000"/>
                <w:sz w:val="30"/>
                <w:szCs w:val="30"/>
              </w:rPr>
              <w:t>（一）单位基本情况</w:t>
            </w:r>
          </w:p>
          <w:p>
            <w:pPr>
              <w:spacing w:line="500" w:lineRule="exact"/>
              <w:ind w:firstLine="600" w:firstLineChars="200"/>
              <w:rPr>
                <w:rFonts w:hint="eastAsia" w:ascii="仿宋" w:hAnsi="仿宋" w:eastAsia="仿宋" w:cs="仿宋_GB2312"/>
                <w:color w:val="000000"/>
                <w:sz w:val="30"/>
                <w:szCs w:val="30"/>
                <w:lang w:eastAsia="zh-CN"/>
              </w:rPr>
            </w:pPr>
            <w:r>
              <w:rPr>
                <w:rFonts w:hint="eastAsia" w:ascii="仿宋" w:hAnsi="仿宋" w:eastAsia="仿宋"/>
                <w:color w:val="000000"/>
                <w:sz w:val="30"/>
                <w:szCs w:val="30"/>
              </w:rPr>
              <w:t>本单位</w:t>
            </w:r>
            <w:r>
              <w:rPr>
                <w:rFonts w:hint="eastAsia" w:ascii="仿宋" w:hAnsi="仿宋" w:eastAsia="仿宋" w:cs="仿宋_GB2312"/>
                <w:color w:val="000000"/>
                <w:sz w:val="30"/>
                <w:szCs w:val="30"/>
              </w:rPr>
              <w:t>系区财政全额预算拨款单位。</w:t>
            </w:r>
            <w:r>
              <w:rPr>
                <w:rFonts w:hint="eastAsia" w:ascii="仿宋" w:hAnsi="仿宋" w:eastAsia="仿宋"/>
                <w:color w:val="000000"/>
                <w:sz w:val="30"/>
                <w:szCs w:val="30"/>
              </w:rPr>
              <w:t>单位主要职能是发挥好党的助手和后备军作用</w:t>
            </w:r>
            <w:r>
              <w:rPr>
                <w:rFonts w:hint="eastAsia" w:ascii="仿宋" w:hAnsi="仿宋" w:eastAsia="仿宋"/>
                <w:color w:val="000000"/>
                <w:sz w:val="30"/>
                <w:szCs w:val="30"/>
                <w:lang w:eastAsia="zh-CN"/>
              </w:rPr>
              <w:t>；挥好国家政权的重要</w:t>
            </w:r>
            <w:r>
              <w:rPr>
                <w:rFonts w:hint="eastAsia" w:ascii="仿宋" w:hAnsi="仿宋" w:eastAsia="仿宋"/>
                <w:color w:val="000000"/>
                <w:sz w:val="30"/>
                <w:szCs w:val="30"/>
                <w:lang w:eastAsia="zh-CN"/>
              </w:rPr>
              <w:fldChar w:fldCharType="begin"/>
            </w:r>
            <w:r>
              <w:rPr>
                <w:rFonts w:hint="eastAsia" w:ascii="仿宋" w:hAnsi="仿宋" w:eastAsia="仿宋"/>
                <w:color w:val="000000"/>
                <w:sz w:val="30"/>
                <w:szCs w:val="30"/>
                <w:lang w:eastAsia="zh-CN"/>
              </w:rPr>
              <w:instrText xml:space="preserve"> HYPERLINK "https://baike.sogou.com/lemma/ShowInnerLink.htm?lemmaId=74129729&amp;ss_c=ssc.citiao.link" \t "https://baike.sogou.com/_blank" </w:instrText>
            </w:r>
            <w:r>
              <w:rPr>
                <w:rFonts w:hint="eastAsia" w:ascii="仿宋" w:hAnsi="仿宋" w:eastAsia="仿宋"/>
                <w:color w:val="000000"/>
                <w:sz w:val="30"/>
                <w:szCs w:val="30"/>
                <w:lang w:eastAsia="zh-CN"/>
              </w:rPr>
              <w:fldChar w:fldCharType="separate"/>
            </w:r>
            <w:r>
              <w:rPr>
                <w:rFonts w:hint="eastAsia" w:ascii="仿宋" w:hAnsi="仿宋" w:eastAsia="仿宋"/>
                <w:color w:val="000000"/>
                <w:sz w:val="30"/>
                <w:szCs w:val="30"/>
                <w:lang w:eastAsia="zh-CN"/>
              </w:rPr>
              <w:t>社会支柱</w:t>
            </w:r>
            <w:r>
              <w:rPr>
                <w:rFonts w:hint="eastAsia" w:ascii="仿宋" w:hAnsi="仿宋" w:eastAsia="仿宋"/>
                <w:color w:val="000000"/>
                <w:sz w:val="30"/>
                <w:szCs w:val="30"/>
                <w:lang w:eastAsia="zh-CN"/>
              </w:rPr>
              <w:fldChar w:fldCharType="end"/>
            </w:r>
            <w:r>
              <w:rPr>
                <w:rFonts w:hint="eastAsia" w:ascii="仿宋" w:hAnsi="仿宋" w:eastAsia="仿宋"/>
                <w:color w:val="000000"/>
                <w:sz w:val="30"/>
                <w:szCs w:val="30"/>
                <w:lang w:eastAsia="zh-CN"/>
              </w:rPr>
              <w:t>作用；发挥党和政府联系青年群众的桥梁和纽带作用，依法代表和维护青年的具体利益，反映青年的意愿和呼声</w:t>
            </w:r>
            <w:r>
              <w:rPr>
                <w:rFonts w:hint="eastAsia" w:ascii="仿宋" w:hAnsi="仿宋" w:eastAsia="仿宋"/>
                <w:color w:val="000000"/>
                <w:sz w:val="30"/>
                <w:szCs w:val="30"/>
              </w:rPr>
              <w:t>。</w:t>
            </w:r>
            <w:r>
              <w:rPr>
                <w:rFonts w:hint="eastAsia" w:ascii="仿宋" w:hAnsi="仿宋" w:eastAsia="仿宋" w:cs="仿宋_GB2312"/>
                <w:color w:val="000000"/>
                <w:sz w:val="30"/>
                <w:szCs w:val="30"/>
              </w:rPr>
              <w:t>编制部门核实人员编制</w:t>
            </w:r>
            <w:r>
              <w:rPr>
                <w:rFonts w:hint="eastAsia" w:ascii="仿宋" w:hAnsi="仿宋" w:eastAsia="仿宋" w:cs="仿宋_GB2312"/>
                <w:color w:val="000000"/>
                <w:sz w:val="30"/>
                <w:szCs w:val="30"/>
                <w:lang w:val="en-US" w:eastAsia="zh-CN"/>
              </w:rPr>
              <w:t>2</w:t>
            </w:r>
            <w:r>
              <w:rPr>
                <w:rFonts w:hint="eastAsia" w:ascii="仿宋" w:hAnsi="仿宋" w:eastAsia="仿宋" w:cs="仿宋_GB2312"/>
                <w:color w:val="000000"/>
                <w:sz w:val="30"/>
                <w:szCs w:val="30"/>
              </w:rPr>
              <w:t>人，实有人数为</w:t>
            </w:r>
            <w:r>
              <w:rPr>
                <w:rFonts w:hint="eastAsia" w:ascii="仿宋" w:hAnsi="仿宋" w:eastAsia="仿宋" w:cs="仿宋_GB2312"/>
                <w:color w:val="000000"/>
                <w:sz w:val="30"/>
                <w:szCs w:val="30"/>
                <w:lang w:val="en-US" w:eastAsia="zh-CN"/>
              </w:rPr>
              <w:t>2</w:t>
            </w:r>
            <w:r>
              <w:rPr>
                <w:rFonts w:hint="eastAsia" w:ascii="仿宋" w:hAnsi="仿宋" w:eastAsia="仿宋" w:cs="仿宋_GB2312"/>
                <w:color w:val="000000"/>
                <w:sz w:val="30"/>
                <w:szCs w:val="30"/>
              </w:rPr>
              <w:t>人</w:t>
            </w:r>
            <w:r>
              <w:rPr>
                <w:rFonts w:hint="eastAsia" w:ascii="仿宋" w:hAnsi="仿宋" w:eastAsia="仿宋" w:cs="仿宋_GB2312"/>
                <w:color w:val="000000"/>
                <w:sz w:val="30"/>
                <w:szCs w:val="30"/>
                <w:lang w:eastAsia="zh-CN"/>
              </w:rPr>
              <w:t>。</w:t>
            </w:r>
          </w:p>
          <w:p>
            <w:pPr>
              <w:spacing w:line="500" w:lineRule="exact"/>
              <w:ind w:firstLine="600" w:firstLineChars="200"/>
              <w:rPr>
                <w:rFonts w:hint="eastAsia" w:ascii="楷体_GB2312" w:hAnsi="仿宋_GB2312" w:eastAsia="楷体_GB2312" w:cs="仿宋_GB2312"/>
                <w:bCs/>
                <w:color w:val="000000"/>
                <w:sz w:val="30"/>
                <w:szCs w:val="30"/>
              </w:rPr>
            </w:pPr>
            <w:r>
              <w:rPr>
                <w:rFonts w:hint="eastAsia" w:ascii="楷体_GB2312" w:hAnsi="仿宋_GB2312" w:eastAsia="楷体_GB2312" w:cs="仿宋_GB2312"/>
                <w:bCs/>
                <w:color w:val="000000"/>
                <w:sz w:val="30"/>
                <w:szCs w:val="30"/>
              </w:rPr>
              <w:t>（二）单位整体支出规模、使用方向和主要内容、涉及范围等</w:t>
            </w:r>
          </w:p>
          <w:p>
            <w:pPr>
              <w:spacing w:line="500" w:lineRule="exact"/>
              <w:ind w:firstLine="600" w:firstLineChars="200"/>
              <w:rPr>
                <w:rFonts w:hint="eastAsia" w:ascii="仿宋" w:hAnsi="仿宋" w:eastAsia="仿宋" w:cs="仿宋_GB2312"/>
                <w:bCs/>
                <w:color w:val="000000"/>
                <w:sz w:val="30"/>
                <w:szCs w:val="30"/>
              </w:rPr>
            </w:pPr>
            <w:r>
              <w:rPr>
                <w:rFonts w:hint="eastAsia" w:ascii="仿宋" w:hAnsi="仿宋" w:eastAsia="仿宋" w:cs="仿宋_GB2312"/>
                <w:bCs/>
                <w:color w:val="000000"/>
                <w:sz w:val="30"/>
                <w:szCs w:val="30"/>
              </w:rPr>
              <w:t>2017年，</w:t>
            </w:r>
            <w:r>
              <w:rPr>
                <w:rFonts w:hint="eastAsia" w:ascii="仿宋" w:hAnsi="仿宋" w:eastAsia="仿宋"/>
                <w:color w:val="000000"/>
                <w:sz w:val="30"/>
                <w:szCs w:val="30"/>
                <w:shd w:val="clear" w:color="auto" w:fill="FFFFFF"/>
              </w:rPr>
              <w:t>共计收入</w:t>
            </w:r>
            <w:r>
              <w:rPr>
                <w:rFonts w:hint="eastAsia" w:ascii="仿宋" w:hAnsi="仿宋" w:eastAsia="仿宋"/>
                <w:color w:val="000000"/>
                <w:sz w:val="30"/>
                <w:szCs w:val="30"/>
                <w:shd w:val="clear" w:color="auto" w:fill="FFFFFF"/>
                <w:lang w:val="en-US" w:eastAsia="zh-CN"/>
              </w:rPr>
              <w:t>27</w:t>
            </w:r>
            <w:r>
              <w:rPr>
                <w:rFonts w:hint="eastAsia" w:ascii="仿宋" w:hAnsi="仿宋" w:eastAsia="仿宋"/>
                <w:color w:val="000000"/>
                <w:sz w:val="30"/>
                <w:szCs w:val="30"/>
                <w:shd w:val="clear" w:color="auto" w:fill="FFFFFF"/>
              </w:rPr>
              <w:t>.</w:t>
            </w:r>
            <w:r>
              <w:rPr>
                <w:rFonts w:hint="eastAsia" w:ascii="仿宋" w:hAnsi="仿宋" w:eastAsia="仿宋"/>
                <w:color w:val="000000"/>
                <w:sz w:val="30"/>
                <w:szCs w:val="30"/>
                <w:shd w:val="clear" w:color="auto" w:fill="FFFFFF"/>
                <w:lang w:val="en-US" w:eastAsia="zh-CN"/>
              </w:rPr>
              <w:t>77</w:t>
            </w:r>
            <w:r>
              <w:rPr>
                <w:rFonts w:hint="eastAsia" w:ascii="仿宋" w:hAnsi="仿宋" w:eastAsia="仿宋"/>
                <w:color w:val="000000"/>
                <w:sz w:val="30"/>
                <w:szCs w:val="30"/>
                <w:shd w:val="clear" w:color="auto" w:fill="FFFFFF"/>
              </w:rPr>
              <w:t>万元，其中财政拨款收入</w:t>
            </w:r>
            <w:r>
              <w:rPr>
                <w:rFonts w:hint="eastAsia" w:ascii="仿宋" w:hAnsi="仿宋" w:eastAsia="仿宋"/>
                <w:color w:val="000000"/>
                <w:sz w:val="30"/>
                <w:szCs w:val="30"/>
                <w:shd w:val="clear" w:color="auto" w:fill="FFFFFF"/>
                <w:lang w:val="en-US" w:eastAsia="zh-CN"/>
              </w:rPr>
              <w:t>27</w:t>
            </w:r>
            <w:r>
              <w:rPr>
                <w:rFonts w:hint="eastAsia" w:ascii="仿宋" w:hAnsi="仿宋" w:eastAsia="仿宋"/>
                <w:color w:val="000000"/>
                <w:sz w:val="30"/>
                <w:szCs w:val="30"/>
                <w:shd w:val="clear" w:color="auto" w:fill="FFFFFF"/>
              </w:rPr>
              <w:t>.</w:t>
            </w:r>
            <w:r>
              <w:rPr>
                <w:rFonts w:hint="eastAsia" w:ascii="仿宋" w:hAnsi="仿宋" w:eastAsia="仿宋"/>
                <w:color w:val="000000"/>
                <w:sz w:val="30"/>
                <w:szCs w:val="30"/>
                <w:shd w:val="clear" w:color="auto" w:fill="FFFFFF"/>
                <w:lang w:val="en-US" w:eastAsia="zh-CN"/>
              </w:rPr>
              <w:t>77</w:t>
            </w:r>
            <w:r>
              <w:rPr>
                <w:rFonts w:hint="eastAsia" w:ascii="仿宋" w:hAnsi="仿宋" w:eastAsia="仿宋"/>
                <w:color w:val="000000"/>
                <w:sz w:val="30"/>
                <w:szCs w:val="30"/>
                <w:shd w:val="clear" w:color="auto" w:fill="FFFFFF"/>
              </w:rPr>
              <w:t>万元，其它收入0万元，上年结转</w:t>
            </w:r>
            <w:r>
              <w:rPr>
                <w:rFonts w:hint="eastAsia" w:ascii="仿宋" w:hAnsi="仿宋" w:eastAsia="仿宋" w:cs="仿宋_GB2312"/>
                <w:color w:val="000000"/>
                <w:sz w:val="30"/>
                <w:szCs w:val="30"/>
              </w:rPr>
              <w:t>0万元</w:t>
            </w:r>
            <w:r>
              <w:rPr>
                <w:rFonts w:hint="eastAsia" w:ascii="仿宋" w:hAnsi="仿宋" w:eastAsia="仿宋"/>
                <w:color w:val="000000"/>
                <w:sz w:val="30"/>
                <w:szCs w:val="30"/>
                <w:shd w:val="clear" w:color="auto" w:fill="FFFFFF"/>
              </w:rPr>
              <w:t>。全年共计支出</w:t>
            </w:r>
            <w:r>
              <w:rPr>
                <w:rFonts w:hint="eastAsia" w:ascii="仿宋" w:hAnsi="仿宋" w:eastAsia="仿宋" w:cs="仿宋_GB2312"/>
                <w:bCs/>
                <w:color w:val="000000"/>
                <w:sz w:val="30"/>
                <w:szCs w:val="30"/>
                <w:lang w:val="en-US" w:eastAsia="zh-CN"/>
              </w:rPr>
              <w:t>27</w:t>
            </w:r>
            <w:r>
              <w:rPr>
                <w:rFonts w:hint="eastAsia" w:ascii="仿宋" w:hAnsi="仿宋" w:eastAsia="仿宋" w:cs="仿宋_GB2312"/>
                <w:bCs/>
                <w:color w:val="000000"/>
                <w:sz w:val="30"/>
                <w:szCs w:val="30"/>
              </w:rPr>
              <w:t>.</w:t>
            </w:r>
            <w:r>
              <w:rPr>
                <w:rFonts w:hint="eastAsia" w:ascii="仿宋" w:hAnsi="仿宋" w:eastAsia="仿宋" w:cs="仿宋_GB2312"/>
                <w:bCs/>
                <w:color w:val="000000"/>
                <w:sz w:val="30"/>
                <w:szCs w:val="30"/>
                <w:lang w:val="en-US" w:eastAsia="zh-CN"/>
              </w:rPr>
              <w:t>77</w:t>
            </w:r>
            <w:r>
              <w:rPr>
                <w:rFonts w:hint="eastAsia" w:ascii="仿宋" w:hAnsi="仿宋" w:eastAsia="仿宋" w:cs="仿宋_GB2312"/>
                <w:bCs/>
                <w:color w:val="000000"/>
                <w:sz w:val="30"/>
                <w:szCs w:val="30"/>
              </w:rPr>
              <w:t>万元，其中人员支出</w:t>
            </w:r>
            <w:r>
              <w:rPr>
                <w:rFonts w:hint="eastAsia" w:ascii="仿宋" w:hAnsi="仿宋" w:eastAsia="仿宋" w:cs="仿宋_GB2312"/>
                <w:bCs/>
                <w:color w:val="000000"/>
                <w:sz w:val="30"/>
                <w:szCs w:val="30"/>
                <w:lang w:val="en-US" w:eastAsia="zh-CN"/>
              </w:rPr>
              <w:t>10.2</w:t>
            </w:r>
            <w:r>
              <w:rPr>
                <w:rFonts w:hint="eastAsia" w:ascii="仿宋" w:hAnsi="仿宋" w:eastAsia="仿宋" w:cs="仿宋_GB2312"/>
                <w:bCs/>
                <w:color w:val="000000"/>
                <w:sz w:val="30"/>
                <w:szCs w:val="30"/>
              </w:rPr>
              <w:t>万元，公用支出1.</w:t>
            </w:r>
            <w:r>
              <w:rPr>
                <w:rFonts w:hint="eastAsia" w:ascii="仿宋" w:hAnsi="仿宋" w:eastAsia="仿宋" w:cs="仿宋_GB2312"/>
                <w:bCs/>
                <w:color w:val="000000"/>
                <w:sz w:val="30"/>
                <w:szCs w:val="30"/>
                <w:lang w:val="en-US" w:eastAsia="zh-CN"/>
              </w:rPr>
              <w:t>57</w:t>
            </w:r>
            <w:r>
              <w:rPr>
                <w:rFonts w:hint="eastAsia" w:ascii="仿宋" w:hAnsi="仿宋" w:eastAsia="仿宋" w:cs="仿宋_GB2312"/>
                <w:bCs/>
                <w:color w:val="000000"/>
                <w:sz w:val="30"/>
                <w:szCs w:val="30"/>
              </w:rPr>
              <w:t>万元，项目支出</w:t>
            </w:r>
            <w:r>
              <w:rPr>
                <w:rFonts w:hint="eastAsia" w:ascii="仿宋" w:hAnsi="仿宋" w:eastAsia="仿宋" w:cs="仿宋_GB2312"/>
                <w:bCs/>
                <w:color w:val="000000"/>
                <w:sz w:val="30"/>
                <w:szCs w:val="30"/>
                <w:lang w:val="en-US" w:eastAsia="zh-CN"/>
              </w:rPr>
              <w:t>16</w:t>
            </w:r>
            <w:r>
              <w:rPr>
                <w:rFonts w:hint="eastAsia" w:ascii="仿宋" w:hAnsi="仿宋" w:eastAsia="仿宋" w:cs="仿宋_GB2312"/>
                <w:bCs/>
                <w:color w:val="000000"/>
                <w:sz w:val="30"/>
                <w:szCs w:val="30"/>
              </w:rPr>
              <w:t>万元。本年</w:t>
            </w:r>
            <w:r>
              <w:rPr>
                <w:rFonts w:hint="eastAsia" w:ascii="仿宋" w:hAnsi="仿宋" w:eastAsia="仿宋"/>
                <w:color w:val="000000"/>
                <w:sz w:val="30"/>
                <w:szCs w:val="30"/>
                <w:shd w:val="clear" w:color="auto" w:fill="FFFFFF"/>
              </w:rPr>
              <w:t>结转</w:t>
            </w:r>
            <w:r>
              <w:rPr>
                <w:rFonts w:hint="eastAsia" w:ascii="仿宋" w:hAnsi="仿宋" w:eastAsia="仿宋" w:cs="仿宋_GB2312"/>
                <w:color w:val="000000"/>
                <w:sz w:val="30"/>
                <w:szCs w:val="30"/>
              </w:rPr>
              <w:t>0万元</w:t>
            </w:r>
            <w:r>
              <w:rPr>
                <w:rFonts w:hint="eastAsia" w:ascii="仿宋" w:hAnsi="仿宋" w:eastAsia="仿宋"/>
                <w:color w:val="000000"/>
                <w:sz w:val="30"/>
                <w:szCs w:val="30"/>
                <w:shd w:val="clear" w:color="auto" w:fill="FFFFFF"/>
              </w:rPr>
              <w:t>。</w:t>
            </w:r>
          </w:p>
          <w:p>
            <w:pPr>
              <w:spacing w:line="500" w:lineRule="exact"/>
              <w:ind w:firstLine="600" w:firstLineChars="200"/>
              <w:rPr>
                <w:rFonts w:hint="eastAsia" w:ascii="黑体" w:hAnsi="黑体" w:eastAsia="黑体" w:cs="黑体"/>
                <w:bCs/>
                <w:color w:val="000000"/>
                <w:sz w:val="30"/>
                <w:szCs w:val="30"/>
              </w:rPr>
            </w:pPr>
            <w:r>
              <w:rPr>
                <w:rFonts w:hint="eastAsia" w:ascii="黑体" w:hAnsi="黑体" w:eastAsia="黑体" w:cs="黑体"/>
                <w:bCs/>
                <w:color w:val="000000"/>
                <w:sz w:val="30"/>
                <w:szCs w:val="30"/>
              </w:rPr>
              <w:t>二、单位整体支出管理及使用情况</w:t>
            </w:r>
          </w:p>
          <w:p>
            <w:pPr>
              <w:spacing w:line="500" w:lineRule="exact"/>
              <w:ind w:firstLine="600" w:firstLineChars="200"/>
              <w:rPr>
                <w:rFonts w:hint="eastAsia" w:ascii="仿宋" w:hAnsi="仿宋" w:eastAsia="仿宋"/>
                <w:color w:val="000000"/>
                <w:sz w:val="30"/>
                <w:szCs w:val="30"/>
              </w:rPr>
            </w:pPr>
            <w:r>
              <w:rPr>
                <w:rFonts w:hint="eastAsia" w:ascii="仿宋" w:hAnsi="仿宋" w:eastAsia="仿宋"/>
                <w:color w:val="000000"/>
                <w:sz w:val="30"/>
                <w:szCs w:val="30"/>
              </w:rPr>
              <w:t>1、严格预算支出管理。在支出预算编制上，根据“总量控制、计划管理“的要求从严控制行政经费，压缩公务费开支，严格控制“三公”经费，按照预算科目和项目资金的规定使用财政资金，保障部门整体支出的规范化、制度化。</w:t>
            </w:r>
          </w:p>
          <w:p>
            <w:pPr>
              <w:spacing w:line="500" w:lineRule="exact"/>
              <w:ind w:firstLine="600" w:firstLineChars="200"/>
              <w:rPr>
                <w:rFonts w:hint="eastAsia" w:ascii="仿宋" w:hAnsi="仿宋" w:eastAsia="仿宋" w:cs="黑体"/>
                <w:bCs/>
                <w:color w:val="000000"/>
                <w:sz w:val="30"/>
                <w:szCs w:val="30"/>
              </w:rPr>
            </w:pPr>
            <w:r>
              <w:rPr>
                <w:rFonts w:hint="eastAsia" w:ascii="仿宋" w:hAnsi="仿宋" w:eastAsia="仿宋"/>
                <w:color w:val="000000"/>
                <w:sz w:val="30"/>
                <w:szCs w:val="30"/>
              </w:rPr>
              <w:t>2、在财务管理上按照国家相关法律法规，制定了机关财务、公物购置使用、接待、会务、因公出国、</w:t>
            </w:r>
            <w:r>
              <w:rPr>
                <w:rFonts w:hint="eastAsia" w:ascii="仿宋" w:hAnsi="仿宋" w:eastAsia="仿宋"/>
                <w:color w:val="000000"/>
                <w:sz w:val="30"/>
                <w:szCs w:val="30"/>
                <w:lang w:eastAsia="zh-CN"/>
              </w:rPr>
              <w:t>差旅、</w:t>
            </w:r>
            <w:r>
              <w:rPr>
                <w:rFonts w:hint="eastAsia" w:ascii="仿宋" w:hAnsi="仿宋" w:eastAsia="仿宋"/>
                <w:color w:val="000000"/>
                <w:sz w:val="30"/>
                <w:szCs w:val="30"/>
              </w:rPr>
              <w:t>车辆使用等管理制度，并严格按照制度管理和执行，防范风险，保证财政资金的安全和高效运行。</w:t>
            </w:r>
          </w:p>
          <w:p>
            <w:pPr>
              <w:spacing w:line="500" w:lineRule="exact"/>
              <w:ind w:firstLine="600" w:firstLineChars="200"/>
              <w:rPr>
                <w:rFonts w:hint="eastAsia" w:ascii="黑体" w:hAnsi="黑体" w:eastAsia="黑体" w:cs="黑体"/>
                <w:bCs/>
                <w:color w:val="000000"/>
                <w:sz w:val="30"/>
                <w:szCs w:val="30"/>
              </w:rPr>
            </w:pPr>
            <w:r>
              <w:rPr>
                <w:rFonts w:hint="eastAsia" w:ascii="黑体" w:hAnsi="黑体" w:eastAsia="黑体" w:cs="黑体"/>
                <w:bCs/>
                <w:color w:val="000000"/>
                <w:sz w:val="30"/>
                <w:szCs w:val="30"/>
              </w:rPr>
              <w:t>三、单位组织实施情况</w:t>
            </w:r>
          </w:p>
          <w:p>
            <w:pPr>
              <w:spacing w:line="500" w:lineRule="exact"/>
              <w:ind w:firstLine="600" w:firstLineChars="200"/>
              <w:rPr>
                <w:rFonts w:hint="eastAsia" w:ascii="仿宋" w:hAnsi="仿宋" w:eastAsia="仿宋"/>
                <w:color w:val="000000"/>
                <w:sz w:val="30"/>
                <w:szCs w:val="30"/>
                <w:shd w:val="clear" w:color="auto" w:fill="FFFFFF"/>
              </w:rPr>
            </w:pPr>
            <w:r>
              <w:rPr>
                <w:rFonts w:hint="eastAsia" w:ascii="仿宋" w:hAnsi="仿宋" w:eastAsia="仿宋"/>
                <w:color w:val="000000"/>
                <w:sz w:val="30"/>
                <w:szCs w:val="30"/>
                <w:shd w:val="clear" w:color="auto" w:fill="FFFFFF"/>
              </w:rPr>
              <w:t>1、按照绩效自评工作要求，组成以</w:t>
            </w:r>
            <w:r>
              <w:rPr>
                <w:rFonts w:hint="eastAsia" w:ascii="仿宋" w:hAnsi="仿宋" w:eastAsia="仿宋"/>
                <w:color w:val="000000"/>
                <w:sz w:val="30"/>
                <w:szCs w:val="30"/>
                <w:shd w:val="clear" w:color="auto" w:fill="FFFFFF"/>
                <w:lang w:eastAsia="zh-CN"/>
              </w:rPr>
              <w:t>陈勇</w:t>
            </w:r>
            <w:r>
              <w:rPr>
                <w:rFonts w:hint="eastAsia" w:ascii="仿宋" w:hAnsi="仿宋" w:eastAsia="仿宋"/>
                <w:color w:val="000000"/>
                <w:sz w:val="30"/>
                <w:szCs w:val="30"/>
                <w:shd w:val="clear" w:color="auto" w:fill="FFFFFF"/>
              </w:rPr>
              <w:t>同志为组长的绩效评价工作小组，对相关法律法规进行了认真学习，根据部门整体收支情况制定了部门整体支出绩效评价实施方案，设计了绩效评价指标体系和问卷调查表。</w:t>
            </w:r>
          </w:p>
          <w:p>
            <w:pPr>
              <w:spacing w:line="500" w:lineRule="exact"/>
              <w:ind w:firstLine="600" w:firstLineChars="200"/>
              <w:rPr>
                <w:rFonts w:hint="eastAsia" w:ascii="仿宋" w:hAnsi="仿宋" w:eastAsia="仿宋"/>
                <w:color w:val="000000"/>
                <w:sz w:val="30"/>
                <w:szCs w:val="30"/>
                <w:shd w:val="clear" w:color="auto" w:fill="FFFFFF"/>
              </w:rPr>
            </w:pPr>
            <w:r>
              <w:rPr>
                <w:rFonts w:hint="eastAsia" w:ascii="仿宋" w:hAnsi="仿宋" w:eastAsia="仿宋"/>
                <w:color w:val="000000"/>
                <w:sz w:val="30"/>
                <w:szCs w:val="30"/>
                <w:shd w:val="clear" w:color="auto" w:fill="FFFFFF"/>
              </w:rPr>
              <w:t>2、采用核查法核查2017年同级财政预算批复执行及部门整体支出情况，着重核查了“三公”经费及内部控制制度情况。</w:t>
            </w:r>
          </w:p>
          <w:p>
            <w:pPr>
              <w:spacing w:line="500" w:lineRule="exact"/>
              <w:ind w:firstLine="600" w:firstLineChars="200"/>
              <w:rPr>
                <w:rFonts w:hint="eastAsia" w:ascii="仿宋" w:hAnsi="仿宋" w:eastAsia="仿宋"/>
                <w:color w:val="000000"/>
                <w:sz w:val="30"/>
                <w:szCs w:val="30"/>
                <w:shd w:val="clear" w:color="auto" w:fill="FFFFFF"/>
              </w:rPr>
            </w:pPr>
            <w:r>
              <w:rPr>
                <w:rFonts w:hint="eastAsia" w:ascii="仿宋" w:hAnsi="仿宋" w:eastAsia="仿宋"/>
                <w:color w:val="000000"/>
                <w:sz w:val="30"/>
                <w:szCs w:val="30"/>
                <w:shd w:val="clear" w:color="auto" w:fill="FFFFFF"/>
              </w:rPr>
              <w:t>3、根据部门职能和年初制定的绩效考核目标，进行了实地绩效考评。针对履职情况，进行了社会问卷调查。</w:t>
            </w:r>
          </w:p>
          <w:p>
            <w:pPr>
              <w:spacing w:line="500" w:lineRule="exact"/>
              <w:ind w:firstLine="600" w:firstLineChars="200"/>
              <w:rPr>
                <w:rFonts w:hint="eastAsia" w:ascii="黑体" w:hAnsi="黑体" w:eastAsia="黑体" w:cs="黑体"/>
                <w:bCs/>
                <w:sz w:val="30"/>
                <w:szCs w:val="30"/>
              </w:rPr>
            </w:pPr>
            <w:r>
              <w:rPr>
                <w:rFonts w:hint="eastAsia" w:ascii="黑体" w:hAnsi="黑体" w:eastAsia="黑体" w:cs="黑体"/>
                <w:bCs/>
                <w:sz w:val="30"/>
                <w:szCs w:val="30"/>
              </w:rPr>
              <w:t>四、单位整体支出绩效情况</w:t>
            </w:r>
          </w:p>
          <w:p>
            <w:pPr>
              <w:spacing w:line="500" w:lineRule="exact"/>
              <w:ind w:firstLine="600" w:firstLineChars="200"/>
              <w:rPr>
                <w:rFonts w:hint="eastAsia" w:ascii="仿宋" w:hAnsi="仿宋" w:eastAsia="仿宋"/>
                <w:color w:val="000000"/>
                <w:sz w:val="30"/>
                <w:szCs w:val="30"/>
                <w:shd w:val="clear" w:color="auto" w:fill="FFFFFF"/>
              </w:rPr>
            </w:pPr>
            <w:r>
              <w:rPr>
                <w:rFonts w:hint="eastAsia" w:ascii="仿宋" w:hAnsi="仿宋" w:eastAsia="仿宋"/>
                <w:color w:val="000000"/>
                <w:sz w:val="30"/>
                <w:szCs w:val="30"/>
                <w:shd w:val="clear" w:color="auto" w:fill="FFFFFF"/>
              </w:rPr>
              <w:t>2017年，</w:t>
            </w:r>
            <w:r>
              <w:rPr>
                <w:rFonts w:hint="eastAsia" w:ascii="仿宋" w:hAnsi="仿宋" w:eastAsia="仿宋"/>
                <w:color w:val="000000"/>
                <w:sz w:val="30"/>
                <w:szCs w:val="30"/>
                <w:shd w:val="clear" w:color="auto" w:fill="FFFFFF"/>
                <w:lang w:eastAsia="zh-CN"/>
              </w:rPr>
              <w:t>团区委</w:t>
            </w:r>
            <w:r>
              <w:rPr>
                <w:rFonts w:hint="eastAsia" w:ascii="仿宋" w:hAnsi="仿宋" w:eastAsia="仿宋"/>
                <w:color w:val="000000"/>
                <w:sz w:val="30"/>
                <w:szCs w:val="30"/>
                <w:shd w:val="clear" w:color="auto" w:fill="FFFFFF"/>
              </w:rPr>
              <w:t>根据年初工作规划和重点工作，围绕区委、区政府和</w:t>
            </w:r>
            <w:r>
              <w:rPr>
                <w:rFonts w:hint="eastAsia" w:ascii="仿宋" w:hAnsi="仿宋" w:eastAsia="仿宋"/>
                <w:color w:val="000000"/>
                <w:sz w:val="30"/>
                <w:szCs w:val="30"/>
                <w:shd w:val="clear" w:color="auto" w:fill="FFFFFF"/>
                <w:lang w:eastAsia="zh-CN"/>
              </w:rPr>
              <w:t>团市委</w:t>
            </w:r>
            <w:r>
              <w:rPr>
                <w:rFonts w:hint="eastAsia" w:ascii="仿宋" w:hAnsi="仿宋" w:eastAsia="仿宋"/>
                <w:color w:val="000000"/>
                <w:sz w:val="30"/>
                <w:szCs w:val="30"/>
                <w:shd w:val="clear" w:color="auto" w:fill="FFFFFF"/>
              </w:rPr>
              <w:t>的工作部署，积极履行职责，强化管理，在区财政的大力支持下，精打细算，合理安排财政资金，在完成年度工作目标的同时，部门整体支出管理得到了有效提升。</w:t>
            </w:r>
          </w:p>
          <w:p>
            <w:pPr>
              <w:spacing w:line="500" w:lineRule="exact"/>
              <w:ind w:firstLine="588"/>
              <w:rPr>
                <w:rFonts w:hint="eastAsia" w:ascii="仿宋" w:hAnsi="仿宋" w:eastAsia="仿宋"/>
                <w:color w:val="000000"/>
                <w:sz w:val="30"/>
                <w:szCs w:val="30"/>
                <w:shd w:val="clear" w:color="auto" w:fill="FFFFFF"/>
              </w:rPr>
            </w:pPr>
            <w:r>
              <w:rPr>
                <w:rFonts w:hint="eastAsia" w:ascii="仿宋" w:hAnsi="仿宋" w:eastAsia="仿宋"/>
                <w:color w:val="000000"/>
                <w:sz w:val="30"/>
                <w:szCs w:val="30"/>
                <w:shd w:val="clear" w:color="auto" w:fill="FFFFFF"/>
              </w:rPr>
              <w:t>1、本年预算配置控制较好，财政供养人员没有增加。</w:t>
            </w:r>
          </w:p>
          <w:p>
            <w:pPr>
              <w:spacing w:line="500" w:lineRule="exact"/>
              <w:ind w:firstLine="588"/>
              <w:rPr>
                <w:rFonts w:hint="eastAsia" w:ascii="仿宋" w:hAnsi="仿宋" w:eastAsia="仿宋"/>
                <w:color w:val="000000"/>
                <w:sz w:val="30"/>
                <w:szCs w:val="30"/>
                <w:shd w:val="clear" w:color="auto" w:fill="FFFFFF"/>
              </w:rPr>
            </w:pPr>
            <w:r>
              <w:rPr>
                <w:rFonts w:hint="eastAsia" w:ascii="仿宋" w:hAnsi="仿宋" w:eastAsia="仿宋"/>
                <w:color w:val="000000"/>
                <w:sz w:val="30"/>
                <w:szCs w:val="30"/>
                <w:shd w:val="clear" w:color="auto" w:fill="FFFFFF"/>
              </w:rPr>
              <w:t>2、预算执行方面，支出总额控制在预算总额以内，本年部门预算未进行年终追加；预算资金按规定管理和使用，财政拨款支出总体控制较好。</w:t>
            </w:r>
          </w:p>
          <w:p>
            <w:pPr>
              <w:spacing w:line="500" w:lineRule="exact"/>
              <w:ind w:firstLine="588"/>
              <w:rPr>
                <w:rFonts w:hint="eastAsia" w:ascii="仿宋" w:hAnsi="仿宋" w:eastAsia="仿宋"/>
                <w:color w:val="000000"/>
                <w:sz w:val="30"/>
                <w:szCs w:val="30"/>
                <w:shd w:val="clear" w:color="auto" w:fill="FFFFFF"/>
              </w:rPr>
            </w:pPr>
            <w:r>
              <w:rPr>
                <w:rFonts w:hint="eastAsia" w:ascii="仿宋" w:hAnsi="仿宋" w:eastAsia="仿宋"/>
                <w:color w:val="000000"/>
                <w:sz w:val="30"/>
                <w:szCs w:val="30"/>
                <w:shd w:val="clear" w:color="auto" w:fill="FFFFFF"/>
              </w:rPr>
              <w:t>3、预算管理方面，制定了切实有效的内部财务管理制度，总体执行较为有效。</w:t>
            </w:r>
          </w:p>
          <w:p>
            <w:pPr>
              <w:spacing w:line="500" w:lineRule="exact"/>
              <w:ind w:firstLine="600" w:firstLineChars="200"/>
              <w:rPr>
                <w:rFonts w:hint="eastAsia" w:ascii="仿宋" w:hAnsi="仿宋" w:eastAsia="仿宋" w:cs="黑体"/>
                <w:bCs/>
                <w:color w:val="000000"/>
                <w:sz w:val="30"/>
                <w:szCs w:val="30"/>
              </w:rPr>
            </w:pPr>
            <w:r>
              <w:rPr>
                <w:rFonts w:hint="eastAsia" w:ascii="仿宋" w:hAnsi="仿宋" w:eastAsia="仿宋" w:cs="宋体"/>
                <w:color w:val="000000"/>
                <w:sz w:val="30"/>
                <w:szCs w:val="30"/>
              </w:rPr>
              <w:t>按照部门整体支出绩效评价指标体系对照打分得出结果为</w:t>
            </w:r>
            <w:r>
              <w:rPr>
                <w:rFonts w:hint="eastAsia" w:ascii="仿宋" w:hAnsi="仿宋" w:eastAsia="仿宋" w:cs="仿宋_GB2312"/>
                <w:color w:val="000000"/>
                <w:kern w:val="0"/>
                <w:sz w:val="30"/>
                <w:szCs w:val="30"/>
                <w:lang w:val="en-US" w:eastAsia="zh-CN"/>
              </w:rPr>
              <w:t>99</w:t>
            </w:r>
            <w:r>
              <w:rPr>
                <w:rFonts w:hint="eastAsia" w:ascii="仿宋" w:hAnsi="仿宋" w:eastAsia="仿宋" w:cs="宋体"/>
                <w:color w:val="000000"/>
                <w:sz w:val="30"/>
                <w:szCs w:val="30"/>
              </w:rPr>
              <w:t>分，等级为</w:t>
            </w:r>
            <w:r>
              <w:rPr>
                <w:rFonts w:hint="eastAsia" w:ascii="仿宋" w:hAnsi="仿宋" w:eastAsia="仿宋" w:cs="仿宋_GB2312"/>
                <w:color w:val="000000"/>
                <w:kern w:val="0"/>
                <w:sz w:val="30"/>
                <w:szCs w:val="30"/>
              </w:rPr>
              <w:t>优秀</w:t>
            </w:r>
            <w:r>
              <w:rPr>
                <w:rFonts w:hint="eastAsia" w:ascii="仿宋" w:hAnsi="仿宋" w:eastAsia="仿宋" w:cs="宋体"/>
                <w:color w:val="000000"/>
                <w:sz w:val="30"/>
                <w:szCs w:val="30"/>
              </w:rPr>
              <w:t>。</w:t>
            </w:r>
          </w:p>
          <w:p>
            <w:pPr>
              <w:spacing w:line="500" w:lineRule="exact"/>
              <w:ind w:firstLine="600" w:firstLineChars="200"/>
              <w:rPr>
                <w:rFonts w:hint="eastAsia" w:ascii="黑体" w:hAnsi="黑体" w:eastAsia="黑体" w:cs="黑体"/>
                <w:bCs/>
                <w:sz w:val="30"/>
                <w:szCs w:val="30"/>
              </w:rPr>
            </w:pPr>
            <w:r>
              <w:rPr>
                <w:rFonts w:hint="eastAsia" w:ascii="黑体" w:hAnsi="黑体" w:eastAsia="黑体" w:cs="黑体"/>
                <w:bCs/>
                <w:sz w:val="30"/>
                <w:szCs w:val="30"/>
              </w:rPr>
              <w:t>五、存在的主要问题</w:t>
            </w:r>
          </w:p>
          <w:p>
            <w:pPr>
              <w:spacing w:line="500" w:lineRule="exact"/>
              <w:ind w:firstLine="600" w:firstLineChars="200"/>
              <w:rPr>
                <w:rFonts w:hint="eastAsia" w:ascii="仿宋" w:hAnsi="仿宋" w:eastAsia="仿宋"/>
                <w:color w:val="000000"/>
                <w:sz w:val="30"/>
                <w:szCs w:val="30"/>
                <w:shd w:val="clear" w:color="auto" w:fill="FFFFFF"/>
              </w:rPr>
            </w:pPr>
            <w:r>
              <w:rPr>
                <w:rFonts w:hint="eastAsia" w:ascii="仿宋" w:hAnsi="仿宋" w:eastAsia="仿宋"/>
                <w:color w:val="000000"/>
                <w:sz w:val="30"/>
                <w:szCs w:val="30"/>
                <w:shd w:val="clear" w:color="auto" w:fill="FFFFFF"/>
              </w:rPr>
              <w:t>1、财务管理制度依然不够健全。</w:t>
            </w:r>
          </w:p>
          <w:p>
            <w:pPr>
              <w:spacing w:line="500" w:lineRule="exact"/>
              <w:ind w:firstLine="600" w:firstLineChars="200"/>
              <w:rPr>
                <w:rFonts w:hint="eastAsia" w:ascii="仿宋" w:hAnsi="仿宋" w:eastAsia="仿宋" w:cs="黑体"/>
                <w:bCs/>
                <w:color w:val="000000"/>
                <w:sz w:val="30"/>
                <w:szCs w:val="30"/>
              </w:rPr>
            </w:pPr>
            <w:r>
              <w:rPr>
                <w:rFonts w:hint="eastAsia" w:ascii="仿宋" w:hAnsi="仿宋" w:eastAsia="仿宋"/>
                <w:color w:val="000000"/>
                <w:sz w:val="30"/>
                <w:szCs w:val="30"/>
                <w:shd w:val="clear" w:color="auto" w:fill="FFFFFF"/>
              </w:rPr>
              <w:t>2、财务人员业务水平不够专业。</w:t>
            </w:r>
          </w:p>
          <w:p>
            <w:pPr>
              <w:spacing w:line="500" w:lineRule="exact"/>
              <w:ind w:firstLine="600" w:firstLineChars="200"/>
              <w:rPr>
                <w:rFonts w:hint="eastAsia" w:ascii="黑体" w:hAnsi="黑体" w:eastAsia="黑体" w:cs="黑体"/>
                <w:bCs/>
                <w:sz w:val="30"/>
                <w:szCs w:val="30"/>
              </w:rPr>
            </w:pPr>
            <w:r>
              <w:rPr>
                <w:rFonts w:hint="eastAsia" w:ascii="黑体" w:hAnsi="黑体" w:eastAsia="黑体" w:cs="黑体"/>
                <w:bCs/>
                <w:sz w:val="30"/>
                <w:szCs w:val="30"/>
              </w:rPr>
              <w:t>六、改进措施和有关建议</w:t>
            </w:r>
          </w:p>
          <w:p>
            <w:pPr>
              <w:pStyle w:val="3"/>
              <w:shd w:val="clear" w:color="auto" w:fill="FFFFFF"/>
              <w:spacing w:before="0" w:beforeAutospacing="0" w:after="0" w:afterAutospacing="0" w:line="500" w:lineRule="exact"/>
              <w:ind w:firstLine="640"/>
              <w:jc w:val="both"/>
              <w:rPr>
                <w:rFonts w:ascii="仿宋" w:hAnsi="仿宋" w:eastAsia="仿宋" w:cs="Times New Roman"/>
                <w:color w:val="000000"/>
                <w:sz w:val="30"/>
                <w:szCs w:val="30"/>
              </w:rPr>
            </w:pPr>
            <w:r>
              <w:rPr>
                <w:rFonts w:hint="eastAsia" w:ascii="仿宋" w:hAnsi="仿宋" w:eastAsia="仿宋" w:cs="Times New Roman"/>
                <w:color w:val="000000"/>
                <w:sz w:val="30"/>
                <w:szCs w:val="30"/>
              </w:rPr>
              <w:t>1、加强财务管理，严把支出审核关。严格执行财政管理制度，规范各项支出审核，严防超支，促进财务管理的法制化、科学化、合理化运行。</w:t>
            </w:r>
          </w:p>
          <w:p>
            <w:pPr>
              <w:ind w:firstLine="600" w:firstLineChars="200"/>
              <w:rPr>
                <w:rFonts w:hint="eastAsia" w:ascii="仿宋" w:hAnsi="仿宋" w:eastAsia="仿宋"/>
                <w:color w:val="000000"/>
                <w:sz w:val="30"/>
                <w:szCs w:val="30"/>
              </w:rPr>
            </w:pPr>
            <w:r>
              <w:rPr>
                <w:rFonts w:hint="eastAsia" w:ascii="仿宋" w:hAnsi="仿宋" w:eastAsia="仿宋"/>
                <w:color w:val="000000"/>
                <w:sz w:val="30"/>
                <w:szCs w:val="30"/>
              </w:rPr>
              <w:t>2、加强财务专业知识学习，提升专业素养。</w:t>
            </w:r>
          </w:p>
          <w:p>
            <w:pPr>
              <w:rPr>
                <w:rFonts w:eastAsia="楷体_GB2312"/>
                <w:bCs/>
                <w:sz w:val="28"/>
                <w:szCs w:val="28"/>
              </w:rPr>
            </w:pP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outside" w:y="1"/>
      <w:rPr>
        <w:rStyle w:val="5"/>
        <w:sz w:val="24"/>
        <w:szCs w:val="24"/>
      </w:rPr>
    </w:pPr>
    <w:r>
      <w:rPr>
        <w:rStyle w:val="5"/>
        <w:rFonts w:hint="eastAsia"/>
        <w:sz w:val="24"/>
        <w:szCs w:val="24"/>
        <w:lang w:eastAsia="zh-CN"/>
      </w:rPr>
      <w:t xml:space="preserve">— </w:t>
    </w:r>
    <w:r>
      <w:rPr>
        <w:sz w:val="24"/>
        <w:szCs w:val="24"/>
      </w:rPr>
      <w:fldChar w:fldCharType="begin"/>
    </w:r>
    <w:r>
      <w:rPr>
        <w:rStyle w:val="5"/>
        <w:sz w:val="24"/>
        <w:szCs w:val="24"/>
      </w:rPr>
      <w:instrText xml:space="preserve">PAGE  </w:instrText>
    </w:r>
    <w:r>
      <w:rPr>
        <w:sz w:val="24"/>
        <w:szCs w:val="24"/>
      </w:rPr>
      <w:fldChar w:fldCharType="separate"/>
    </w:r>
    <w:r>
      <w:rPr>
        <w:rStyle w:val="5"/>
        <w:sz w:val="24"/>
        <w:szCs w:val="24"/>
      </w:rPr>
      <w:t>1</w:t>
    </w:r>
    <w:r>
      <w:rPr>
        <w:sz w:val="24"/>
        <w:szCs w:val="24"/>
      </w:rPr>
      <w:fldChar w:fldCharType="end"/>
    </w:r>
    <w:r>
      <w:rPr>
        <w:rStyle w:val="5"/>
        <w:rFonts w:hint="eastAsia"/>
        <w:sz w:val="24"/>
        <w:szCs w:val="24"/>
        <w:lang w:eastAsia="zh-CN"/>
      </w:rPr>
      <w:t xml:space="preserve"> —</w:t>
    </w:r>
  </w:p>
  <w:p>
    <w:pPr>
      <w:ind w:right="360"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framePr w:wrap="around" w:vAnchor="text" w:hAnchor="margin" w:xAlign="outside" w:y="1"/>
    </w:pPr>
    <w:r>
      <w:fldChar w:fldCharType="begin"/>
    </w:r>
    <w:r>
      <w:instrText xml:space="preserve">PAGE  </w:instrText>
    </w:r>
    <w:r>
      <w:fldChar w:fldCharType="separate"/>
    </w:r>
    <w:r>
      <w:t>- 15 -</w:t>
    </w:r>
    <w:r>
      <w:fldChar w:fldCharType="end"/>
    </w:r>
  </w:p>
  <w:p>
    <w:pPr>
      <w:ind w:right="360" w:firstLine="360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CD464C79"/>
    <w:multiLevelType w:val="singleLevel"/>
    <w:tmpl w:val="CD464C79"/>
    <w:lvl w:ilvl="0" w:tentative="0">
      <w:start w:val="3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attachedTemplate r:id="rId1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8146B58"/>
    <w:rsid w:val="01A571E0"/>
    <w:rsid w:val="031D47E1"/>
    <w:rsid w:val="06CC1D29"/>
    <w:rsid w:val="0B2F754B"/>
    <w:rsid w:val="0E1A02C0"/>
    <w:rsid w:val="1DA869BD"/>
    <w:rsid w:val="24681989"/>
    <w:rsid w:val="30C150C2"/>
    <w:rsid w:val="310A3610"/>
    <w:rsid w:val="31570A96"/>
    <w:rsid w:val="332E1828"/>
    <w:rsid w:val="34554342"/>
    <w:rsid w:val="37667327"/>
    <w:rsid w:val="3E8F1043"/>
    <w:rsid w:val="42301A2F"/>
    <w:rsid w:val="44BF2D42"/>
    <w:rsid w:val="54063B4F"/>
    <w:rsid w:val="579F29DA"/>
    <w:rsid w:val="58146B58"/>
    <w:rsid w:val="58D353B4"/>
    <w:rsid w:val="625C6AAF"/>
    <w:rsid w:val="634D1B8E"/>
    <w:rsid w:val="64A17131"/>
    <w:rsid w:val="651627B6"/>
    <w:rsid w:val="6B6D4D9F"/>
    <w:rsid w:val="6C772564"/>
    <w:rsid w:val="6D535020"/>
    <w:rsid w:val="7A7F0B01"/>
    <w:rsid w:val="7B39748F"/>
    <w:rsid w:val="7BFC4F9A"/>
    <w:rsid w:val="7CC3634F"/>
    <w:rsid w:val="7DC038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7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kern w:val="0"/>
      <w:sz w:val="18"/>
      <w:szCs w:val="18"/>
    </w:rPr>
  </w:style>
  <w:style w:type="paragraph" w:styleId="3">
    <w:name w:val="Normal (Web)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styleId="5">
    <w:name w:val="page number"/>
    <w:qFormat/>
    <w:uiPriority w:val="0"/>
  </w:style>
  <w:style w:type="character" w:styleId="6">
    <w:name w:val="Hyperlink"/>
    <w:basedOn w:val="4"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dministrator\AppData\Roaming\Kingsoft\wps\addons\pool\win-i386\knewfileres_1.0.0.3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0.docx</Template>
  <Pages>1</Pages>
  <Words>0</Words>
  <Characters>0</Characters>
  <Lines>0</Lines>
  <Paragraphs>0</Paragraphs>
  <TotalTime>4</TotalTime>
  <ScaleCrop>false</ScaleCrop>
  <LinksUpToDate>false</LinksUpToDate>
  <CharactersWithSpaces>0</CharactersWithSpaces>
  <Application>WPS Office_10.1.0.7401_F1E327BC-269C-435d-A152-05C5408002CA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2018-05-23T03:19:00Z</dcterms:created>
  <dc:creator>Administrator</dc:creator>
  <cp:lastModifiedBy>Administrator</cp:lastModifiedBy>
  <cp:lastPrinted>2018-07-26T07:27:22Z</cp:lastPrinted>
  <dcterms:modified xsi:type="dcterms:W3CDTF">2018-07-26T07:28:48Z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2052-10.1.0.7401</vt:lpwstr>
  </property>
</Properties>
</file>