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君山区钱粮湖镇</w:t>
      </w:r>
      <w:r>
        <w:rPr>
          <w:rFonts w:ascii="方正小标宋简体" w:hAnsi="方正小标宋简体" w:eastAsia="方正小标宋简体" w:cs="方正小标宋简体"/>
          <w:sz w:val="44"/>
          <w:szCs w:val="44"/>
        </w:rPr>
        <w:t>2017</w:t>
      </w:r>
      <w:r>
        <w:rPr>
          <w:rFonts w:hint="eastAsia" w:ascii="方正小标宋简体" w:hAnsi="方正小标宋简体" w:eastAsia="方正小标宋简体" w:cs="方正小标宋简体"/>
          <w:sz w:val="44"/>
          <w:szCs w:val="44"/>
        </w:rPr>
        <w:t>年整体支出绩效评价</w:t>
      </w:r>
    </w:p>
    <w:p>
      <w:pPr>
        <w:spacing w:line="6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报</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告</w:t>
      </w:r>
    </w:p>
    <w:p>
      <w:pPr>
        <w:ind w:firstLine="440" w:firstLineChars="200"/>
        <w:rPr>
          <w:rFonts w:ascii="仿宋_GB2312" w:hAnsi="仿宋_GB2312" w:eastAsia="仿宋_GB2312"/>
          <w:sz w:val="22"/>
          <w:szCs w:val="22"/>
        </w:rPr>
      </w:pPr>
    </w:p>
    <w:p>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根据岳君财</w:t>
      </w:r>
      <w:r>
        <w:rPr>
          <w:rFonts w:ascii="仿宋_GB2312" w:hAnsi="仿宋_GB2312" w:eastAsia="仿宋_GB2312" w:cs="仿宋_GB2312"/>
          <w:sz w:val="32"/>
          <w:szCs w:val="32"/>
        </w:rPr>
        <w:t>[2018]18</w:t>
      </w:r>
      <w:r>
        <w:rPr>
          <w:rFonts w:hint="eastAsia" w:ascii="仿宋_GB2312" w:hAnsi="仿宋_GB2312" w:eastAsia="仿宋_GB2312" w:cs="仿宋_GB2312"/>
          <w:sz w:val="32"/>
          <w:szCs w:val="32"/>
        </w:rPr>
        <w:t>号文件要求，君山区钱粮湖镇开展</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年度单位整体支出绩效自评，现将有关情况汇报如下：</w:t>
      </w:r>
    </w:p>
    <w:p>
      <w:pPr>
        <w:ind w:firstLine="640" w:firstLineChars="200"/>
        <w:rPr>
          <w:rFonts w:ascii="黑体" w:hAnsi="黑体" w:eastAsia="黑体"/>
          <w:sz w:val="32"/>
          <w:szCs w:val="32"/>
        </w:rPr>
      </w:pPr>
      <w:r>
        <w:rPr>
          <w:rFonts w:hint="eastAsia" w:ascii="黑体" w:hAnsi="黑体" w:eastAsia="黑体" w:cs="黑体"/>
          <w:sz w:val="32"/>
          <w:szCs w:val="32"/>
        </w:rPr>
        <w:t>一、单位基本情况</w:t>
      </w:r>
    </w:p>
    <w:p>
      <w:pPr>
        <w:ind w:firstLine="643" w:firstLineChars="200"/>
        <w:rPr>
          <w:rFonts w:ascii="楷体" w:hAnsi="楷体" w:eastAsia="楷体"/>
          <w:b/>
          <w:bCs/>
          <w:sz w:val="32"/>
          <w:szCs w:val="32"/>
        </w:rPr>
      </w:pPr>
      <w:r>
        <w:rPr>
          <w:rFonts w:ascii="楷体" w:hAnsi="楷体" w:eastAsia="楷体" w:cs="楷体"/>
          <w:b/>
          <w:bCs/>
          <w:sz w:val="32"/>
          <w:szCs w:val="32"/>
        </w:rPr>
        <w:t>1</w:t>
      </w:r>
      <w:r>
        <w:rPr>
          <w:rFonts w:hint="eastAsia" w:ascii="楷体" w:hAnsi="楷体" w:eastAsia="楷体" w:cs="楷体"/>
          <w:b/>
          <w:bCs/>
          <w:sz w:val="32"/>
          <w:szCs w:val="32"/>
        </w:rPr>
        <w:t>、职能职责</w:t>
      </w:r>
    </w:p>
    <w:p>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乡镇政府是国家基层行政机关，乡镇财政所是最基层的职能部门，主要承担乡镇一般预算资金的收支管理部门综合预算管理，非税收入的征收和管理，国有资产使用和维护。财政补贴资金发放与信息化管理，行使财政监管，贯彻和落实国家财政方针政策等其他工作。</w:t>
      </w:r>
    </w:p>
    <w:p>
      <w:pPr>
        <w:ind w:firstLine="643" w:firstLineChars="200"/>
        <w:rPr>
          <w:rFonts w:ascii="仿宋_GB2312" w:hAnsi="仿宋_GB2312" w:eastAsia="仿宋_GB2312"/>
          <w:sz w:val="32"/>
          <w:szCs w:val="32"/>
        </w:rPr>
      </w:pPr>
      <w:r>
        <w:rPr>
          <w:rFonts w:ascii="楷体" w:hAnsi="楷体" w:eastAsia="楷体" w:cs="楷体"/>
          <w:b/>
          <w:bCs/>
          <w:sz w:val="32"/>
          <w:szCs w:val="32"/>
        </w:rPr>
        <w:t>2</w:t>
      </w:r>
      <w:r>
        <w:rPr>
          <w:rFonts w:hint="eastAsia" w:ascii="楷体" w:hAnsi="楷体" w:eastAsia="楷体" w:cs="楷体"/>
          <w:b/>
          <w:bCs/>
          <w:sz w:val="32"/>
          <w:szCs w:val="32"/>
        </w:rPr>
        <w:t>、机构设置</w:t>
      </w:r>
    </w:p>
    <w:p>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君山区钱粮湖镇政府机关内设机构设置为：党政办、党群办、财政所、农业办（扶贫办）、司法所、综治办、水利移民办、安监站等；下设独立核算站所有城建环卫站、城建规划办、项目办、卫计办、社保站、民政所、环保站、经管站、农经中心、敬老院等。目前君山区钱粮湖镇编制人数如下：行政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7人，事业编制50人，退休人员157人，聘用人员37人。</w:t>
      </w:r>
    </w:p>
    <w:p>
      <w:pPr>
        <w:ind w:firstLine="640" w:firstLineChars="200"/>
        <w:rPr>
          <w:rFonts w:ascii="黑体" w:hAnsi="黑体" w:eastAsia="黑体"/>
          <w:sz w:val="32"/>
          <w:szCs w:val="32"/>
        </w:rPr>
      </w:pPr>
      <w:r>
        <w:rPr>
          <w:rFonts w:hint="eastAsia" w:ascii="黑体" w:hAnsi="黑体" w:eastAsia="黑体" w:cs="黑体"/>
          <w:sz w:val="32"/>
          <w:szCs w:val="32"/>
        </w:rPr>
        <w:t>二、部门收支情况</w:t>
      </w:r>
    </w:p>
    <w:p>
      <w:pPr>
        <w:ind w:firstLine="643" w:firstLineChars="200"/>
        <w:rPr>
          <w:rFonts w:ascii="仿宋_GB2312" w:hAnsi="仿宋_GB2312" w:eastAsia="仿宋_GB2312"/>
          <w:sz w:val="32"/>
          <w:szCs w:val="32"/>
        </w:rPr>
      </w:pPr>
      <w:r>
        <w:rPr>
          <w:rFonts w:ascii="楷体" w:hAnsi="楷体" w:eastAsia="楷体" w:cs="楷体"/>
          <w:b/>
          <w:bCs/>
          <w:sz w:val="32"/>
          <w:szCs w:val="32"/>
        </w:rPr>
        <w:t>1</w:t>
      </w:r>
      <w:r>
        <w:rPr>
          <w:rFonts w:hint="eastAsia" w:ascii="楷体" w:hAnsi="楷体" w:eastAsia="楷体" w:cs="楷体"/>
          <w:b/>
          <w:bCs/>
          <w:sz w:val="32"/>
          <w:szCs w:val="32"/>
        </w:rPr>
        <w:t>、收入：</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年收入3390万元，其中公共预算财政拨款收入1564.63万元，其他收入1825.37万元。</w:t>
      </w:r>
    </w:p>
    <w:p>
      <w:pPr>
        <w:ind w:firstLine="643" w:firstLineChars="200"/>
        <w:rPr>
          <w:rFonts w:ascii="仿宋_GB2312" w:hAnsi="仿宋_GB2312" w:eastAsia="仿宋_GB2312"/>
          <w:sz w:val="32"/>
          <w:szCs w:val="32"/>
        </w:rPr>
      </w:pPr>
      <w:r>
        <w:rPr>
          <w:rFonts w:ascii="楷体" w:hAnsi="楷体" w:eastAsia="楷体" w:cs="楷体"/>
          <w:b/>
          <w:bCs/>
          <w:sz w:val="32"/>
          <w:szCs w:val="32"/>
        </w:rPr>
        <w:t>2</w:t>
      </w:r>
      <w:r>
        <w:rPr>
          <w:rFonts w:hint="eastAsia" w:ascii="楷体" w:hAnsi="楷体" w:eastAsia="楷体" w:cs="楷体"/>
          <w:b/>
          <w:bCs/>
          <w:sz w:val="32"/>
          <w:szCs w:val="32"/>
        </w:rPr>
        <w:t>、支出：</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年支出3390万元，其中基本支出2449万元（人员支出1681万元、公用支出768万元），项目支出941万元。</w:t>
      </w:r>
    </w:p>
    <w:p>
      <w:pPr>
        <w:ind w:firstLine="643" w:firstLineChars="200"/>
        <w:rPr>
          <w:rFonts w:ascii="仿宋_GB2312" w:hAnsi="仿宋_GB2312" w:eastAsia="仿宋_GB2312"/>
          <w:sz w:val="32"/>
          <w:szCs w:val="32"/>
        </w:rPr>
      </w:pPr>
      <w:r>
        <w:rPr>
          <w:rFonts w:ascii="楷体" w:hAnsi="楷体" w:eastAsia="楷体" w:cs="楷体"/>
          <w:b/>
          <w:bCs/>
          <w:sz w:val="32"/>
          <w:szCs w:val="32"/>
        </w:rPr>
        <w:t>3</w:t>
      </w:r>
      <w:r>
        <w:rPr>
          <w:rFonts w:hint="eastAsia" w:ascii="楷体" w:hAnsi="楷体" w:eastAsia="楷体" w:cs="楷体"/>
          <w:b/>
          <w:bCs/>
          <w:sz w:val="32"/>
          <w:szCs w:val="32"/>
        </w:rPr>
        <w:t>、三公经费支出</w:t>
      </w:r>
    </w:p>
    <w:p>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年三公经费预算数为134.46万元，其中公务接待89.1万元，公务用车45.36万元。实际支出为128.4万元，其中公务接待83.9万元，公务用车44.5万元。</w:t>
      </w:r>
    </w:p>
    <w:p>
      <w:pPr>
        <w:ind w:firstLine="640" w:firstLineChars="200"/>
        <w:rPr>
          <w:rFonts w:ascii="黑体" w:hAnsi="黑体" w:eastAsia="黑体"/>
          <w:sz w:val="32"/>
          <w:szCs w:val="32"/>
        </w:rPr>
      </w:pPr>
      <w:r>
        <w:rPr>
          <w:rFonts w:hint="eastAsia" w:ascii="黑体" w:hAnsi="黑体" w:eastAsia="黑体" w:cs="黑体"/>
          <w:sz w:val="32"/>
          <w:szCs w:val="32"/>
        </w:rPr>
        <w:t>三、绩效评价工作情况</w:t>
      </w:r>
    </w:p>
    <w:p>
      <w:pPr>
        <w:ind w:firstLine="643" w:firstLineChars="200"/>
        <w:rPr>
          <w:rFonts w:ascii="楷体" w:hAnsi="楷体" w:eastAsia="楷体"/>
          <w:b/>
          <w:bCs/>
          <w:sz w:val="32"/>
          <w:szCs w:val="32"/>
        </w:rPr>
      </w:pPr>
      <w:r>
        <w:rPr>
          <w:rFonts w:ascii="楷体" w:hAnsi="楷体" w:eastAsia="楷体" w:cs="楷体"/>
          <w:b/>
          <w:bCs/>
          <w:sz w:val="32"/>
          <w:szCs w:val="32"/>
        </w:rPr>
        <w:t>1</w:t>
      </w:r>
      <w:r>
        <w:rPr>
          <w:rFonts w:hint="eastAsia" w:ascii="楷体" w:hAnsi="楷体" w:eastAsia="楷体" w:cs="楷体"/>
          <w:b/>
          <w:bCs/>
          <w:sz w:val="32"/>
          <w:szCs w:val="32"/>
        </w:rPr>
        <w:t>、部门整体支出绩效评价依据</w:t>
      </w:r>
    </w:p>
    <w:p>
      <w:pPr>
        <w:ind w:firstLine="640" w:firstLineChars="200"/>
        <w:rPr>
          <w:rFonts w:ascii="仿宋_GB2312" w:hAnsi="仿宋_GB2312" w:eastAsia="仿宋_GB2312"/>
          <w:sz w:val="32"/>
          <w:szCs w:val="32"/>
        </w:rPr>
      </w:pPr>
      <w:r>
        <w:rPr>
          <w:rFonts w:hint="eastAsia" w:ascii="仿宋_GB2312" w:hAnsi="Wingdings" w:eastAsia="仿宋_GB2312"/>
          <w:sz w:val="32"/>
          <w:szCs w:val="32"/>
        </w:rPr>
        <w:sym w:font="Wingdings" w:char="F03F"/>
      </w:r>
      <w:r>
        <w:rPr>
          <w:rFonts w:hint="eastAsia" w:ascii="仿宋_GB2312" w:hAnsi="仿宋_GB2312" w:eastAsia="仿宋_GB2312" w:cs="仿宋_GB2312"/>
          <w:sz w:val="32"/>
          <w:szCs w:val="32"/>
        </w:rPr>
        <w:t>《中共岳阳市委岳阳市人民政府关于做好</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年度综合绩效考评工作的通知》；</w:t>
      </w:r>
    </w:p>
    <w:p>
      <w:pPr>
        <w:ind w:firstLine="640" w:firstLineChars="200"/>
        <w:rPr>
          <w:rFonts w:ascii="仿宋_GB2312" w:hAnsi="仿宋_GB2312" w:eastAsia="仿宋_GB2312"/>
          <w:sz w:val="32"/>
          <w:szCs w:val="32"/>
        </w:rPr>
      </w:pPr>
      <w:r>
        <w:rPr>
          <w:rFonts w:hint="eastAsia" w:ascii="仿宋_GB2312" w:hAnsi="Wingdings" w:eastAsia="仿宋_GB2312"/>
          <w:sz w:val="32"/>
          <w:szCs w:val="32"/>
        </w:rPr>
        <w:sym w:font="Wingdings" w:char="F03F"/>
      </w:r>
      <w:r>
        <w:rPr>
          <w:rFonts w:hint="eastAsia" w:ascii="仿宋_GB2312" w:hAnsi="仿宋_GB2312" w:eastAsia="仿宋_GB2312" w:cs="仿宋_GB2312"/>
          <w:sz w:val="32"/>
          <w:szCs w:val="32"/>
        </w:rPr>
        <w:t>《岳阳市财政局关于印发</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年度综合绩效考评财政部门有关考核实施细则通知》；</w:t>
      </w:r>
    </w:p>
    <w:p>
      <w:pPr>
        <w:ind w:firstLine="640" w:firstLineChars="200"/>
        <w:rPr>
          <w:rFonts w:ascii="仿宋_GB2312" w:hAnsi="仿宋_GB2312" w:eastAsia="仿宋_GB2312"/>
          <w:sz w:val="32"/>
          <w:szCs w:val="32"/>
        </w:rPr>
      </w:pPr>
      <w:r>
        <w:rPr>
          <w:rFonts w:hint="eastAsia" w:ascii="仿宋_GB2312" w:hAnsi="Wingdings" w:eastAsia="仿宋_GB2312"/>
          <w:sz w:val="32"/>
          <w:szCs w:val="32"/>
        </w:rPr>
        <w:sym w:font="Wingdings" w:char="F03F"/>
      </w:r>
      <w:r>
        <w:rPr>
          <w:rFonts w:hint="eastAsia" w:ascii="仿宋_GB2312" w:hAnsi="仿宋_GB2312" w:eastAsia="仿宋_GB2312" w:cs="仿宋_GB2312"/>
          <w:sz w:val="32"/>
          <w:szCs w:val="32"/>
        </w:rPr>
        <w:t>《岳阳市君山区财政局关于开展</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年度部门整体支出绩效自评工作的通知》。</w:t>
      </w:r>
    </w:p>
    <w:p>
      <w:pPr>
        <w:ind w:firstLine="643" w:firstLineChars="200"/>
        <w:rPr>
          <w:rFonts w:ascii="楷体" w:hAnsi="楷体" w:eastAsia="楷体"/>
          <w:b/>
          <w:bCs/>
          <w:sz w:val="32"/>
          <w:szCs w:val="32"/>
        </w:rPr>
      </w:pPr>
      <w:r>
        <w:rPr>
          <w:rFonts w:ascii="楷体" w:hAnsi="楷体" w:eastAsia="楷体" w:cs="楷体"/>
          <w:b/>
          <w:bCs/>
          <w:sz w:val="32"/>
          <w:szCs w:val="32"/>
        </w:rPr>
        <w:t>2</w:t>
      </w:r>
      <w:r>
        <w:rPr>
          <w:rFonts w:hint="eastAsia" w:ascii="楷体" w:hAnsi="楷体" w:eastAsia="楷体" w:cs="楷体"/>
          <w:b/>
          <w:bCs/>
          <w:sz w:val="32"/>
          <w:szCs w:val="32"/>
        </w:rPr>
        <w:t>、部门整体支出绩效评价的目的</w:t>
      </w:r>
    </w:p>
    <w:p>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通过对</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年君山区钱粮湖镇预算配置、预算管理、资产管理、职责履行、履行效益等内容的绩效考评，提高财政资金的使用效率，为预管管理提供决策依据。</w:t>
      </w:r>
    </w:p>
    <w:p>
      <w:pPr>
        <w:ind w:firstLine="643" w:firstLineChars="200"/>
        <w:rPr>
          <w:rFonts w:ascii="楷体" w:hAnsi="楷体" w:eastAsia="楷体"/>
          <w:b/>
          <w:bCs/>
          <w:sz w:val="32"/>
          <w:szCs w:val="32"/>
        </w:rPr>
      </w:pPr>
      <w:r>
        <w:rPr>
          <w:rFonts w:ascii="楷体" w:hAnsi="楷体" w:eastAsia="楷体" w:cs="楷体"/>
          <w:b/>
          <w:bCs/>
          <w:sz w:val="32"/>
          <w:szCs w:val="32"/>
        </w:rPr>
        <w:t>3</w:t>
      </w:r>
      <w:r>
        <w:rPr>
          <w:rFonts w:hint="eastAsia" w:ascii="楷体" w:hAnsi="楷体" w:eastAsia="楷体" w:cs="楷体"/>
          <w:b/>
          <w:bCs/>
          <w:sz w:val="32"/>
          <w:szCs w:val="32"/>
        </w:rPr>
        <w:t>、部门整体支出评价原则及方法</w:t>
      </w:r>
    </w:p>
    <w:p>
      <w:pPr>
        <w:ind w:firstLine="640" w:firstLineChars="200"/>
        <w:rPr>
          <w:rFonts w:ascii="仿宋_GB2312" w:hAnsi="仿宋_GB2312" w:eastAsia="仿宋_GB2312"/>
          <w:sz w:val="32"/>
          <w:szCs w:val="32"/>
        </w:rPr>
      </w:pPr>
      <w:r>
        <w:rPr>
          <w:rFonts w:hint="eastAsia" w:ascii="仿宋_GB2312" w:hAnsi="Wingdings" w:eastAsia="仿宋_GB2312"/>
          <w:sz w:val="32"/>
          <w:szCs w:val="32"/>
        </w:rPr>
        <w:sym w:font="Wingdings" w:char="F03F"/>
      </w:r>
      <w:r>
        <w:rPr>
          <w:rFonts w:hint="eastAsia" w:ascii="仿宋_GB2312" w:hAnsi="仿宋_GB2312" w:eastAsia="仿宋_GB2312" w:cs="仿宋_GB2312"/>
          <w:sz w:val="32"/>
          <w:szCs w:val="32"/>
        </w:rPr>
        <w:t>评价原则：遵循尊重客观实际，实事求是的原则。</w:t>
      </w:r>
    </w:p>
    <w:p>
      <w:pPr>
        <w:ind w:firstLine="640" w:firstLineChars="200"/>
        <w:rPr>
          <w:rFonts w:ascii="仿宋_GB2312" w:hAnsi="仿宋_GB2312" w:eastAsia="仿宋_GB2312"/>
          <w:sz w:val="32"/>
          <w:szCs w:val="32"/>
        </w:rPr>
      </w:pPr>
      <w:r>
        <w:rPr>
          <w:rFonts w:hint="eastAsia" w:ascii="仿宋_GB2312" w:hAnsi="Wingdings" w:eastAsia="仿宋_GB2312"/>
          <w:sz w:val="32"/>
          <w:szCs w:val="32"/>
        </w:rPr>
        <w:sym w:font="Wingdings" w:char="F03F"/>
      </w:r>
      <w:r>
        <w:rPr>
          <w:rFonts w:hint="eastAsia" w:ascii="仿宋_GB2312" w:hAnsi="仿宋_GB2312" w:eastAsia="仿宋_GB2312" w:cs="仿宋_GB2312"/>
          <w:sz w:val="32"/>
          <w:szCs w:val="32"/>
        </w:rPr>
        <w:t>评价方法：主要采用因素分析法、比较法等方法。</w:t>
      </w:r>
    </w:p>
    <w:p>
      <w:pPr>
        <w:ind w:firstLine="640" w:firstLineChars="200"/>
        <w:rPr>
          <w:rFonts w:ascii="黑体" w:hAnsi="黑体" w:eastAsia="黑体"/>
          <w:sz w:val="32"/>
          <w:szCs w:val="32"/>
        </w:rPr>
      </w:pPr>
      <w:r>
        <w:rPr>
          <w:rFonts w:hint="eastAsia" w:ascii="黑体" w:hAnsi="黑体" w:eastAsia="黑体" w:cs="黑体"/>
          <w:sz w:val="32"/>
          <w:szCs w:val="32"/>
        </w:rPr>
        <w:t>四、整体支出综合评价及结论</w:t>
      </w:r>
    </w:p>
    <w:p>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根据考核评分细则结果分析，君山区钱粮湖镇</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年度整体支出严格按照国家相关财务管理制度和中央八项规定遵照执行。内部控制到位、纪律严明、制度健全、监督管理严谨，依法依规审核严格把关。按照部门整体支出绩效评价指标体系对照打分结果为</w:t>
      </w:r>
      <w:r>
        <w:rPr>
          <w:rFonts w:ascii="仿宋_GB2312" w:hAnsi="仿宋_GB2312" w:eastAsia="仿宋_GB2312" w:cs="仿宋_GB2312"/>
          <w:sz w:val="32"/>
          <w:szCs w:val="32"/>
        </w:rPr>
        <w:t>97</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自评优。</w:t>
      </w:r>
    </w:p>
    <w:p>
      <w:pPr>
        <w:ind w:firstLine="640" w:firstLineChars="200"/>
        <w:rPr>
          <w:rFonts w:ascii="黑体" w:hAnsi="黑体" w:eastAsia="黑体"/>
          <w:sz w:val="32"/>
          <w:szCs w:val="32"/>
        </w:rPr>
      </w:pPr>
      <w:r>
        <w:rPr>
          <w:rFonts w:hint="eastAsia" w:ascii="黑体" w:hAnsi="黑体" w:eastAsia="黑体" w:cs="黑体"/>
          <w:sz w:val="32"/>
          <w:szCs w:val="32"/>
        </w:rPr>
        <w:t>五、存在的问题及对策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君山区钱粮湖镇通过对</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部门整体支出绩效自评，也发现了工作中存在的一些问题和不足，其一：综治维稳及信访资金使用与工作效率不成正比；其二：安全生产方面消除隐患预算缺乏科学性和实用性；其三：对预算管理和执行存在偏差。针对以上存在的问题建议：一是强化绩效考核以目标任务为核心，责任分解到人，增强绩效考核意识。二是以前年度预算为蓝本，结合实际情况进行合理科学的预算，对不可预知所发生的事项进行合理测算。三是职责履行和履职效益相结合事前事中事后进行考评，让考核目标中涉及的每一项任务落到实处，确保各项绩效考核指标如期如质如量完成。</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               </w:t>
      </w:r>
    </w:p>
    <w:p>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君山区钱粮湖镇人民政府</w:t>
      </w:r>
    </w:p>
    <w:p>
      <w:pPr>
        <w:ind w:firstLine="5600" w:firstLineChars="1750"/>
        <w:rPr>
          <w:rFonts w:ascii="仿宋_GB2312" w:hAnsi="仿宋_GB2312" w:eastAsia="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年7月30日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1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2018-10-23T03:03:44Z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