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</w:pPr>
      <w:r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  <w:t>君山区委</w:t>
      </w:r>
      <w:r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  <w:lang w:eastAsia="zh-CN"/>
        </w:rPr>
        <w:t>老干部局</w:t>
      </w:r>
      <w:r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  <w:t>201</w:t>
      </w:r>
      <w:r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  <w:lang w:val="en-US" w:eastAsia="zh-CN"/>
        </w:rPr>
        <w:t>7</w:t>
      </w:r>
      <w:r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  <w:t>年</w:t>
      </w:r>
    </w:p>
    <w:p>
      <w:pPr>
        <w:spacing w:line="600" w:lineRule="exact"/>
        <w:jc w:val="center"/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</w:pPr>
      <w:r>
        <w:rPr>
          <w:rFonts w:hint="eastAsia" w:ascii="方正小标宋简体" w:hAnsi="方正小标" w:eastAsia="方正小标宋简体" w:cs="方正小标"/>
          <w:b w:val="0"/>
          <w:bCs w:val="0"/>
          <w:sz w:val="44"/>
          <w:szCs w:val="44"/>
        </w:rPr>
        <w:t>整体支出绩效评价报告</w:t>
      </w:r>
    </w:p>
    <w:p>
      <w:pPr>
        <w:spacing w:line="600" w:lineRule="exact"/>
        <w:jc w:val="center"/>
        <w:rPr>
          <w:rFonts w:hint="eastAsia" w:ascii="方正小标宋简体" w:hAnsi="方正小标" w:eastAsia="方正小标宋简体" w:cs="方正小标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为认真贯彻《岳阳市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君山区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财政局关于开展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/>
        </w:rPr>
        <w:t>201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年度部门整体支出绩效评价工作的通知》（岳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财〔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/>
        </w:rPr>
        <w:t>201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〕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号）精神，进一步加强和规范我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整体支出的使用管理，提高财政资金使用效益，我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积极开展对整体支出的绩效评价工作。结果表明，整体支出资金使用规范、管理有力，较好完成了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/>
        </w:rPr>
        <w:t>201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年度绩效考核的各项目标任务。现将情况汇报如下：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spacing w:line="600" w:lineRule="exact"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sz w:val="32"/>
          <w:szCs w:val="28"/>
        </w:rPr>
      </w:pPr>
      <w:r>
        <w:rPr>
          <w:rFonts w:hint="eastAsia" w:ascii="黑体" w:hAnsi="黑体" w:eastAsia="黑体" w:cs="黑体"/>
          <w:b/>
          <w:bCs/>
          <w:sz w:val="32"/>
          <w:szCs w:val="28"/>
          <w:lang w:eastAsia="zh-CN"/>
        </w:rPr>
        <w:t>一、</w:t>
      </w:r>
      <w:r>
        <w:rPr>
          <w:rFonts w:hint="eastAsia" w:ascii="黑体" w:hAnsi="黑体" w:eastAsia="黑体" w:cs="黑体"/>
          <w:b/>
          <w:bCs/>
          <w:sz w:val="32"/>
          <w:szCs w:val="28"/>
        </w:rPr>
        <w:t>单位概况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spacing w:line="600" w:lineRule="exact"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  <w:t>（一）基本情况</w:t>
      </w:r>
    </w:p>
    <w:p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  <w:lang w:eastAsia="zh-CN"/>
        </w:rPr>
        <w:t>区委老干部局系正科级</w:t>
      </w:r>
      <w:r>
        <w:rPr>
          <w:rFonts w:hint="eastAsia" w:ascii="仿宋_GB2312" w:hAnsi="仿宋_GB2312" w:eastAsia="仿宋_GB2312" w:cs="仿宋_GB2312"/>
          <w:sz w:val="32"/>
        </w:rPr>
        <w:t>全额预算拨款单位。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核定行政编制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4名，事业编制5名，截止2017年12月31日，实有8人，</w:t>
      </w:r>
      <w:r>
        <w:rPr>
          <w:rFonts w:hint="eastAsia" w:ascii="仿宋_GB2312" w:hAnsi="仿宋_GB2312" w:eastAsia="仿宋_GB2312" w:cs="仿宋_GB2312"/>
          <w:sz w:val="32"/>
        </w:rPr>
        <w:t>其中机关本级行政编制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人员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4名，老干部活动中心事业编制人员4名，离退休14人。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bidi w:val="0"/>
        <w:spacing w:line="60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  <w:t>（二）部门职能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  <w:t>宣传、贯彻、落实党的老干部工作的政策和规定，进一步加强老干部的思想政治工作、离退休党</w:t>
      </w:r>
      <w:r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  <w:t>工委</w:t>
      </w:r>
      <w:r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  <w:t>建设；落实离休干部的“两个待遇”；研究和解决老干部工作中出现的新情况和新问题；负责离休干部重大节日期间的慰问活动；负责离休干部住院探望和善后处理工作；负责</w:t>
      </w:r>
      <w:r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  <w:t>区</w:t>
      </w:r>
      <w:r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  <w:t>老干部活动中心工作，办好老年大学，组织老干部开展门球、健身等娱乐活动；协助</w:t>
      </w:r>
      <w:r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  <w:t>区委区政府</w:t>
      </w:r>
      <w:r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  <w:t>抓好全</w:t>
      </w:r>
      <w:r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  <w:t>区</w:t>
      </w:r>
      <w:r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  <w:t>关心下一代工作；做好机关党建工作，积极开展党组织活动</w:t>
      </w:r>
      <w:r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  <w:t>，</w:t>
      </w:r>
      <w:r>
        <w:rPr>
          <w:rFonts w:hint="default" w:ascii="仿宋_GB2312" w:hAnsi="仿宋_GB2312" w:eastAsia="仿宋_GB2312" w:cs="仿宋_GB2312"/>
          <w:sz w:val="32"/>
          <w:szCs w:val="28"/>
          <w:lang w:val="en-US" w:eastAsia="zh-CN"/>
        </w:rPr>
        <w:t>引导老干部发挥余热。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spacing w:line="600" w:lineRule="exact"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  <w:t>（三）重点工作计划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  <w:t>一是老干部生活待遇落实到位；二是老干部政治待遇基本落实；三是做好老干部参观、门球等活动顺利开展；四是老干部余热得到较好发挥。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bidi w:val="0"/>
        <w:spacing w:line="600" w:lineRule="exact"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sz w:val="32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28"/>
          <w:lang w:eastAsia="zh-CN"/>
        </w:rPr>
        <w:t>二、</w:t>
      </w:r>
      <w:r>
        <w:rPr>
          <w:rFonts w:hint="eastAsia" w:ascii="黑体" w:hAnsi="黑体" w:eastAsia="黑体" w:cs="黑体"/>
          <w:b/>
          <w:bCs/>
          <w:sz w:val="32"/>
          <w:szCs w:val="28"/>
        </w:rPr>
        <w:t>单位</w:t>
      </w:r>
      <w:r>
        <w:rPr>
          <w:rFonts w:hint="eastAsia" w:ascii="黑体" w:hAnsi="黑体" w:eastAsia="黑体" w:cs="黑体"/>
          <w:b/>
          <w:bCs/>
          <w:sz w:val="32"/>
          <w:szCs w:val="28"/>
          <w:lang w:eastAsia="zh-CN"/>
        </w:rPr>
        <w:t>整体</w:t>
      </w:r>
      <w:r>
        <w:rPr>
          <w:rFonts w:hint="eastAsia" w:ascii="黑体" w:hAnsi="黑体" w:eastAsia="黑体" w:cs="黑体"/>
          <w:b/>
          <w:bCs/>
          <w:sz w:val="32"/>
          <w:szCs w:val="28"/>
        </w:rPr>
        <w:t>收支情况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bidi w:val="0"/>
        <w:spacing w:line="600" w:lineRule="exact"/>
        <w:ind w:firstLine="643" w:firstLineChars="200"/>
        <w:jc w:val="left"/>
        <w:textAlignment w:val="auto"/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  <w:t>（一）单位整体收支情况。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本年度收入总计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161.72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万元，其中：财政拨款收入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161.72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万元。年初结转和结余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万元。本年度支出总计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161.72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万元，其中：一般公共预算财政拨款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161.72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本年度基本支出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161.72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万元，系保障单位日常公用支出和人员支出，包括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办公、维修、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水电、邮电、差旅费及工资津补贴等。其中：人员经费支出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78.81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万元，公用经费支出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74.57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本年度项目支出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8.34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其中，一般公共服务支出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8.34万元，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是我局为做好全区老干部工作而发生的支出</w:t>
      </w:r>
      <w:r>
        <w:rPr>
          <w:rFonts w:hint="eastAsia" w:asci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643" w:firstLineChars="200"/>
        <w:jc w:val="left"/>
        <w:textAlignment w:val="auto"/>
        <w:outlineLvl w:val="9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28"/>
          <w:lang w:val="en-US" w:eastAsia="zh-CN"/>
        </w:rPr>
        <w:t>（二）</w:t>
      </w:r>
      <w:r>
        <w:rPr>
          <w:rFonts w:hint="eastAsia" w:ascii="楷体_GB2312" w:hAnsi="楷体_GB2312" w:eastAsia="楷体_GB2312" w:cs="楷体_GB2312"/>
          <w:b/>
          <w:bCs/>
          <w:sz w:val="32"/>
          <w:szCs w:val="28"/>
        </w:rPr>
        <w:t>三公经费支出情况</w:t>
      </w:r>
      <w:r>
        <w:rPr>
          <w:rFonts w:hint="eastAsia" w:ascii="楷体_GB2312" w:hAnsi="楷体_GB2312" w:eastAsia="楷体_GB2312" w:cs="楷体_GB2312"/>
          <w:b/>
          <w:bCs/>
          <w:sz w:val="32"/>
          <w:szCs w:val="28"/>
          <w:lang w:eastAsia="zh-CN"/>
        </w:rPr>
        <w:t>。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本年度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三公”经费”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2.53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万元。其中公务接待费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1.61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万元，公务车运行维护费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业务0.92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万元。</w:t>
      </w:r>
    </w:p>
    <w:p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spacing w:line="60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  <w:lang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单位专项组织实施情况</w:t>
      </w:r>
    </w:p>
    <w:p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spacing w:line="600" w:lineRule="exact"/>
        <w:jc w:val="left"/>
        <w:textAlignment w:val="auto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 xml:space="preserve">  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shd w:val="clear" w:color="auto" w:fill="FFFFFF"/>
          <w:lang w:eastAsia="zh-CN"/>
        </w:rPr>
        <w:t>（一）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shd w:val="clear" w:color="auto" w:fill="FFFFFF"/>
        </w:rPr>
        <w:t>前期准备：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按照绩效自评工作要求，组成以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  <w:lang w:eastAsia="zh-CN"/>
        </w:rPr>
        <w:t>温小琪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同志为组长的绩效评价工作小组，对相关的国家法律法规进行了认真学习，掌握政策，根据部门整体收支情况制定了部门整体支出绩效评价实施方案，设计了绩效评价指标体系和问卷调查表。</w:t>
      </w:r>
    </w:p>
    <w:p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spacing w:line="600" w:lineRule="exact"/>
        <w:jc w:val="left"/>
        <w:textAlignment w:val="auto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 xml:space="preserve">  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shd w:val="clear" w:color="auto" w:fill="FFFFFF"/>
          <w:lang w:eastAsia="zh-CN"/>
        </w:rPr>
        <w:t>（二）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shd w:val="clear" w:color="auto" w:fill="FFFFFF"/>
        </w:rPr>
        <w:t>组织实施：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采用核查法核查201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年同级财政预算批复执行及部门整体支出情况，着重核查了“三公”经费及资产管理、内部控制制度情况，对内设机构，根据部门职能和年初制定的绩效考核目标，进行了实地绩效考评。</w:t>
      </w:r>
    </w:p>
    <w:p>
      <w:pPr>
        <w:keepNext w:val="0"/>
        <w:keepLines w:val="0"/>
        <w:pageBreakBefore w:val="0"/>
        <w:shd w:val="solid" w:color="FFFFFF" w:fill="auto"/>
        <w:kinsoku/>
        <w:wordWrap/>
        <w:overflowPunct/>
        <w:topLinePunct w:val="0"/>
        <w:autoSpaceDE/>
        <w:autoSpaceDN w:val="0"/>
        <w:bidi w:val="0"/>
        <w:spacing w:line="600" w:lineRule="exact"/>
        <w:ind w:firstLine="643" w:firstLineChars="200"/>
        <w:jc w:val="left"/>
        <w:textAlignment w:val="auto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shd w:val="clear" w:color="auto" w:fill="FFFFFF"/>
        </w:rPr>
        <w:t>分析评价：</w:t>
      </w: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对评价过程中收集资料进行归纳，汇总分析，依据设定的部门整体支出绩效评价指标体系进行了评分，形成了综合性书面报告。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单位整体支出绩效情况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201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7</w:t>
      </w:r>
      <w:r>
        <w:rPr>
          <w:rFonts w:hint="eastAsia" w:ascii="仿宋_GB2312" w:hAnsi="宋体" w:eastAsia="仿宋_GB2312" w:cs="宋体"/>
          <w:sz w:val="32"/>
          <w:szCs w:val="32"/>
        </w:rPr>
        <w:t>年，根据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我局</w:t>
      </w:r>
      <w:r>
        <w:rPr>
          <w:rFonts w:hint="eastAsia" w:ascii="仿宋_GB2312" w:hAnsi="宋体" w:eastAsia="仿宋_GB2312" w:cs="宋体"/>
          <w:sz w:val="32"/>
          <w:szCs w:val="32"/>
        </w:rPr>
        <w:t>年初工作规划和重点工作，围绕区委区政府的工作部署，积极履行职责，强化管理，较好地完成了年度工作目标，同时加强预算收支的管理，建立健全内部管理制度，严格内部管理流程，部门整体支出管理得到了提升。201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7</w:t>
      </w:r>
      <w:r>
        <w:rPr>
          <w:rFonts w:hint="eastAsia" w:ascii="仿宋_GB2312" w:hAnsi="宋体" w:eastAsia="仿宋_GB2312" w:cs="宋体"/>
          <w:sz w:val="32"/>
          <w:szCs w:val="32"/>
        </w:rPr>
        <w:t>年度部门整体支出绩效情况如下：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textAlignment w:val="auto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1.本年预算配置控制较好，“三公”经费支出总额较上年有减少。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textAlignment w:val="auto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2.预算执行方面，支出总额控制在预算总额以内，较好的完成了当年任务目标，财政拨款支出总体控制较好。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textAlignment w:val="auto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3.预算管理方面，制定了切实有效的内部财务、车辆、资产内部管理制度，执行总体较为有效。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textAlignment w:val="auto"/>
        <w:rPr>
          <w:rFonts w:hint="eastAsia" w:ascii="黑体" w:hAnsi="宋体" w:eastAsia="黑体" w:cs="宋体"/>
          <w:b w:val="0"/>
          <w:bCs/>
          <w:sz w:val="32"/>
          <w:szCs w:val="32"/>
        </w:rPr>
      </w:pPr>
      <w:r>
        <w:rPr>
          <w:rFonts w:hint="eastAsia" w:ascii="黑体" w:hAnsi="宋体" w:eastAsia="黑体" w:cs="宋体"/>
          <w:b w:val="0"/>
          <w:bCs/>
          <w:sz w:val="32"/>
          <w:szCs w:val="32"/>
        </w:rPr>
        <w:t>五、整体支出综合评价及结论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根据考核评分细则，考评组认为</w:t>
      </w:r>
      <w:r>
        <w:rPr>
          <w:rFonts w:hint="eastAsia" w:ascii="仿宋_GB2312" w:hAnsi="楷体" w:eastAsia="仿宋_GB2312" w:cs="仿宋_GB2312"/>
          <w:kern w:val="0"/>
          <w:sz w:val="32"/>
          <w:szCs w:val="32"/>
          <w:lang w:eastAsia="zh-CN"/>
        </w:rPr>
        <w:t>区委老干部局</w:t>
      </w:r>
      <w:r>
        <w:rPr>
          <w:rFonts w:hint="eastAsia" w:ascii="仿宋_GB2312" w:hAnsi="楷体" w:eastAsia="仿宋_GB2312" w:cs="仿宋_GB2312"/>
          <w:kern w:val="0"/>
          <w:sz w:val="32"/>
          <w:szCs w:val="32"/>
        </w:rPr>
        <w:t>2016</w:t>
      </w:r>
      <w:r>
        <w:rPr>
          <w:rFonts w:hint="eastAsia" w:ascii="仿宋_GB2312" w:hAnsi="宋体" w:eastAsia="仿宋_GB2312" w:cs="宋体"/>
          <w:sz w:val="32"/>
          <w:szCs w:val="32"/>
        </w:rPr>
        <w:t>年整体支出，严格按照国家的相关财务管理制度规定，财务制度健全、会计核算规范，依照计划管理使用，整体支出对保障</w:t>
      </w:r>
      <w:r>
        <w:rPr>
          <w:rFonts w:hint="eastAsia" w:ascii="仿宋_GB2312" w:hAnsi="楷体" w:eastAsia="仿宋_GB2312" w:cs="仿宋_GB2312"/>
          <w:kern w:val="0"/>
          <w:sz w:val="32"/>
          <w:szCs w:val="32"/>
          <w:lang w:eastAsia="zh-CN"/>
        </w:rPr>
        <w:t>区委老干部局</w:t>
      </w:r>
      <w:r>
        <w:rPr>
          <w:rFonts w:hint="eastAsia" w:ascii="仿宋_GB2312" w:hAnsi="宋体" w:eastAsia="仿宋_GB2312" w:cs="宋体"/>
          <w:sz w:val="32"/>
          <w:szCs w:val="32"/>
        </w:rPr>
        <w:t>的正常运行发挥了重要作用，强化部门的责任，</w:t>
      </w:r>
      <w:r>
        <w:rPr>
          <w:rFonts w:hint="eastAsia" w:ascii="仿宋_GB2312" w:hAnsi="楷体" w:eastAsia="仿宋_GB2312" w:cs="仿宋_GB2312"/>
          <w:kern w:val="0"/>
          <w:sz w:val="32"/>
          <w:szCs w:val="32"/>
          <w:lang w:eastAsia="zh-CN"/>
        </w:rPr>
        <w:t>老干部</w:t>
      </w:r>
      <w:r>
        <w:rPr>
          <w:rFonts w:hint="eastAsia" w:ascii="仿宋_GB2312" w:hAnsi="宋体" w:eastAsia="仿宋_GB2312" w:cs="宋体"/>
          <w:sz w:val="32"/>
          <w:szCs w:val="32"/>
        </w:rPr>
        <w:t>工作取得了一定的成绩。按照部门整体支出绩效评价指标体系对照打分得出结果为</w:t>
      </w:r>
      <w:r>
        <w:rPr>
          <w:rFonts w:hint="eastAsia" w:ascii="仿宋_GB2312" w:hAnsi="楷体" w:eastAsia="仿宋_GB2312" w:cs="仿宋_GB2312"/>
          <w:kern w:val="0"/>
          <w:sz w:val="32"/>
          <w:szCs w:val="32"/>
        </w:rPr>
        <w:t>9</w:t>
      </w:r>
      <w:r>
        <w:rPr>
          <w:rFonts w:hint="eastAsia" w:ascii="仿宋_GB2312" w:hAnsi="楷体" w:eastAsia="仿宋_GB2312" w:cs="仿宋_GB2312"/>
          <w:kern w:val="0"/>
          <w:sz w:val="32"/>
          <w:szCs w:val="32"/>
          <w:lang w:val="en-US" w:eastAsia="zh-CN"/>
        </w:rPr>
        <w:t>8</w:t>
      </w:r>
      <w:bookmarkStart w:id="0" w:name="_GoBack"/>
      <w:bookmarkEnd w:id="0"/>
      <w:r>
        <w:rPr>
          <w:rFonts w:hint="eastAsia" w:ascii="仿宋_GB2312" w:hAnsi="宋体" w:eastAsia="仿宋_GB2312" w:cs="宋体"/>
          <w:sz w:val="32"/>
          <w:szCs w:val="32"/>
        </w:rPr>
        <w:t>分，等级为</w:t>
      </w:r>
      <w:r>
        <w:rPr>
          <w:rFonts w:hint="eastAsia" w:ascii="仿宋_GB2312" w:hAnsi="楷体" w:eastAsia="仿宋_GB2312" w:cs="仿宋_GB2312"/>
          <w:kern w:val="0"/>
          <w:sz w:val="32"/>
          <w:szCs w:val="32"/>
          <w:lang w:eastAsia="zh-CN"/>
        </w:rPr>
        <w:t>优秀</w:t>
      </w:r>
      <w:r>
        <w:rPr>
          <w:rFonts w:hint="eastAsia" w:ascii="仿宋_GB2312" w:hAnsi="宋体" w:eastAsia="仿宋_GB2312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sz w:val="32"/>
          <w:szCs w:val="32"/>
        </w:rPr>
      </w:pPr>
      <w:r>
        <w:rPr>
          <w:rFonts w:hint="eastAsia" w:ascii="黑体" w:hAnsi="宋体" w:eastAsia="黑体" w:cs="宋体"/>
          <w:b w:val="0"/>
          <w:bCs/>
          <w:sz w:val="32"/>
          <w:szCs w:val="32"/>
        </w:rPr>
        <w:t>六、存在的问题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bCs/>
          <w:sz w:val="32"/>
          <w:szCs w:val="32"/>
        </w:rPr>
      </w:pPr>
      <w:r>
        <w:rPr>
          <w:rFonts w:hint="eastAsia" w:ascii="仿宋_GB2312" w:hAnsi="宋体" w:eastAsia="仿宋_GB2312" w:cs="宋体"/>
          <w:bCs/>
          <w:sz w:val="32"/>
          <w:szCs w:val="32"/>
        </w:rPr>
        <w:t>“三公经费”有待更严格控制。201</w:t>
      </w:r>
      <w:r>
        <w:rPr>
          <w:rFonts w:hint="eastAsia" w:ascii="仿宋_GB2312" w:hAnsi="宋体" w:eastAsia="仿宋_GB2312" w:cs="宋体"/>
          <w:bCs/>
          <w:sz w:val="32"/>
          <w:szCs w:val="32"/>
          <w:lang w:val="en-US" w:eastAsia="zh-CN"/>
        </w:rPr>
        <w:t>7</w:t>
      </w:r>
      <w:r>
        <w:rPr>
          <w:rFonts w:hint="eastAsia" w:ascii="仿宋_GB2312" w:hAnsi="宋体" w:eastAsia="仿宋_GB2312" w:cs="宋体"/>
          <w:bCs/>
          <w:sz w:val="32"/>
          <w:szCs w:val="32"/>
        </w:rPr>
        <w:t>年区委</w:t>
      </w:r>
      <w:r>
        <w:rPr>
          <w:rFonts w:hint="eastAsia" w:ascii="仿宋_GB2312" w:hAnsi="宋体" w:eastAsia="仿宋_GB2312" w:cs="宋体"/>
          <w:bCs/>
          <w:sz w:val="32"/>
          <w:szCs w:val="32"/>
          <w:lang w:eastAsia="zh-CN"/>
        </w:rPr>
        <w:t>老干部局</w:t>
      </w:r>
      <w:r>
        <w:rPr>
          <w:rFonts w:hint="eastAsia" w:ascii="仿宋_GB2312" w:hAnsi="宋体" w:eastAsia="仿宋_GB2312" w:cs="宋体"/>
          <w:bCs/>
          <w:sz w:val="32"/>
          <w:szCs w:val="32"/>
        </w:rPr>
        <w:t xml:space="preserve">“三公经费”可以本着节约的原则进行进一步的压缩。 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0" w:firstLineChars="200"/>
        <w:textAlignment w:val="auto"/>
        <w:rPr>
          <w:rFonts w:hint="eastAsia" w:ascii="黑体" w:hAnsi="宋体" w:eastAsia="黑体" w:cs="宋体"/>
          <w:b w:val="0"/>
          <w:bCs/>
          <w:sz w:val="32"/>
          <w:szCs w:val="32"/>
        </w:rPr>
      </w:pPr>
      <w:r>
        <w:rPr>
          <w:rFonts w:hint="eastAsia" w:ascii="黑体" w:hAnsi="宋体" w:eastAsia="黑体" w:cs="宋体"/>
          <w:b w:val="0"/>
          <w:bCs/>
          <w:sz w:val="32"/>
          <w:szCs w:val="32"/>
        </w:rPr>
        <w:t>七、工作建议</w:t>
      </w:r>
    </w:p>
    <w:p>
      <w:pPr>
        <w:keepNext w:val="0"/>
        <w:keepLines w:val="0"/>
        <w:pageBreakBefore w:val="0"/>
        <w:tabs>
          <w:tab w:val="center" w:pos="4153"/>
        </w:tabs>
        <w:kinsoku/>
        <w:wordWrap/>
        <w:overflowPunct/>
        <w:topLinePunct w:val="0"/>
        <w:autoSpaceDE/>
        <w:bidi w:val="0"/>
        <w:spacing w:line="600" w:lineRule="exact"/>
        <w:ind w:firstLine="645"/>
        <w:jc w:val="left"/>
        <w:textAlignment w:val="auto"/>
        <w:rPr>
          <w:rFonts w:hint="eastAsia" w:ascii="仿宋_GB2312" w:hAnsi="宋体" w:eastAsia="仿宋_GB2312" w:cs="宋体"/>
          <w:b/>
          <w:sz w:val="32"/>
          <w:szCs w:val="32"/>
          <w:shd w:val="clear" w:color="auto" w:fill="FFFFFF"/>
        </w:rPr>
      </w:pP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严格控制“三公经费”支出，杜绝挪用和挤占其他预算资金；进一步细化“三公经费”管理，压缩“三公经费”支出。</w:t>
      </w:r>
    </w:p>
    <w:p>
      <w:pPr>
        <w:tabs>
          <w:tab w:val="center" w:pos="4153"/>
        </w:tabs>
        <w:spacing w:line="540" w:lineRule="exact"/>
        <w:ind w:firstLine="645"/>
        <w:jc w:val="left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</w:p>
    <w:p>
      <w:pPr>
        <w:tabs>
          <w:tab w:val="center" w:pos="4153"/>
        </w:tabs>
        <w:spacing w:line="540" w:lineRule="exact"/>
        <w:jc w:val="left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</w:p>
    <w:p>
      <w:pPr>
        <w:tabs>
          <w:tab w:val="center" w:pos="4153"/>
        </w:tabs>
        <w:spacing w:line="540" w:lineRule="exact"/>
        <w:jc w:val="left"/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</w:pPr>
    </w:p>
    <w:p>
      <w:pPr>
        <w:tabs>
          <w:tab w:val="center" w:pos="4153"/>
        </w:tabs>
        <w:spacing w:line="540" w:lineRule="exact"/>
        <w:rPr>
          <w:rFonts w:hint="eastAsia" w:ascii="仿宋_GB2312" w:hAnsi="仿宋_GB2312" w:eastAsia="仿宋_GB2312"/>
          <w:bCs/>
          <w:spacing w:val="-26"/>
          <w:sz w:val="32"/>
          <w:szCs w:val="32"/>
        </w:rPr>
      </w:pPr>
      <w:r>
        <w:rPr>
          <w:rFonts w:hint="eastAsia"/>
          <w:shd w:val="clear" w:color="auto" w:fill="FFFFFF"/>
        </w:rPr>
        <w:t xml:space="preserve">                                                            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</w:rPr>
        <w:t>区委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  <w:lang w:eastAsia="zh-CN"/>
        </w:rPr>
        <w:t>老干部局</w:t>
      </w:r>
    </w:p>
    <w:p>
      <w:pPr>
        <w:tabs>
          <w:tab w:val="center" w:pos="4153"/>
        </w:tabs>
        <w:spacing w:line="540" w:lineRule="exact"/>
        <w:ind w:firstLine="5896" w:firstLineChars="2200"/>
        <w:rPr>
          <w:rFonts w:hint="eastAsia"/>
          <w:shd w:val="clear" w:color="auto" w:fill="FFFFFF"/>
        </w:rPr>
      </w:pPr>
      <w:r>
        <w:rPr>
          <w:rFonts w:hint="eastAsia" w:ascii="仿宋_GB2312" w:hAnsi="仿宋_GB2312" w:eastAsia="仿宋_GB2312"/>
          <w:bCs/>
          <w:spacing w:val="-26"/>
          <w:sz w:val="32"/>
          <w:szCs w:val="32"/>
        </w:rPr>
        <w:t>201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</w:rPr>
        <w:t>年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  <w:lang w:val="en-US" w:eastAsia="zh-CN"/>
        </w:rPr>
        <w:t>08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</w:rPr>
        <w:t>月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  <w:lang w:val="en-US" w:eastAsia="zh-CN"/>
        </w:rPr>
        <w:t>27</w:t>
      </w:r>
      <w:r>
        <w:rPr>
          <w:rFonts w:hint="eastAsia" w:ascii="仿宋_GB2312" w:hAnsi="仿宋_GB2312" w:eastAsia="仿宋_GB2312"/>
          <w:bCs/>
          <w:spacing w:val="-26"/>
          <w:sz w:val="32"/>
          <w:szCs w:val="32"/>
        </w:rPr>
        <w:t>日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小标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7F3A33"/>
    <w:rsid w:val="0B515370"/>
    <w:rsid w:val="14F94E47"/>
    <w:rsid w:val="20860D8F"/>
    <w:rsid w:val="23C67A9D"/>
    <w:rsid w:val="448059D5"/>
    <w:rsid w:val="50A52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2018-08-27T07:28:07Z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