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4.5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eastAsia="zh-CN"/>
              </w:rPr>
              <w:t>巡察办三公经费未单列，挤占了纪委的三公经费</w:t>
            </w: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eastAsia="zh-CN"/>
              </w:rPr>
              <w:t>巡察办经费年底调整</w:t>
            </w: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eastAsia="zh-CN"/>
              </w:rPr>
              <w:t>巡察办三公经费未单列，挤占了纪委的三公经费</w:t>
            </w: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公务卡刷费执行力不够</w:t>
            </w: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2017年搬了三次家，固定资产处置和保存完整性存在欠缺</w:t>
            </w: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2017年搬了三次家，固定资产处置和保存完整性存在欠缺</w:t>
            </w: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95</w:t>
            </w:r>
            <w:bookmarkStart w:id="0" w:name="_GoBack"/>
            <w:bookmarkEnd w:id="0"/>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52330919"/>
    <w:rsid w:val="64230F0B"/>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2018-08-22T03:29:52Z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