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w:t>
      </w:r>
      <w:r>
        <w:rPr>
          <w:rFonts w:hint="eastAsia" w:eastAsia="方正小标宋简体"/>
          <w:bCs/>
          <w:sz w:val="46"/>
          <w:szCs w:val="46"/>
          <w:lang w:eastAsia="zh-CN"/>
        </w:rPr>
        <w:t>区</w:t>
      </w:r>
      <w:r>
        <w:rPr>
          <w:rFonts w:hint="eastAsia" w:eastAsia="方正小标宋简体"/>
          <w:bCs/>
          <w:sz w:val="46"/>
          <w:szCs w:val="46"/>
        </w:rPr>
        <w:t>20</w:t>
      </w:r>
      <w:r>
        <w:rPr>
          <w:rFonts w:hint="eastAsia" w:eastAsia="方正小标宋简体"/>
          <w:bCs/>
          <w:sz w:val="46"/>
          <w:szCs w:val="46"/>
          <w:u w:val="single"/>
          <w:lang w:val="en-US" w:eastAsia="zh-CN"/>
        </w:rPr>
        <w:t>17</w:t>
      </w:r>
      <w:r>
        <w:rPr>
          <w:rFonts w:hint="eastAsia" w:eastAsia="方正小标宋简体"/>
          <w:bCs/>
          <w:sz w:val="46"/>
          <w:szCs w:val="46"/>
          <w:u w:val="single"/>
        </w:rPr>
        <w:t xml:space="preserve"> </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eastAsia="zh-CN"/>
        </w:rPr>
        <w:t>君山区纪委</w:t>
      </w:r>
      <w:r>
        <w:rPr>
          <w:rFonts w:hint="eastAsia" w:eastAsia="仿宋_GB2312"/>
          <w:sz w:val="32"/>
          <w:szCs w:val="32"/>
          <w:u w:val="single"/>
          <w:lang w:val="en-US" w:eastAsia="zh-CN"/>
        </w:rPr>
        <w:t xml:space="preserve">监委  </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1050</w:t>
      </w:r>
      <w:r>
        <w:rPr>
          <w:rFonts w:hint="eastAsia" w:eastAsia="仿宋_GB2312"/>
          <w:spacing w:val="20"/>
          <w:sz w:val="32"/>
          <w:szCs w:val="32"/>
          <w:u w:val="single"/>
        </w:rPr>
        <w:t xml:space="preserve">   </w:t>
      </w:r>
      <w:r>
        <w:rPr>
          <w:rFonts w:hint="eastAsia" w:eastAsia="仿宋_GB2312"/>
          <w:spacing w:val="20"/>
          <w:sz w:val="32"/>
          <w:szCs w:val="32"/>
          <w:u w:val="single"/>
          <w:lang w:val="en-US" w:eastAsia="zh-CN"/>
        </w:rPr>
        <w:t xml:space="preserve">  </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2018</w:t>
      </w:r>
      <w:r>
        <w:rPr>
          <w:rFonts w:hint="eastAsia" w:eastAsia="仿宋_GB2312"/>
          <w:sz w:val="32"/>
        </w:rPr>
        <w:t xml:space="preserve"> 年 </w:t>
      </w:r>
      <w:r>
        <w:rPr>
          <w:rFonts w:hint="eastAsia" w:eastAsia="仿宋_GB2312"/>
          <w:sz w:val="32"/>
          <w:lang w:val="en-US" w:eastAsia="zh-CN"/>
        </w:rPr>
        <w:t>8</w:t>
      </w:r>
      <w:r>
        <w:rPr>
          <w:rFonts w:hint="eastAsia" w:eastAsia="仿宋_GB2312"/>
          <w:sz w:val="32"/>
        </w:rPr>
        <w:t xml:space="preserve">月 </w:t>
      </w:r>
      <w:r>
        <w:rPr>
          <w:rFonts w:hint="eastAsia" w:eastAsia="仿宋_GB2312"/>
          <w:sz w:val="32"/>
          <w:lang w:val="en-US" w:eastAsia="zh-CN"/>
        </w:rPr>
        <w:t>2</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w:t>
      </w:r>
      <w:r>
        <w:rPr>
          <w:rFonts w:hint="eastAsia" w:eastAsia="仿宋_GB2312"/>
          <w:sz w:val="32"/>
          <w:lang w:eastAsia="zh-CN"/>
        </w:rPr>
        <w:t>区</w:t>
      </w:r>
      <w:r>
        <w:rPr>
          <w:rFonts w:hint="eastAsia" w:eastAsia="仿宋_GB2312"/>
          <w:sz w:val="32"/>
        </w:rPr>
        <w:t>财政</w:t>
      </w:r>
      <w:r>
        <w:rPr>
          <w:rFonts w:hint="eastAsia" w:eastAsia="仿宋_GB2312"/>
          <w:sz w:val="32"/>
          <w:szCs w:val="32"/>
        </w:rPr>
        <w:t>局（制）</w:t>
      </w:r>
    </w:p>
    <w:tbl>
      <w:tblPr>
        <w:tblStyle w:val="5"/>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阳芳</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eastAsia="仿宋_GB2312" w:cs="仿宋_GB2312"/>
                <w:bCs/>
                <w:sz w:val="28"/>
                <w:szCs w:val="28"/>
                <w:lang w:val="en-US" w:eastAsia="zh-CN"/>
              </w:rPr>
              <w:t>0730-8170855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57</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 xml:space="preserve"> 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400" w:lineRule="exact"/>
              <w:jc w:val="left"/>
              <w:textAlignment w:val="center"/>
              <w:rPr>
                <w:rFonts w:hint="eastAsia"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lang w:val="en-US" w:eastAsia="zh-CN"/>
              </w:rPr>
              <w:t>1.贯彻落实中央、中央纪委、省委、省纪委和市委、市纪委与区委加强党风廉政建设和党的纪律检查的指示、决定、领导全区党的纪律检查工作。</w:t>
            </w:r>
          </w:p>
          <w:p>
            <w:pPr>
              <w:autoSpaceDN w:val="0"/>
              <w:spacing w:line="400" w:lineRule="exact"/>
              <w:jc w:val="left"/>
              <w:textAlignment w:val="center"/>
              <w:rPr>
                <w:rFonts w:hint="eastAsia"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lang w:val="en-US" w:eastAsia="zh-CN"/>
              </w:rPr>
              <w:t>2.维护党的章程和其他重要规章制度，协助区委加强党风廉政建设和组织协调反腐败工作。</w:t>
            </w:r>
          </w:p>
          <w:p>
            <w:pPr>
              <w:autoSpaceDN w:val="0"/>
              <w:spacing w:line="400" w:lineRule="exact"/>
              <w:jc w:val="left"/>
              <w:textAlignment w:val="center"/>
              <w:rPr>
                <w:rFonts w:hint="eastAsia"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lang w:val="en-US" w:eastAsia="zh-CN"/>
              </w:rPr>
              <w:t>3.负责组织指导对党员进行纪律教育，作出关于维护党纪的决定。</w:t>
            </w:r>
          </w:p>
          <w:p>
            <w:pPr>
              <w:autoSpaceDN w:val="0"/>
              <w:spacing w:line="400" w:lineRule="exact"/>
              <w:jc w:val="left"/>
              <w:textAlignment w:val="center"/>
              <w:rPr>
                <w:rFonts w:hint="eastAsia"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lang w:val="en-US" w:eastAsia="zh-CN"/>
              </w:rPr>
              <w:t>4.负责检查并处理全区各级党组织和党员违反党章、党纪的案件，受理党员的控告和申诉，保护党员的民主权利和合法权益。</w:t>
            </w:r>
          </w:p>
          <w:p>
            <w:pPr>
              <w:autoSpaceDN w:val="0"/>
              <w:spacing w:line="400" w:lineRule="exact"/>
              <w:jc w:val="left"/>
              <w:textAlignment w:val="center"/>
              <w:rPr>
                <w:rFonts w:hint="eastAsia"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lang w:val="en-US" w:eastAsia="zh-CN"/>
              </w:rPr>
              <w:t>5.按照干部管理权限，会同区委组织部对镇（办事处）、场纪委和区直单位纪检组（纪委）领导干部进行考察，报区委调整和任免；指导与组织各级纪检干部的业务培训。</w:t>
            </w:r>
          </w:p>
          <w:p>
            <w:pPr>
              <w:autoSpaceDN w:val="0"/>
              <w:spacing w:line="400" w:lineRule="exact"/>
              <w:jc w:val="left"/>
              <w:textAlignment w:val="center"/>
              <w:rPr>
                <w:rFonts w:hint="eastAsia" w:ascii="仿宋_GB2312" w:hAnsi="仿宋_GB2312" w:eastAsia="仿宋_GB2312" w:cs="仿宋_GB2312"/>
                <w:color w:val="000000"/>
                <w:szCs w:val="21"/>
                <w:lang w:val="en-US" w:eastAsia="zh-CN"/>
              </w:rPr>
            </w:pPr>
            <w:r>
              <w:rPr>
                <w:rFonts w:hint="eastAsia" w:ascii="仿宋_GB2312" w:hAnsi="仿宋_GB2312" w:eastAsia="仿宋_GB2312" w:cs="仿宋_GB2312"/>
                <w:color w:val="000000"/>
                <w:szCs w:val="21"/>
                <w:lang w:val="en-US" w:eastAsia="zh-CN"/>
              </w:rPr>
              <w:t>6.贯彻落实国务院、监察委和省政府、省监察委和市政府和市监察委与区政府有关行政监察工作的指示、决定，领导全区行政监察工作。</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Cs w:val="21"/>
                <w:lang w:val="en-US" w:eastAsia="zh-CN"/>
              </w:rPr>
              <w:t>7.调整监察对象遵纪守法的情况，查出监察对象违反国家法规、政策、决定、命令的情况以及违法违纪的行为，审理决定或建议对其作出行政处分。对监察对象执法、廉政、效能情况进行监察。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1.加强组织协调，助推责任落实落细。2.严明纪律规矩，全面从严管党治党。3.严治“四风”顽疾，培育文明节俭新风。4.突出执纪审查，保持反腐高压态势。5.坚持刀刃向内，建设忠诚干净担当队伍。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在区委和市纪委的坚强领导下，全区纪检监察组织深入学习贯彻习近平新时代中国特色社会主义思想，以党章为根本遵循，以党纪为基本准绳，切实履行监督、执纪、问责工作职责，持续推进正风、肃纪、反腐，全区党风廉政建设和反腐败工作取得了新的成效，在县市区履行党风廉政建设主体责任和监督责任考核中，我区均名列前茅。</w:t>
            </w:r>
          </w:p>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469.1</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469.1</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414.85</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414.85</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54.25</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54.25</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453.38</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379.7</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227.3</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152.4</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73.68</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399.18</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337.3</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209.16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128.14</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61.88</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54.2</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42.4</w:t>
            </w:r>
            <w:bookmarkStart w:id="0" w:name="_GoBack"/>
            <w:bookmarkEnd w:id="0"/>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18.14</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24.26</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11.8</w:t>
            </w: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9.3</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12.59</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3.13</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12.59</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6.17</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79.2</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79.2</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67.4</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11.8</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w:t>
            </w:r>
            <w:r>
              <w:rPr>
                <w:rFonts w:hint="eastAsia" w:ascii="仿宋_GB2312" w:hAnsi="仿宋_GB2312" w:eastAsia="仿宋_GB2312" w:cs="仿宋_GB2312"/>
                <w:color w:val="000000"/>
                <w:sz w:val="24"/>
                <w:lang w:val="en-US" w:eastAsia="zh-CN"/>
              </w:rPr>
              <w:t>强化从严治党，切实加强党的纪律建设</w:t>
            </w:r>
          </w:p>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目标2：强化</w:t>
            </w:r>
            <w:r>
              <w:rPr>
                <w:rFonts w:hint="eastAsia" w:ascii="仿宋_GB2312" w:hAnsi="仿宋_GB2312" w:eastAsia="仿宋_GB2312" w:cs="仿宋_GB2312"/>
                <w:color w:val="000000"/>
                <w:sz w:val="24"/>
                <w:lang w:val="en-US" w:eastAsia="zh-CN"/>
              </w:rPr>
              <w:t>责任追究，深入落实“两个责任”</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w:t>
            </w:r>
            <w:r>
              <w:rPr>
                <w:rFonts w:hint="eastAsia" w:ascii="仿宋_GB2312" w:hAnsi="仿宋_GB2312" w:eastAsia="仿宋_GB2312" w:cs="仿宋_GB2312"/>
                <w:color w:val="000000"/>
                <w:sz w:val="24"/>
                <w:lang w:val="en-US" w:eastAsia="zh-CN"/>
              </w:rPr>
              <w:t>强化政风肃纪，锲而不舍纠正“四风”</w:t>
            </w:r>
          </w:p>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目标4：</w:t>
            </w:r>
            <w:r>
              <w:rPr>
                <w:rFonts w:hint="eastAsia" w:ascii="仿宋_GB2312" w:hAnsi="仿宋_GB2312" w:eastAsia="仿宋_GB2312" w:cs="仿宋_GB2312"/>
                <w:color w:val="000000"/>
                <w:sz w:val="24"/>
                <w:lang w:val="en-US" w:eastAsia="zh-CN"/>
              </w:rPr>
              <w:t>强化案件查办，不断加大纪律审查力度</w:t>
            </w:r>
          </w:p>
          <w:p>
            <w:pPr>
              <w:autoSpaceDN w:val="0"/>
              <w:spacing w:line="40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目标5：强化监督制约，确保权力在阳光下运行</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目标6：深入开展“两深”工作，着力打造过硬纪检监察干部队伍</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eastAsia="仿宋_GB2312" w:cs="仿宋_GB2312"/>
                <w:bCs/>
                <w:sz w:val="24"/>
                <w:lang w:val="en-US" w:eastAsia="zh-CN"/>
              </w:rPr>
              <w:t>落实“两个责任”，营造风清气正政治生态；注重教育预防，培养党员干部清廉意识；依纪依法办案，保持惩治腐败高压态势；加强监督检查，确保政令畅通；深化作风建设，解决群众反映强烈问题。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落实“两个责任”</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eastAsia="仿宋_GB2312" w:cs="仿宋_GB2312"/>
                <w:bCs/>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注重教育预防</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eastAsia="仿宋_GB2312" w:cs="仿宋_GB2312"/>
                <w:bCs/>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指标</w:t>
            </w:r>
            <w:r>
              <w:rPr>
                <w:rFonts w:hint="eastAsia" w:ascii="仿宋_GB2312" w:hAnsi="仿宋_GB2312" w:eastAsia="仿宋_GB2312" w:cs="仿宋_GB2312"/>
                <w:color w:val="000000"/>
                <w:sz w:val="24"/>
                <w:lang w:val="en-US" w:eastAsia="zh-CN"/>
              </w:rPr>
              <w:t>3：依法依纪办案</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eastAsia="仿宋_GB2312" w:cs="仿宋_GB2312"/>
                <w:bCs/>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spacing w:line="320" w:lineRule="exact"/>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eastAsia="仿宋_GB2312" w:cs="仿宋_GB2312"/>
                <w:bCs/>
                <w:sz w:val="24"/>
                <w:lang w:val="en-US" w:eastAsia="zh-CN"/>
              </w:rPr>
              <w:t>加强监督检查，确保政令畅通</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eastAsia="仿宋_GB2312" w:cs="仿宋_GB2312"/>
                <w:bCs/>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eastAsia="仿宋_GB2312" w:cs="仿宋_GB2312"/>
                <w:bCs/>
                <w:sz w:val="24"/>
                <w:lang w:val="en-US" w:eastAsia="zh-CN"/>
              </w:rPr>
              <w:t>深化作风建设，解决群众反映强烈问题</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eastAsia="仿宋_GB2312" w:cs="仿宋_GB2312"/>
                <w:bCs/>
                <w:sz w:val="24"/>
                <w:lang w:val="en-US" w:eastAsia="zh-CN"/>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严若亮</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纪委副书记、监委副主任</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区纪委 监委</w:t>
            </w:r>
          </w:p>
        </w:tc>
        <w:tc>
          <w:tcPr>
            <w:tcW w:w="3106" w:type="dxa"/>
            <w:gridSpan w:val="8"/>
            <w:vAlign w:val="center"/>
          </w:tcPr>
          <w:p>
            <w:pPr>
              <w:autoSpaceDN w:val="0"/>
              <w:spacing w:line="40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黄波</w:t>
            </w: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纪委常委、监委委员</w:t>
            </w: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lang w:val="en-US"/>
              </w:rPr>
            </w:pPr>
            <w:r>
              <w:rPr>
                <w:rFonts w:hint="eastAsia" w:ascii="仿宋_GB2312" w:hAnsi="仿宋_GB2312" w:eastAsia="仿宋_GB2312" w:cs="仿宋_GB2312"/>
                <w:color w:val="000000"/>
                <w:sz w:val="24"/>
                <w:lang w:val="en-US" w:eastAsia="zh-CN"/>
              </w:rPr>
              <w:t>区纪委 监委</w:t>
            </w:r>
          </w:p>
        </w:tc>
        <w:tc>
          <w:tcPr>
            <w:tcW w:w="3106" w:type="dxa"/>
            <w:gridSpan w:val="8"/>
            <w:vAlign w:val="center"/>
          </w:tcPr>
          <w:p>
            <w:pPr>
              <w:autoSpaceDN w:val="0"/>
              <w:spacing w:line="40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hint="eastAsia" w:ascii="仿宋_GB2312" w:hAnsi="仿宋_GB2312" w:eastAsia="仿宋_GB2312" w:cs="仿宋_GB2312"/>
                <w:color w:val="000000"/>
                <w:sz w:val="24"/>
              </w:rPr>
            </w:pPr>
          </w:p>
        </w:tc>
        <w:tc>
          <w:tcPr>
            <w:tcW w:w="3561" w:type="dxa"/>
            <w:gridSpan w:val="6"/>
            <w:vAlign w:val="center"/>
          </w:tcPr>
          <w:p>
            <w:pPr>
              <w:autoSpaceDN w:val="0"/>
              <w:spacing w:line="400" w:lineRule="exact"/>
              <w:jc w:val="center"/>
              <w:textAlignment w:val="center"/>
              <w:rPr>
                <w:rFonts w:hint="eastAsia" w:ascii="仿宋_GB2312" w:hAnsi="仿宋_GB2312" w:eastAsia="仿宋_GB2312" w:cs="仿宋_GB2312"/>
                <w:color w:val="000000"/>
                <w:sz w:val="24"/>
              </w:rPr>
            </w:pPr>
          </w:p>
        </w:tc>
        <w:tc>
          <w:tcPr>
            <w:tcW w:w="1479" w:type="dxa"/>
            <w:vAlign w:val="center"/>
          </w:tcPr>
          <w:p>
            <w:pPr>
              <w:autoSpaceDN w:val="0"/>
              <w:spacing w:line="40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40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lang w:val="en-US" w:eastAsia="zh-CN"/>
        </w:rPr>
      </w:pPr>
      <w:r>
        <w:rPr>
          <w:rFonts w:hint="eastAsia" w:eastAsia="仿宋_GB2312" w:cs="仿宋_GB2312"/>
          <w:bCs/>
          <w:sz w:val="28"/>
          <w:szCs w:val="28"/>
        </w:rPr>
        <w:t>填报人（签名）：</w:t>
      </w:r>
      <w:r>
        <w:rPr>
          <w:rFonts w:hint="eastAsia" w:eastAsia="仿宋_GB2312" w:cs="仿宋_GB2312"/>
          <w:bCs/>
          <w:sz w:val="28"/>
          <w:szCs w:val="28"/>
          <w:lang w:eastAsia="zh-CN"/>
        </w:rPr>
        <w:t>阳芳</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0730-8170855</w:t>
      </w:r>
    </w:p>
    <w:tbl>
      <w:tblPr>
        <w:tblStyle w:val="5"/>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2、专项资金实际使用情况分析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rPr>
                <w:rFonts w:eastAsia="楷体_GB2312"/>
                <w:bCs/>
                <w:sz w:val="28"/>
                <w:szCs w:val="2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sz w:val="24"/>
        <w:szCs w:val="24"/>
      </w:rPr>
    </w:pPr>
    <w:r>
      <w:rPr>
        <w:rStyle w:val="4"/>
        <w:rFonts w:hint="eastAsia"/>
        <w:sz w:val="24"/>
        <w:szCs w:val="24"/>
        <w:lang w:eastAsia="zh-CN"/>
      </w:rPr>
      <w:t xml:space="preserve">— </w:t>
    </w:r>
    <w:r>
      <w:rPr>
        <w:sz w:val="24"/>
        <w:szCs w:val="24"/>
      </w:rPr>
      <w:fldChar w:fldCharType="begin"/>
    </w:r>
    <w:r>
      <w:rPr>
        <w:rStyle w:val="4"/>
        <w:sz w:val="24"/>
        <w:szCs w:val="24"/>
      </w:rPr>
      <w:instrText xml:space="preserve">PAGE  </w:instrText>
    </w:r>
    <w:r>
      <w:rPr>
        <w:sz w:val="24"/>
        <w:szCs w:val="24"/>
      </w:rPr>
      <w:fldChar w:fldCharType="separate"/>
    </w:r>
    <w:r>
      <w:rPr>
        <w:rStyle w:val="4"/>
        <w:sz w:val="24"/>
        <w:szCs w:val="24"/>
      </w:rPr>
      <w:t>1</w:t>
    </w:r>
    <w:r>
      <w:rPr>
        <w:sz w:val="24"/>
        <w:szCs w:val="24"/>
      </w:rPr>
      <w:fldChar w:fldCharType="end"/>
    </w:r>
    <w:r>
      <w:rPr>
        <w:rStyle w:val="4"/>
        <w:rFonts w:hint="eastAsia"/>
        <w:sz w:val="24"/>
        <w:szCs w:val="24"/>
        <w:lang w:eastAsia="zh-CN"/>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8146B58"/>
    <w:rsid w:val="0CE4001A"/>
    <w:rsid w:val="1B7F31E1"/>
    <w:rsid w:val="57F12E86"/>
    <w:rsid w:val="58146B58"/>
    <w:rsid w:val="58557D23"/>
    <w:rsid w:val="68940E3C"/>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styleId="4">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2018-05-23T03:19:00Z</dcterms:created>
  <dc:creator>Administrator</dc:creator>
  <cp:lastModifiedBy>Administrator</cp:lastModifiedBy>
  <dcterms:modified xsi:type="dcterms:W3CDTF">2018-08-22T08:23:18Z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