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bCs/>
          <w:sz w:val="32"/>
          <w:szCs w:val="32"/>
        </w:rPr>
      </w:pPr>
      <w:bookmarkStart w:id="1" w:name="_GoBack"/>
      <w:bookmarkEnd w:id="1"/>
      <w:r>
        <w:rPr>
          <w:rFonts w:hint="eastAsia" w:ascii="黑体" w:hAnsi="黑体" w:eastAsia="黑体" w:cs="黑体"/>
          <w:bCs/>
          <w:sz w:val="32"/>
          <w:szCs w:val="32"/>
        </w:rPr>
        <w:t>附件3-1</w:t>
      </w: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岳阳区20</w:t>
      </w:r>
      <w:r>
        <w:rPr>
          <w:rFonts w:hint="eastAsia" w:eastAsia="方正小标宋简体"/>
          <w:bCs/>
          <w:sz w:val="46"/>
          <w:szCs w:val="46"/>
          <w:u w:val="single"/>
        </w:rPr>
        <w:t xml:space="preserve"> 17  </w:t>
      </w:r>
      <w:r>
        <w:rPr>
          <w:rFonts w:hint="eastAsia" w:eastAsia="方正小标宋简体"/>
          <w:bCs/>
          <w:sz w:val="46"/>
          <w:szCs w:val="46"/>
        </w:rPr>
        <w:t>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岳阳市君山区人民法院                      </w:t>
      </w:r>
    </w:p>
    <w:p>
      <w:pPr>
        <w:spacing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p>
    <w:p>
      <w:pPr>
        <w:spacing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报告日期：2018   年 7  月 26  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岳阳区财政</w:t>
      </w:r>
      <w:r>
        <w:rPr>
          <w:rFonts w:hint="eastAsia" w:eastAsia="仿宋_GB2312"/>
          <w:sz w:val="32"/>
          <w:szCs w:val="32"/>
        </w:rPr>
        <w:t>局（制）</w:t>
      </w:r>
    </w:p>
    <w:tbl>
      <w:tblPr>
        <w:tblStyle w:val="5"/>
        <w:tblW w:w="98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04"/>
        <w:gridCol w:w="9"/>
        <w:gridCol w:w="1126"/>
        <w:gridCol w:w="210"/>
        <w:gridCol w:w="1145"/>
        <w:gridCol w:w="135"/>
        <w:gridCol w:w="945"/>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联系人</w:t>
            </w:r>
          </w:p>
        </w:tc>
        <w:tc>
          <w:tcPr>
            <w:tcW w:w="356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彭向阳</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联络电话</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0730-8154286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人员编制</w:t>
            </w:r>
          </w:p>
        </w:tc>
        <w:tc>
          <w:tcPr>
            <w:tcW w:w="3561"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58</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实有人数</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500" w:hRule="atLeast"/>
          <w:jc w:val="center"/>
        </w:trPr>
        <w:tc>
          <w:tcPr>
            <w:tcW w:w="1654"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职能职责概述</w:t>
            </w:r>
          </w:p>
        </w:tc>
        <w:tc>
          <w:tcPr>
            <w:tcW w:w="8146" w:type="dxa"/>
            <w:gridSpan w:val="14"/>
            <w:vAlign w:val="center"/>
          </w:tcPr>
          <w:p>
            <w:pPr>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1、依法审理法律规定由法院管辖、中级人民法院指定管辖或者认为应当由本法院审理的刑事、民事、行政等一审案件。</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2、依法审理中级人民法院指定再审的案件和市人民检察院抗诉的案件。受理当事人不服本院发生法律效力的判决、裁定并提起申诉的刑事、行政诉讼案件。</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3、依法行使执行权和司法决定权。</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4、指导基层法庭工作。</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5、负责全院的思想政治、教育培训工作和干部管理工作。</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6、负责全院财务、专项投资的计划管理及分配。</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7、负责全院的监察工作。</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8、管理人民法院司法警察工作。</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9、做好本院行政、后勤事业管理和服务工作。</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10、宣传法制，教育公民忠于社会主义祖国，自觉遵守宪法、法律和社会公德。</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11、积极参与社会治安综合治理。</w:t>
            </w:r>
          </w:p>
          <w:p>
            <w:pPr>
              <w:ind w:firstLine="408"/>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12、承办其它应由本院负责的工作。</w:t>
            </w:r>
          </w:p>
          <w:p>
            <w:pPr>
              <w:autoSpaceDN w:val="0"/>
              <w:spacing w:line="320" w:lineRule="exact"/>
              <w:jc w:val="left"/>
              <w:textAlignment w:val="center"/>
              <w:rPr>
                <w:rFonts w:hint="eastAsia" w:ascii="仿宋_GB2312" w:hAnsi="仿宋_GB2312" w:eastAsia="仿宋_GB2312" w:cs="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464" w:hRule="atLeast"/>
          <w:jc w:val="center"/>
        </w:trPr>
        <w:tc>
          <w:tcPr>
            <w:tcW w:w="1654"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年度主要</w:t>
            </w:r>
          </w:p>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工作内容</w:t>
            </w:r>
          </w:p>
        </w:tc>
        <w:tc>
          <w:tcPr>
            <w:tcW w:w="8146" w:type="dxa"/>
            <w:gridSpan w:val="14"/>
            <w:vAlign w:val="center"/>
          </w:tcPr>
          <w:p>
            <w:pPr>
              <w:spacing w:line="62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一、依法履职，服务“</w:t>
            </w:r>
            <w:r>
              <w:rPr>
                <w:rFonts w:hint="eastAsia" w:ascii="仿宋_GB2312" w:hAnsi="仿宋_GB2312" w:eastAsia="仿宋_GB2312" w:cs="仿宋_GB2312"/>
                <w:sz w:val="24"/>
                <w:szCs w:val="24"/>
                <w:lang w:val="en-US" w:eastAsia="zh-CN"/>
              </w:rPr>
              <w:t>平安君山</w:t>
            </w:r>
            <w:r>
              <w:rPr>
                <w:rFonts w:hint="eastAsia" w:ascii="仿宋_GB2312" w:hAnsi="仿宋_GB2312" w:eastAsia="仿宋_GB2312" w:cs="仿宋_GB2312"/>
                <w:sz w:val="24"/>
                <w:szCs w:val="24"/>
              </w:rPr>
              <w:t>”</w:t>
            </w:r>
          </w:p>
          <w:p>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二、司法为民，保障合法权益</w:t>
            </w:r>
          </w:p>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三、推进司法改革，以改革创新促法院科学发展 </w:t>
            </w:r>
            <w:r>
              <w:rPr>
                <w:rFonts w:hint="eastAsia" w:ascii="仿宋_GB2312" w:hAnsi="仿宋_GB2312" w:eastAsia="仿宋_GB2312" w:cs="仿宋_GB2312"/>
                <w:sz w:val="24"/>
                <w:szCs w:val="24"/>
              </w:rPr>
              <w:br w:type="textWrapping"/>
            </w:r>
            <w:r>
              <w:rPr>
                <w:rFonts w:hint="eastAsia" w:ascii="仿宋_GB2312" w:hAnsi="仿宋_GB2312" w:eastAsia="仿宋_GB2312" w:cs="仿宋_GB2312"/>
                <w:sz w:val="24"/>
                <w:szCs w:val="24"/>
              </w:rPr>
              <w:t>四、坚持固本强基，打造高素质法院队伍</w:t>
            </w:r>
            <w:r>
              <w:rPr>
                <w:rFonts w:hint="eastAsia" w:ascii="仿宋_GB2312" w:hAnsi="仿宋_GB2312" w:eastAsia="仿宋_GB2312" w:cs="仿宋_GB2312"/>
                <w:sz w:val="24"/>
                <w:szCs w:val="24"/>
              </w:rPr>
              <w:br w:type="textWrapping"/>
            </w:r>
            <w:r>
              <w:rPr>
                <w:rFonts w:hint="eastAsia" w:ascii="仿宋_GB2312" w:hAnsi="仿宋_GB2312" w:eastAsia="仿宋_GB2312" w:cs="仿宋_GB2312"/>
                <w:sz w:val="24"/>
                <w:szCs w:val="24"/>
              </w:rPr>
              <w:t>五、接受监督，促进司法公正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260" w:hRule="atLeast"/>
          <w:jc w:val="center"/>
        </w:trPr>
        <w:tc>
          <w:tcPr>
            <w:tcW w:w="1654" w:type="dxa"/>
            <w:gridSpan w:val="3"/>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4"/>
            <w:vAlign w:val="center"/>
          </w:tcPr>
          <w:p>
            <w:pPr>
              <w:spacing w:line="606" w:lineRule="exact"/>
              <w:ind w:right="-231" w:rightChars="-110"/>
              <w:rPr>
                <w:rFonts w:ascii="仿宋_GB2312" w:hAnsi="仿宋_GB2312" w:eastAsia="仿宋_GB2312" w:cs="仿宋_GB2312"/>
                <w:color w:val="000000"/>
                <w:sz w:val="24"/>
              </w:rPr>
            </w:pPr>
            <w:r>
              <w:rPr>
                <w:rFonts w:hint="eastAsia" w:ascii="仿宋_GB2312" w:hAnsi="仿宋_GB2312" w:eastAsia="仿宋_GB2312" w:cs="仿宋_GB2312"/>
                <w:color w:val="0D0D0D"/>
                <w:kern w:val="0"/>
                <w:sz w:val="24"/>
                <w:szCs w:val="24"/>
              </w:rPr>
              <w:t>全年共受理案件 2241件，审结、执结1895件，同比上升24.43%和12.46%</w:t>
            </w:r>
            <w:r>
              <w:rPr>
                <w:rFonts w:hint="eastAsia" w:ascii="仿宋_GB2312" w:hAnsi="仿宋_GB2312" w:eastAsia="仿宋_GB2312" w:cs="仿宋_GB2312"/>
                <w:color w:val="0D0D0D"/>
                <w:kern w:val="0"/>
                <w:sz w:val="24"/>
                <w:szCs w:val="24"/>
                <w:lang w:val="en-US" w:eastAsia="zh-CN"/>
              </w:rPr>
              <w:t>;</w:t>
            </w:r>
            <w:r>
              <w:rPr>
                <w:rFonts w:hint="eastAsia" w:ascii="仿宋_GB2312" w:hAnsi="仿宋_GB2312" w:eastAsia="仿宋_GB2312" w:cs="仿宋_GB2312"/>
                <w:color w:val="0D0D0D"/>
                <w:kern w:val="0"/>
                <w:sz w:val="24"/>
                <w:szCs w:val="24"/>
              </w:rPr>
              <w:t>深入贯彻学习党的十九大精神和习近平总书记系列重要讲话精神，围绕“努力让人民群众在每一个司法案件中感受到公平正义”的目标，始终坚持“司法为民、公正司法”工作主线，忠实履行宪法法律赋予的职责，各项工作取得了新的进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45"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135" w:type="dxa"/>
            <w:gridSpan w:val="2"/>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14" w:hRule="atLeast"/>
          <w:jc w:val="center"/>
        </w:trPr>
        <w:tc>
          <w:tcPr>
            <w:tcW w:w="1645"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35"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2" w:hRule="atLeast"/>
          <w:jc w:val="center"/>
        </w:trPr>
        <w:tc>
          <w:tcPr>
            <w:tcW w:w="164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135" w:type="dxa"/>
            <w:gridSpan w:val="2"/>
            <w:tcBorders>
              <w:right w:val="single" w:color="auto"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1559.63</w:t>
            </w:r>
          </w:p>
        </w:tc>
        <w:tc>
          <w:tcPr>
            <w:tcW w:w="1355" w:type="dxa"/>
            <w:gridSpan w:val="2"/>
            <w:tcBorders>
              <w:lef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1559.63</w:t>
            </w:r>
          </w:p>
        </w:tc>
        <w:tc>
          <w:tcPr>
            <w:tcW w:w="1705" w:type="dxa"/>
            <w:gridSpan w:val="2"/>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800" w:type="dxa"/>
            <w:gridSpan w:val="4"/>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45" w:type="dxa"/>
            <w:gridSpan w:val="2"/>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135" w:type="dxa"/>
            <w:gridSpan w:val="2"/>
            <w:tcBorders>
              <w:right w:val="single" w:color="auto"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1559.63</w:t>
            </w:r>
          </w:p>
        </w:tc>
        <w:tc>
          <w:tcPr>
            <w:tcW w:w="1355" w:type="dxa"/>
            <w:gridSpan w:val="2"/>
            <w:tcBorders>
              <w:lef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400" w:lineRule="exact"/>
              <w:jc w:val="center"/>
              <w:textAlignment w:val="center"/>
              <w:rPr>
                <w:rFonts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1559.63</w:t>
            </w:r>
          </w:p>
        </w:tc>
        <w:tc>
          <w:tcPr>
            <w:tcW w:w="1705" w:type="dxa"/>
            <w:gridSpan w:val="2"/>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800" w:type="dxa"/>
            <w:gridSpan w:val="4"/>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45" w:type="dxa"/>
            <w:gridSpan w:val="2"/>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135" w:type="dxa"/>
            <w:gridSpan w:val="2"/>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45" w:type="dxa"/>
            <w:gridSpan w:val="2"/>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135" w:type="dxa"/>
            <w:gridSpan w:val="2"/>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135" w:type="dxa"/>
            <w:gridSpan w:val="2"/>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Merge w:val="continue"/>
            <w:vAlign w:val="center"/>
          </w:tcPr>
          <w:p>
            <w:pPr>
              <w:spacing w:line="320" w:lineRule="exact"/>
              <w:jc w:val="center"/>
              <w:rPr>
                <w:rFonts w:ascii="仿宋_GB2312" w:hAnsi="仿宋_GB2312" w:eastAsia="仿宋_GB2312" w:cs="仿宋_GB2312"/>
                <w:sz w:val="24"/>
              </w:rPr>
            </w:pPr>
          </w:p>
        </w:tc>
        <w:tc>
          <w:tcPr>
            <w:tcW w:w="1135"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Merge w:val="continue"/>
            <w:vAlign w:val="center"/>
          </w:tcPr>
          <w:p>
            <w:pPr>
              <w:spacing w:line="320" w:lineRule="exact"/>
              <w:jc w:val="center"/>
              <w:rPr>
                <w:rFonts w:ascii="仿宋_GB2312" w:hAnsi="仿宋_GB2312" w:eastAsia="仿宋_GB2312" w:cs="仿宋_GB2312"/>
                <w:sz w:val="24"/>
              </w:rPr>
            </w:pPr>
          </w:p>
        </w:tc>
        <w:tc>
          <w:tcPr>
            <w:tcW w:w="1135"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77" w:hRule="atLeast"/>
          <w:jc w:val="center"/>
        </w:trPr>
        <w:tc>
          <w:tcPr>
            <w:tcW w:w="1645" w:type="dxa"/>
            <w:gridSpan w:val="2"/>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135" w:type="dxa"/>
            <w:gridSpan w:val="2"/>
            <w:tcBorders>
              <w:right w:val="single" w:color="auto"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1559.63</w:t>
            </w:r>
          </w:p>
        </w:tc>
        <w:tc>
          <w:tcPr>
            <w:tcW w:w="1355" w:type="dxa"/>
            <w:gridSpan w:val="2"/>
            <w:tcBorders>
              <w:left w:val="single" w:color="auto"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1236.29</w:t>
            </w:r>
          </w:p>
        </w:tc>
        <w:tc>
          <w:tcPr>
            <w:tcW w:w="1080"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645.28</w:t>
            </w:r>
          </w:p>
        </w:tc>
        <w:tc>
          <w:tcPr>
            <w:tcW w:w="2160" w:type="dxa"/>
            <w:gridSpan w:val="4"/>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591.01</w:t>
            </w:r>
          </w:p>
        </w:tc>
        <w:tc>
          <w:tcPr>
            <w:tcW w:w="1080" w:type="dxa"/>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323.34</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135" w:type="dxa"/>
            <w:gridSpan w:val="2"/>
            <w:tcBorders>
              <w:right w:val="single" w:color="auto"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1559.63</w:t>
            </w:r>
          </w:p>
        </w:tc>
        <w:tc>
          <w:tcPr>
            <w:tcW w:w="1355" w:type="dxa"/>
            <w:gridSpan w:val="2"/>
            <w:tcBorders>
              <w:left w:val="single" w:color="auto"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1236.29</w:t>
            </w:r>
          </w:p>
        </w:tc>
        <w:tc>
          <w:tcPr>
            <w:tcW w:w="1080"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645.28</w:t>
            </w:r>
          </w:p>
        </w:tc>
        <w:tc>
          <w:tcPr>
            <w:tcW w:w="2160" w:type="dxa"/>
            <w:gridSpan w:val="4"/>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591.01</w:t>
            </w:r>
          </w:p>
        </w:tc>
        <w:tc>
          <w:tcPr>
            <w:tcW w:w="1080" w:type="dxa"/>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323.34</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135" w:type="dxa"/>
            <w:gridSpan w:val="2"/>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135" w:type="dxa"/>
            <w:gridSpan w:val="2"/>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135" w:type="dxa"/>
            <w:gridSpan w:val="2"/>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Merge w:val="continue"/>
            <w:vAlign w:val="center"/>
          </w:tcPr>
          <w:p>
            <w:pPr>
              <w:spacing w:line="320" w:lineRule="exact"/>
              <w:jc w:val="center"/>
              <w:rPr>
                <w:rFonts w:ascii="仿宋_GB2312" w:hAnsi="仿宋_GB2312" w:eastAsia="仿宋_GB2312" w:cs="仿宋_GB2312"/>
                <w:sz w:val="24"/>
              </w:rPr>
            </w:pPr>
          </w:p>
        </w:tc>
        <w:tc>
          <w:tcPr>
            <w:tcW w:w="1135"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8" w:hRule="atLeast"/>
          <w:jc w:val="center"/>
        </w:trPr>
        <w:tc>
          <w:tcPr>
            <w:tcW w:w="1645" w:type="dxa"/>
            <w:gridSpan w:val="2"/>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135" w:type="dxa"/>
            <w:gridSpan w:val="2"/>
            <w:tcBorders>
              <w:right w:val="single" w:color="auto"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45.65</w:t>
            </w:r>
          </w:p>
        </w:tc>
        <w:tc>
          <w:tcPr>
            <w:tcW w:w="1355" w:type="dxa"/>
            <w:gridSpan w:val="2"/>
            <w:tcBorders>
              <w:lef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17.68</w:t>
            </w:r>
          </w:p>
        </w:tc>
        <w:tc>
          <w:tcPr>
            <w:tcW w:w="1080"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27.97</w:t>
            </w:r>
          </w:p>
        </w:tc>
        <w:tc>
          <w:tcPr>
            <w:tcW w:w="2160" w:type="dxa"/>
            <w:gridSpan w:val="4"/>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135" w:type="dxa"/>
            <w:gridSpan w:val="2"/>
            <w:tcBorders>
              <w:right w:val="single" w:color="auto"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45.65</w:t>
            </w:r>
          </w:p>
        </w:tc>
        <w:tc>
          <w:tcPr>
            <w:tcW w:w="1355" w:type="dxa"/>
            <w:gridSpan w:val="2"/>
            <w:tcBorders>
              <w:left w:val="single" w:color="auto" w:sz="4" w:space="0"/>
            </w:tcBorders>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17.68</w:t>
            </w:r>
          </w:p>
        </w:tc>
        <w:tc>
          <w:tcPr>
            <w:tcW w:w="1080"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27.97</w:t>
            </w:r>
          </w:p>
        </w:tc>
        <w:tc>
          <w:tcPr>
            <w:tcW w:w="2160" w:type="dxa"/>
            <w:gridSpan w:val="4"/>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40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135" w:type="dxa"/>
            <w:gridSpan w:val="2"/>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135" w:type="dxa"/>
            <w:gridSpan w:val="2"/>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135" w:type="dxa"/>
            <w:gridSpan w:val="2"/>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Merge w:val="continue"/>
            <w:vAlign w:val="center"/>
          </w:tcPr>
          <w:p>
            <w:pPr>
              <w:spacing w:line="320" w:lineRule="exact"/>
              <w:jc w:val="center"/>
              <w:rPr>
                <w:rFonts w:ascii="仿宋_GB2312" w:hAnsi="仿宋_GB2312" w:eastAsia="仿宋_GB2312" w:cs="仿宋_GB2312"/>
                <w:sz w:val="24"/>
              </w:rPr>
            </w:pPr>
          </w:p>
        </w:tc>
        <w:tc>
          <w:tcPr>
            <w:tcW w:w="1135"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5" w:hRule="atLeast"/>
          <w:jc w:val="center"/>
        </w:trPr>
        <w:tc>
          <w:tcPr>
            <w:tcW w:w="1645" w:type="dxa"/>
            <w:gridSpan w:val="2"/>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135" w:type="dxa"/>
            <w:gridSpan w:val="2"/>
            <w:tcBorders>
              <w:righ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1757.75</w:t>
            </w:r>
          </w:p>
        </w:tc>
        <w:tc>
          <w:tcPr>
            <w:tcW w:w="2435" w:type="dxa"/>
            <w:gridSpan w:val="4"/>
            <w:tcBorders>
              <w:lef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1757.75</w:t>
            </w:r>
          </w:p>
        </w:tc>
        <w:tc>
          <w:tcPr>
            <w:tcW w:w="3644" w:type="dxa"/>
            <w:gridSpan w:val="7"/>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135" w:type="dxa"/>
            <w:gridSpan w:val="2"/>
            <w:tcBorders>
              <w:righ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1757.75</w:t>
            </w:r>
          </w:p>
        </w:tc>
        <w:tc>
          <w:tcPr>
            <w:tcW w:w="2435" w:type="dxa"/>
            <w:gridSpan w:val="4"/>
            <w:tcBorders>
              <w:lef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1757.75</w:t>
            </w:r>
          </w:p>
        </w:tc>
        <w:tc>
          <w:tcPr>
            <w:tcW w:w="3644" w:type="dxa"/>
            <w:gridSpan w:val="7"/>
            <w:vAlign w:val="center"/>
          </w:tcPr>
          <w:p>
            <w:pPr>
              <w:autoSpaceDN w:val="0"/>
              <w:spacing w:line="40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135" w:type="dxa"/>
            <w:gridSpan w:val="2"/>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645" w:type="dxa"/>
            <w:gridSpan w:val="2"/>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135" w:type="dxa"/>
            <w:gridSpan w:val="2"/>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3774" w:type="dxa"/>
            <w:gridSpan w:val="7"/>
            <w:vAlign w:val="center"/>
          </w:tcPr>
          <w:p>
            <w:pPr>
              <w:autoSpaceDN w:val="0"/>
              <w:spacing w:line="40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eastAsia="zh-CN"/>
              </w:rPr>
              <w:t>目标</w:t>
            </w:r>
            <w:r>
              <w:rPr>
                <w:rFonts w:hint="eastAsia" w:ascii="仿宋_GB2312" w:hAnsi="仿宋_GB2312" w:eastAsia="仿宋_GB2312" w:cs="仿宋_GB2312"/>
                <w:color w:val="000000"/>
                <w:sz w:val="24"/>
                <w:szCs w:val="24"/>
              </w:rPr>
              <w:t>1：履行审判职能，服务稳定发展大局</w:t>
            </w:r>
          </w:p>
          <w:p>
            <w:pPr>
              <w:autoSpaceDN w:val="0"/>
              <w:spacing w:line="40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eastAsia="zh-CN"/>
              </w:rPr>
              <w:t>目标</w:t>
            </w:r>
            <w:r>
              <w:rPr>
                <w:rFonts w:hint="eastAsia" w:ascii="仿宋_GB2312" w:hAnsi="仿宋_GB2312" w:eastAsia="仿宋_GB2312" w:cs="仿宋_GB2312"/>
                <w:color w:val="000000"/>
                <w:sz w:val="24"/>
                <w:szCs w:val="24"/>
              </w:rPr>
              <w:t>2：践行群众路线，提高司法为民水平</w:t>
            </w:r>
          </w:p>
          <w:p>
            <w:pPr>
              <w:autoSpaceDN w:val="0"/>
              <w:spacing w:line="40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eastAsia="zh-CN"/>
              </w:rPr>
              <w:t>目标</w:t>
            </w:r>
            <w:r>
              <w:rPr>
                <w:rFonts w:hint="eastAsia" w:ascii="仿宋_GB2312" w:hAnsi="仿宋_GB2312" w:eastAsia="仿宋_GB2312" w:cs="仿宋_GB2312"/>
                <w:color w:val="000000"/>
                <w:sz w:val="24"/>
                <w:szCs w:val="24"/>
              </w:rPr>
              <w:t>3：推进阳光司法，维护司法公正形象</w:t>
            </w:r>
          </w:p>
          <w:p>
            <w:pPr>
              <w:autoSpaceDN w:val="0"/>
              <w:spacing w:line="40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val="en-US" w:eastAsia="zh-CN"/>
              </w:rPr>
              <w:t>目标4：坚持强基固本，提升队伍整体素质</w:t>
            </w:r>
          </w:p>
        </w:tc>
        <w:tc>
          <w:tcPr>
            <w:tcW w:w="4585" w:type="dxa"/>
            <w:gridSpan w:val="9"/>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val="en-US" w:eastAsia="zh-CN"/>
              </w:rPr>
              <w:t>1、</w:t>
            </w:r>
            <w:r>
              <w:rPr>
                <w:rFonts w:hint="eastAsia" w:ascii="仿宋_GB2312" w:hAnsi="仿宋_GB2312" w:eastAsia="仿宋_GB2312" w:cs="仿宋_GB2312"/>
                <w:color w:val="0D0D0D"/>
                <w:kern w:val="0"/>
                <w:sz w:val="24"/>
                <w:szCs w:val="24"/>
              </w:rPr>
              <w:t>全年共受理案件 2241件，审结、执结1895件，同比上升24.43%和12.46%</w:t>
            </w:r>
            <w:r>
              <w:rPr>
                <w:rFonts w:hint="eastAsia" w:ascii="仿宋_GB2312" w:hAnsi="仿宋_GB2312" w:eastAsia="仿宋_GB2312" w:cs="仿宋_GB2312"/>
                <w:color w:val="0D0D0D"/>
                <w:kern w:val="0"/>
                <w:sz w:val="24"/>
                <w:szCs w:val="24"/>
                <w:lang w:val="en-US" w:eastAsia="zh-CN"/>
              </w:rPr>
              <w:t>;</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color w:val="000000"/>
                <w:sz w:val="24"/>
                <w:szCs w:val="24"/>
                <w:lang w:val="en-US" w:eastAsia="zh-CN"/>
              </w:rPr>
              <w:t>2.</w:t>
            </w:r>
            <w:r>
              <w:rPr>
                <w:rFonts w:hint="eastAsia" w:ascii="仿宋_GB2312" w:hAnsi="仿宋_GB2312" w:eastAsia="仿宋_GB2312" w:cs="仿宋_GB2312"/>
                <w:color w:val="000000"/>
                <w:sz w:val="24"/>
                <w:szCs w:val="24"/>
                <w:lang w:eastAsia="zh-CN"/>
              </w:rPr>
              <w:t>主动回应人民群众不断增长的司法新要求、新期待，努力为人民群众提供优质高效的诉讼服务；</w:t>
            </w:r>
            <w:r>
              <w:rPr>
                <w:rFonts w:hint="eastAsia" w:ascii="仿宋_GB2312" w:hAnsi="仿宋_GB2312" w:eastAsia="仿宋_GB2312" w:cs="仿宋_GB2312"/>
                <w:color w:val="000000"/>
                <w:sz w:val="24"/>
                <w:szCs w:val="24"/>
                <w:lang w:val="en-US" w:eastAsia="zh-CN"/>
              </w:rPr>
              <w:t>3.</w:t>
            </w:r>
            <w:r>
              <w:rPr>
                <w:rFonts w:hint="eastAsia" w:ascii="仿宋_GB2312" w:hAnsi="仿宋_GB2312" w:eastAsia="仿宋_GB2312" w:cs="仿宋_GB2312"/>
                <w:color w:val="000000"/>
                <w:sz w:val="24"/>
                <w:szCs w:val="24"/>
                <w:lang w:eastAsia="zh-CN"/>
              </w:rPr>
              <w:t>坚持以公开促公正，大力推进阳光司法，完善监督制约机制，广泛接受监督，不断改进和加强人民法院工作；</w:t>
            </w:r>
            <w:r>
              <w:rPr>
                <w:rFonts w:hint="eastAsia" w:ascii="仿宋_GB2312" w:hAnsi="仿宋_GB2312" w:eastAsia="仿宋_GB2312" w:cs="仿宋_GB2312"/>
                <w:color w:val="000000"/>
                <w:sz w:val="24"/>
                <w:szCs w:val="24"/>
                <w:lang w:val="en-US" w:eastAsia="zh-CN"/>
              </w:rPr>
              <w:t>4.</w:t>
            </w:r>
            <w:r>
              <w:rPr>
                <w:rFonts w:hint="eastAsia" w:ascii="仿宋_GB2312" w:hAnsi="仿宋_GB2312" w:eastAsia="仿宋_GB2312" w:cs="仿宋_GB2312"/>
                <w:color w:val="000000"/>
                <w:sz w:val="24"/>
                <w:szCs w:val="24"/>
                <w:lang w:eastAsia="zh-CN"/>
              </w:rPr>
              <w:t>顺应司法改革要求，切实加强队伍建设，努力打造一支信念坚定、执法为民、敢于担当、清正廉洁的法院队伍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829"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846"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产出目标</w:t>
            </w:r>
          </w:p>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（部门工作实绩，包含上级部门和区委区政府布置的重点工作、实事任务等，根据部门实际进行调整细化）</w:t>
            </w:r>
          </w:p>
        </w:tc>
        <w:tc>
          <w:tcPr>
            <w:tcW w:w="1280"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质量指标</w:t>
            </w:r>
          </w:p>
        </w:tc>
        <w:tc>
          <w:tcPr>
            <w:tcW w:w="2846" w:type="dxa"/>
            <w:gridSpan w:val="4"/>
            <w:vAlign w:val="center"/>
          </w:tcPr>
          <w:p>
            <w:pPr>
              <w:autoSpaceDN w:val="0"/>
              <w:spacing w:line="40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00000"/>
                <w:sz w:val="24"/>
                <w:szCs w:val="24"/>
              </w:rPr>
              <w:t>指标1：</w:t>
            </w:r>
            <w:r>
              <w:rPr>
                <w:rFonts w:hint="eastAsia" w:ascii="仿宋_GB2312" w:hAnsi="仿宋_GB2312" w:eastAsia="仿宋_GB2312" w:cs="仿宋_GB2312"/>
                <w:b w:val="0"/>
                <w:bCs w:val="0"/>
                <w:color w:val="0D0D0D"/>
                <w:kern w:val="0"/>
                <w:sz w:val="24"/>
                <w:szCs w:val="24"/>
              </w:rPr>
              <w:t>完善立案信访机制。</w:t>
            </w:r>
          </w:p>
        </w:tc>
        <w:tc>
          <w:tcPr>
            <w:tcW w:w="2684" w:type="dxa"/>
            <w:gridSpan w:val="6"/>
            <w:vAlign w:val="center"/>
          </w:tcPr>
          <w:p>
            <w:pPr>
              <w:shd w:val="clear" w:color="auto" w:fill="FFFFFF"/>
              <w:spacing w:line="606" w:lineRule="exact"/>
              <w:ind w:firstLine="480" w:firstLineChars="200"/>
              <w:rPr>
                <w:rFonts w:hint="eastAsia" w:ascii="仿宋_GB2312" w:hAnsi="仿宋_GB2312" w:eastAsia="仿宋_GB2312" w:cs="仿宋_GB2312"/>
                <w:b w:val="0"/>
                <w:bCs w:val="0"/>
                <w:color w:val="0D0D0D"/>
                <w:kern w:val="0"/>
                <w:sz w:val="24"/>
                <w:szCs w:val="24"/>
              </w:rPr>
            </w:pPr>
            <w:r>
              <w:rPr>
                <w:rFonts w:hint="eastAsia" w:ascii="仿宋_GB2312" w:hAnsi="仿宋_GB2312" w:eastAsia="仿宋_GB2312" w:cs="仿宋_GB2312"/>
                <w:b w:val="0"/>
                <w:bCs w:val="0"/>
                <w:color w:val="0D0D0D"/>
                <w:kern w:val="0"/>
                <w:sz w:val="24"/>
                <w:szCs w:val="24"/>
              </w:rPr>
              <w:t>落实立案登记制有关规定，依法做到有案必立、有诉必理，符合立案条件则当场立案，切实保障群众诉权。坚持繁简分流和调解速裁，减轻当事人诉累。对诉讼金额不大且双方同意调解的案件，先行调解处理78件。对事实清楚、权利义务关系明确、争议不大的案件，采取速裁方式处理 227 件。做好涉诉信访工作,坚持“群众信访无小事”，做到热情接待、耐心疏导、及时处理，全年共接待来访人员315人次，处理群众信访事项11件，化解涉诉信访案件17件。坚持信访领导责任制，实行“四定一包”工作模式，稳妥处置了锦绣佳园、圣皇家具、迪亚庄园等涉诉信访群体事件及刘智慧、袁惜荣等上访人员的信访突发事件共12起。在特殊维稳防护期，加大排查稳控力度，成功劝阻欲到省进京上访的涉诉信访人员5人，确保了党的十九大召开期间无到省赴京非访、无个人极端事件、无重大负面网络舆情。坚持畅通多元化信访渠道，实行院领导值班接访、带案下访有机结合，对锦绣佳园等重大信访案件建立信访人员微信群，随时聆听群众心声，及时通报执行工作进程，积极引导他们通过合法途径表达诉求。</w:t>
            </w:r>
          </w:p>
          <w:p>
            <w:pPr>
              <w:autoSpaceDN w:val="0"/>
              <w:spacing w:line="400" w:lineRule="exact"/>
              <w:jc w:val="center"/>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D0D0D"/>
                <w:kern w:val="0"/>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szCs w:val="24"/>
              </w:rPr>
            </w:pPr>
          </w:p>
        </w:tc>
        <w:tc>
          <w:tcPr>
            <w:tcW w:w="1280" w:type="dxa"/>
            <w:gridSpan w:val="2"/>
            <w:vMerge w:val="continue"/>
            <w:vAlign w:val="center"/>
          </w:tcPr>
          <w:p>
            <w:pPr>
              <w:spacing w:line="320" w:lineRule="exact"/>
              <w:rPr>
                <w:rFonts w:hint="eastAsia" w:ascii="仿宋_GB2312" w:hAnsi="仿宋_GB2312" w:eastAsia="仿宋_GB2312" w:cs="仿宋_GB2312"/>
                <w:sz w:val="24"/>
                <w:szCs w:val="24"/>
              </w:rPr>
            </w:pPr>
          </w:p>
        </w:tc>
        <w:tc>
          <w:tcPr>
            <w:tcW w:w="2846" w:type="dxa"/>
            <w:gridSpan w:val="4"/>
            <w:vAlign w:val="center"/>
          </w:tcPr>
          <w:p>
            <w:pPr>
              <w:autoSpaceDN w:val="0"/>
              <w:spacing w:line="40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00000"/>
                <w:sz w:val="24"/>
                <w:szCs w:val="24"/>
              </w:rPr>
              <w:t>指标2：</w:t>
            </w:r>
            <w:r>
              <w:rPr>
                <w:rFonts w:hint="eastAsia" w:ascii="仿宋_GB2312" w:hAnsi="仿宋_GB2312" w:eastAsia="仿宋_GB2312" w:cs="仿宋_GB2312"/>
                <w:b w:val="0"/>
                <w:bCs w:val="0"/>
                <w:color w:val="0D0D0D"/>
                <w:kern w:val="0"/>
                <w:sz w:val="24"/>
                <w:szCs w:val="24"/>
              </w:rPr>
              <w:t>践行能动司法理念</w:t>
            </w:r>
          </w:p>
        </w:tc>
        <w:tc>
          <w:tcPr>
            <w:tcW w:w="2684" w:type="dxa"/>
            <w:gridSpan w:val="6"/>
            <w:vAlign w:val="center"/>
          </w:tcPr>
          <w:p>
            <w:pPr>
              <w:autoSpaceDN w:val="0"/>
              <w:spacing w:line="400" w:lineRule="exact"/>
              <w:jc w:val="center"/>
              <w:textAlignment w:val="center"/>
              <w:rPr>
                <w:rFonts w:hint="eastAsia" w:ascii="仿宋_GB2312" w:hAnsi="仿宋_GB2312" w:eastAsia="仿宋_GB2312" w:cs="仿宋_GB2312"/>
                <w:b w:val="0"/>
                <w:bCs w:val="0"/>
                <w:color w:val="000000"/>
                <w:sz w:val="24"/>
                <w:szCs w:val="24"/>
              </w:rPr>
            </w:pPr>
            <w:bookmarkStart w:id="0" w:name="_Hlk499162279"/>
            <w:r>
              <w:rPr>
                <w:rFonts w:hint="eastAsia" w:ascii="仿宋_GB2312" w:hAnsi="仿宋_GB2312" w:eastAsia="仿宋_GB2312" w:cs="仿宋_GB2312"/>
                <w:b w:val="0"/>
                <w:bCs w:val="0"/>
                <w:color w:val="0D0D0D"/>
                <w:kern w:val="0"/>
                <w:sz w:val="24"/>
                <w:szCs w:val="24"/>
              </w:rPr>
              <w:t>指导人民调解工作，开展“三调联动”，化解基层社会矛盾。大力开展巡回审判</w:t>
            </w:r>
            <w:bookmarkEnd w:id="0"/>
            <w:r>
              <w:rPr>
                <w:rFonts w:hint="eastAsia" w:ascii="仿宋_GB2312" w:hAnsi="仿宋_GB2312" w:eastAsia="仿宋_GB2312" w:cs="仿宋_GB2312"/>
                <w:b w:val="0"/>
                <w:bCs w:val="0"/>
                <w:color w:val="0D0D0D"/>
                <w:kern w:val="0"/>
                <w:sz w:val="24"/>
                <w:szCs w:val="24"/>
              </w:rPr>
              <w:t>，真正将司法为民的要求落到实处。钱粮湖、许市两个法庭共受理案件759件，审结案件704件。把法庭搬到社区、田间地头和百姓家门口，就地开庭16场次，就地调解90场次。正式启用位于钱粮湖镇的法庭审判办公楼，切实方便群众诉讼。创新工作模式，加大对辖区企业的司法服务力度。对金联星公司等10多家企业开展调研走访、召开座谈会，了解掌握企业生产经营中遇到的法律难题，提出司法建议，提高企业管控和化解风险的能力。关心弱势群体的实际困难，加大司法救助力度。对暂时无法执行到位、申请人因情况特殊急需救济的小额案件，尝试先行垫付，缓解燃眉之急；对经济确有困难的当事人减免诉讼费21万余元；为确无财产可供执行、申请人家庭面临重大困难的当事人解决司法救助金20万余元，彰显司法的人文关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szCs w:val="24"/>
              </w:rPr>
            </w:pPr>
          </w:p>
        </w:tc>
        <w:tc>
          <w:tcPr>
            <w:tcW w:w="1280" w:type="dxa"/>
            <w:gridSpan w:val="2"/>
            <w:vMerge w:val="continue"/>
            <w:vAlign w:val="center"/>
          </w:tcPr>
          <w:p>
            <w:pPr>
              <w:spacing w:line="320" w:lineRule="exact"/>
              <w:rPr>
                <w:rFonts w:hint="eastAsia" w:ascii="仿宋_GB2312" w:hAnsi="仿宋_GB2312" w:eastAsia="仿宋_GB2312" w:cs="仿宋_GB2312"/>
                <w:sz w:val="24"/>
                <w:szCs w:val="24"/>
              </w:rPr>
            </w:pPr>
          </w:p>
        </w:tc>
        <w:tc>
          <w:tcPr>
            <w:tcW w:w="2846" w:type="dxa"/>
            <w:gridSpan w:val="4"/>
            <w:vAlign w:val="center"/>
          </w:tcPr>
          <w:p>
            <w:pPr>
              <w:autoSpaceDN w:val="0"/>
              <w:spacing w:line="40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00000"/>
                <w:sz w:val="24"/>
                <w:szCs w:val="24"/>
                <w:lang w:eastAsia="zh-CN"/>
              </w:rPr>
              <w:t>指标</w:t>
            </w:r>
            <w:r>
              <w:rPr>
                <w:rFonts w:hint="eastAsia" w:ascii="仿宋_GB2312" w:hAnsi="仿宋_GB2312" w:eastAsia="仿宋_GB2312" w:cs="仿宋_GB2312"/>
                <w:b w:val="0"/>
                <w:bCs w:val="0"/>
                <w:color w:val="000000"/>
                <w:sz w:val="24"/>
                <w:szCs w:val="24"/>
                <w:lang w:val="en-US" w:eastAsia="zh-CN"/>
              </w:rPr>
              <w:t>3：</w:t>
            </w:r>
            <w:r>
              <w:rPr>
                <w:rFonts w:hint="eastAsia" w:ascii="仿宋_GB2312" w:hAnsi="仿宋_GB2312" w:eastAsia="仿宋_GB2312" w:cs="仿宋_GB2312"/>
                <w:b w:val="0"/>
                <w:bCs w:val="0"/>
                <w:color w:val="0D0D0D"/>
                <w:kern w:val="0"/>
                <w:sz w:val="24"/>
                <w:szCs w:val="24"/>
              </w:rPr>
              <w:t>加大司法公开力度。</w:t>
            </w:r>
          </w:p>
        </w:tc>
        <w:tc>
          <w:tcPr>
            <w:tcW w:w="2684" w:type="dxa"/>
            <w:gridSpan w:val="6"/>
            <w:vAlign w:val="center"/>
          </w:tcPr>
          <w:p>
            <w:pPr>
              <w:autoSpaceDN w:val="0"/>
              <w:spacing w:line="400" w:lineRule="exact"/>
              <w:jc w:val="center"/>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D0D0D"/>
                <w:kern w:val="0"/>
                <w:sz w:val="24"/>
                <w:szCs w:val="24"/>
              </w:rPr>
              <w:t>加强和推进司法民主，在区人大常委会的监督指导下完成人民陪审员换届选任工作，新任40名人民陪审员全年参审案件达706件。在“3.15”消费者权益保护日、“12.4”国家宪法日等时间，举行法院公众开放日活动6次，邀请人大代表、政协委员视察法院工作，听庭评庭，接受监督；组织第十六中学、岳西中学学生300余人参观法院，旁听庭审，近距离感受法院工作，接受法制教育。积极回应人民群众对司法公开的新期待，全面推进立案、庭审、执行、审务公开，通过法院网站和官方微博开展庭审视频直播14场，公布裁判文书1875份，审判流程信息实现全面公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szCs w:val="24"/>
              </w:rPr>
            </w:pPr>
          </w:p>
        </w:tc>
        <w:tc>
          <w:tcPr>
            <w:tcW w:w="1280"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数量指标</w:t>
            </w:r>
          </w:p>
        </w:tc>
        <w:tc>
          <w:tcPr>
            <w:tcW w:w="2846" w:type="dxa"/>
            <w:gridSpan w:val="4"/>
            <w:vAlign w:val="center"/>
          </w:tcPr>
          <w:p>
            <w:pPr>
              <w:autoSpaceDN w:val="0"/>
              <w:spacing w:line="40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00000"/>
                <w:sz w:val="24"/>
                <w:szCs w:val="24"/>
              </w:rPr>
              <w:t>指标1：</w:t>
            </w:r>
            <w:r>
              <w:rPr>
                <w:rFonts w:hint="eastAsia" w:ascii="仿宋_GB2312" w:hAnsi="仿宋_GB2312" w:eastAsia="仿宋_GB2312" w:cs="仿宋_GB2312"/>
                <w:b w:val="0"/>
                <w:bCs w:val="0"/>
                <w:color w:val="0D0D0D"/>
                <w:kern w:val="0"/>
                <w:sz w:val="24"/>
                <w:szCs w:val="24"/>
              </w:rPr>
              <w:t>依法惩治刑事犯罪，全力维护社会稳定</w:t>
            </w:r>
          </w:p>
        </w:tc>
        <w:tc>
          <w:tcPr>
            <w:tcW w:w="2684" w:type="dxa"/>
            <w:gridSpan w:val="6"/>
            <w:vAlign w:val="center"/>
          </w:tcPr>
          <w:p>
            <w:pPr>
              <w:autoSpaceDN w:val="0"/>
              <w:spacing w:line="400" w:lineRule="exact"/>
              <w:jc w:val="center"/>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D0D0D"/>
                <w:kern w:val="0"/>
                <w:sz w:val="24"/>
                <w:szCs w:val="24"/>
              </w:rPr>
              <w:t>全年受理各类刑事案件157件，审结133件，判处罪犯195人，同比分别增加48.11%、49.46%和59.83%。严惩严重危害公民人身权、财产权犯罪，审理绑架、强奸、诈骗、盗窃等案件35 件。对绑架主犯朱思柏依法从重判处有期徒刑12年，有力震慑了犯罪。保护妇女、儿童权益，对强奸、猥亵儿童的罪犯陈立军、曾军安分别判处有期徒刑6年和3年。捣毁吴佳辉等8人电信网络诈骗团伙，挽回经济损失30余万元。严惩毒品犯罪，审理贩卖、运输、非法持有毒品案件22件，判处罪犯26人，罪犯方勇、郭明均被判处10年以上有期徒刑。严惩经济领域犯罪，稳妥审理9件虚开增值税专用发票系列案，对两名主犯分别判处有期徒刑14年和13年，为国家挽回税款损失共计504万元。严惩破坏环境资源犯罪，依法审结王动良等3人非法收购、运输、出售珍贵、濒危野生动物案，现已启动逐级呈报最高人民法院核准程序。落实宽严相济，坚持惩治犯罪与保障人权相统一。依法判处十年以上有期徒刑8人，三年到十年9人，三年以下95人，量刑总体平衡。对犯罪情节较轻、人身危险性较小、真诚认罪悔罪，赔偿积极且得到被害人谅解的被告人，加大非监禁刑的适用；对39名被告人分别判处拘役、单处罚金、免刑，对 45人适用缓刑，促使犯罪人积极回归社会。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846" w:type="dxa"/>
            <w:gridSpan w:val="4"/>
            <w:vAlign w:val="center"/>
          </w:tcPr>
          <w:p>
            <w:pPr>
              <w:autoSpaceDN w:val="0"/>
              <w:spacing w:line="40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00000"/>
                <w:sz w:val="24"/>
                <w:szCs w:val="24"/>
              </w:rPr>
              <w:t>指标2：</w:t>
            </w:r>
            <w:r>
              <w:rPr>
                <w:rFonts w:hint="eastAsia" w:ascii="仿宋_GB2312" w:hAnsi="仿宋_GB2312" w:eastAsia="仿宋_GB2312" w:cs="仿宋_GB2312"/>
                <w:b w:val="0"/>
                <w:bCs w:val="0"/>
                <w:color w:val="0D0D0D"/>
                <w:kern w:val="0"/>
                <w:sz w:val="24"/>
                <w:szCs w:val="24"/>
              </w:rPr>
              <w:t>妥善处理民商纠纷，积极化解社会矛盾。</w:t>
            </w:r>
          </w:p>
        </w:tc>
        <w:tc>
          <w:tcPr>
            <w:tcW w:w="2684" w:type="dxa"/>
            <w:gridSpan w:val="6"/>
            <w:vAlign w:val="center"/>
          </w:tcPr>
          <w:p>
            <w:pPr>
              <w:spacing w:line="606" w:lineRule="exact"/>
              <w:ind w:firstLine="645"/>
              <w:rPr>
                <w:rFonts w:hint="eastAsia" w:ascii="仿宋_GB2312" w:hAnsi="仿宋_GB2312" w:eastAsia="仿宋_GB2312" w:cs="仿宋_GB2312"/>
                <w:b w:val="0"/>
                <w:bCs w:val="0"/>
                <w:sz w:val="24"/>
                <w:szCs w:val="24"/>
              </w:rPr>
            </w:pPr>
            <w:r>
              <w:rPr>
                <w:rFonts w:hint="eastAsia" w:ascii="仿宋_GB2312" w:hAnsi="仿宋_GB2312" w:eastAsia="仿宋_GB2312" w:cs="仿宋_GB2312"/>
                <w:b w:val="0"/>
                <w:bCs w:val="0"/>
                <w:color w:val="0D0D0D"/>
                <w:kern w:val="0"/>
                <w:sz w:val="24"/>
                <w:szCs w:val="24"/>
              </w:rPr>
              <w:t>受理民商事案件1491件，审结1311件，同比上升31.95%和35.85%。案件调解率为63.92%。注重以人为本，维系家庭美德和社会道德。审结婚姻家庭、劳动争议、交通事故、人身损害等关系群众切身利益的案件385件，加强对妇女儿童、劳动者、事故受害方等弱势群体的保障。坚持契约至上，引导重诺守约和社会诚信。审结买卖合同、租赁合同等案件187件。审理了湖南科益公司与岳阳易富公司万头猪场租赁合同纠纷案，通过多次耐心细致的协调，最终妥善化解双方当事人的尖锐矛盾，有效维护了和谐稳定。保护公平竞争，维护公序良俗的交易秩序。审结建设工程、民间借贷、担保等案件328件。在以亚龙置业公司为被告的系列诉讼案中，及时对1.05亿公司财产采取保全措施，有效防止了开发商一房多卖、抽逃资金，保障了债权的实现。着力防范风险，规范金融和市场秩序。在审理268件农行君山支行与农户之间的小额农业政策性金融借款合同纠纷系列案中，发现存在违规操作、涉嫌骗取贷款情况。对此，我院已将该系列案及时移送区公安分局进行立案侦查。践行绿色发展，全面落实生态“1+5”发展战略。成立洞庭湖环境资源法庭，依法审理省高级人民法院指定的第一起跨行政区划环境民事公益诉讼案件并当庭宣判，率先在全省敲响环境民事公益诉讼第一锤，取得了良好的审判效果和社会效果，为洞庭湖水资源保护产生了积极的示范效应。</w:t>
            </w:r>
          </w:p>
          <w:p>
            <w:pPr>
              <w:autoSpaceDN w:val="0"/>
              <w:spacing w:line="400" w:lineRule="exact"/>
              <w:jc w:val="center"/>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00000"/>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846" w:type="dxa"/>
            <w:gridSpan w:val="4"/>
            <w:vAlign w:val="center"/>
          </w:tcPr>
          <w:p>
            <w:pPr>
              <w:autoSpaceDN w:val="0"/>
              <w:spacing w:line="400" w:lineRule="exact"/>
              <w:jc w:val="left"/>
              <w:textAlignment w:val="center"/>
              <w:rPr>
                <w:rFonts w:hint="eastAsia" w:ascii="仿宋_GB2312" w:hAnsi="仿宋_GB2312" w:eastAsia="仿宋_GB2312" w:cs="仿宋_GB2312"/>
                <w:b w:val="0"/>
                <w:bCs w:val="0"/>
                <w:color w:val="000000"/>
                <w:sz w:val="24"/>
                <w:szCs w:val="24"/>
                <w:lang w:eastAsia="zh-CN"/>
              </w:rPr>
            </w:pPr>
            <w:r>
              <w:rPr>
                <w:rFonts w:hint="eastAsia" w:ascii="仿宋_GB2312" w:hAnsi="仿宋_GB2312" w:eastAsia="仿宋_GB2312" w:cs="仿宋_GB2312"/>
                <w:b w:val="0"/>
                <w:bCs w:val="0"/>
                <w:color w:val="000000"/>
                <w:sz w:val="24"/>
                <w:szCs w:val="24"/>
                <w:lang w:eastAsia="zh-CN"/>
              </w:rPr>
              <w:t>指标</w:t>
            </w:r>
            <w:r>
              <w:rPr>
                <w:rFonts w:hint="eastAsia" w:ascii="仿宋_GB2312" w:hAnsi="仿宋_GB2312" w:eastAsia="仿宋_GB2312" w:cs="仿宋_GB2312"/>
                <w:b w:val="0"/>
                <w:bCs w:val="0"/>
                <w:color w:val="000000"/>
                <w:sz w:val="24"/>
                <w:szCs w:val="24"/>
                <w:lang w:val="en-US" w:eastAsia="zh-CN"/>
              </w:rPr>
              <w:t>3：</w:t>
            </w:r>
            <w:r>
              <w:rPr>
                <w:rFonts w:hint="eastAsia" w:ascii="仿宋_GB2312" w:hAnsi="仿宋_GB2312" w:eastAsia="仿宋_GB2312" w:cs="仿宋_GB2312"/>
                <w:b w:val="0"/>
                <w:bCs w:val="0"/>
                <w:color w:val="0D0D0D"/>
                <w:kern w:val="0"/>
                <w:sz w:val="24"/>
                <w:szCs w:val="24"/>
              </w:rPr>
              <w:t>加强行政审判工作，助推法治政府建设。</w:t>
            </w:r>
          </w:p>
        </w:tc>
        <w:tc>
          <w:tcPr>
            <w:tcW w:w="2684" w:type="dxa"/>
            <w:gridSpan w:val="6"/>
            <w:vAlign w:val="center"/>
          </w:tcPr>
          <w:p>
            <w:pPr>
              <w:spacing w:line="606" w:lineRule="exact"/>
              <w:ind w:firstLine="480" w:firstLineChars="200"/>
              <w:rPr>
                <w:rFonts w:hint="eastAsia" w:ascii="仿宋_GB2312" w:hAnsi="仿宋_GB2312" w:eastAsia="仿宋_GB2312" w:cs="仿宋_GB2312"/>
                <w:b w:val="0"/>
                <w:bCs w:val="0"/>
                <w:color w:val="0D0D0D"/>
                <w:kern w:val="0"/>
                <w:sz w:val="24"/>
                <w:szCs w:val="24"/>
              </w:rPr>
            </w:pPr>
            <w:r>
              <w:rPr>
                <w:rFonts w:hint="eastAsia" w:ascii="仿宋_GB2312" w:hAnsi="仿宋_GB2312" w:eastAsia="仿宋_GB2312" w:cs="仿宋_GB2312"/>
                <w:b w:val="0"/>
                <w:bCs w:val="0"/>
                <w:color w:val="0D0D0D"/>
                <w:kern w:val="0"/>
                <w:sz w:val="24"/>
                <w:szCs w:val="24"/>
              </w:rPr>
              <w:t>坚持保护与监督并重，共受理行政诉讼和行政非诉执行案件33件，审结执结30件。依法监督和支持行政机关发挥市场监管、公共服务和社会管理等职能，稳妥处理城乡规划、土地征用、房屋拆迁等案件，对行政行为合法的24件非诉行政案件裁定准予强制执行，准予执行率达100%。主动服务全区发展大局，有力支持重点项目建设，配合水利局、征拆局等相关部门开展征拆工作，推进了蒙华铁路、杭瑞高速等大型工程项目建设。依法稳妥审理了涉及民生和资源环境保护的团湖公园承包纠纷案、君山公园“西口渔村”依法关停案，大力支持区政府相关决策。</w:t>
            </w:r>
          </w:p>
          <w:p>
            <w:pPr>
              <w:autoSpaceDN w:val="0"/>
              <w:spacing w:line="400" w:lineRule="exact"/>
              <w:jc w:val="center"/>
              <w:textAlignment w:val="center"/>
              <w:rPr>
                <w:rFonts w:hint="eastAsia" w:ascii="仿宋_GB2312" w:hAnsi="仿宋_GB2312" w:eastAsia="仿宋_GB2312" w:cs="仿宋_GB2312"/>
                <w:b w:val="0"/>
                <w:bCs w:val="0"/>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846" w:type="dxa"/>
            <w:gridSpan w:val="4"/>
            <w:vAlign w:val="center"/>
          </w:tcPr>
          <w:p>
            <w:pPr>
              <w:autoSpaceDN w:val="0"/>
              <w:spacing w:line="40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00000"/>
                <w:sz w:val="24"/>
                <w:szCs w:val="24"/>
                <w:lang w:eastAsia="zh-CN"/>
              </w:rPr>
              <w:t>指标</w:t>
            </w:r>
            <w:r>
              <w:rPr>
                <w:rFonts w:hint="eastAsia" w:ascii="仿宋_GB2312" w:hAnsi="仿宋_GB2312" w:eastAsia="仿宋_GB2312" w:cs="仿宋_GB2312"/>
                <w:b w:val="0"/>
                <w:bCs w:val="0"/>
                <w:color w:val="000000"/>
                <w:sz w:val="24"/>
                <w:szCs w:val="24"/>
                <w:lang w:val="en-US" w:eastAsia="zh-CN"/>
              </w:rPr>
              <w:t>4：全</w:t>
            </w:r>
            <w:r>
              <w:rPr>
                <w:rFonts w:hint="eastAsia" w:ascii="仿宋_GB2312" w:hAnsi="仿宋_GB2312" w:eastAsia="仿宋_GB2312" w:cs="仿宋_GB2312"/>
                <w:b w:val="0"/>
                <w:bCs w:val="0"/>
                <w:color w:val="0D0D0D"/>
                <w:kern w:val="0"/>
                <w:sz w:val="24"/>
                <w:szCs w:val="24"/>
              </w:rPr>
              <w:t>力破解执行难题，保障群众涉诉权益。</w:t>
            </w:r>
          </w:p>
        </w:tc>
        <w:tc>
          <w:tcPr>
            <w:tcW w:w="2684" w:type="dxa"/>
            <w:gridSpan w:val="6"/>
            <w:vAlign w:val="center"/>
          </w:tcPr>
          <w:p>
            <w:pPr>
              <w:shd w:val="clear" w:color="auto" w:fill="FFFFFF"/>
              <w:spacing w:line="606" w:lineRule="exact"/>
              <w:ind w:firstLine="480" w:firstLineChars="200"/>
              <w:rPr>
                <w:rFonts w:hint="eastAsia" w:ascii="仿宋_GB2312" w:hAnsi="仿宋_GB2312" w:eastAsia="仿宋_GB2312" w:cs="仿宋_GB2312"/>
                <w:b w:val="0"/>
                <w:bCs w:val="0"/>
                <w:color w:val="0D0D0D"/>
                <w:kern w:val="0"/>
                <w:sz w:val="24"/>
                <w:szCs w:val="24"/>
              </w:rPr>
            </w:pPr>
            <w:r>
              <w:rPr>
                <w:rFonts w:hint="eastAsia" w:ascii="仿宋_GB2312" w:hAnsi="仿宋_GB2312" w:eastAsia="仿宋_GB2312" w:cs="仿宋_GB2312"/>
                <w:b w:val="0"/>
                <w:bCs w:val="0"/>
                <w:color w:val="0D0D0D"/>
                <w:kern w:val="0"/>
                <w:sz w:val="24"/>
                <w:szCs w:val="24"/>
              </w:rPr>
              <w:t>受理案件560件，执结421件，执行标的1753.74万元。完善执行信息化建设，拓宽执行网络查控范围，共查询银行账号6205个，金额360余万元，车辆信息75条，并推动实现对被执行人房屋、土地使用权等财产的网络查询全覆盖。创新执行财产处置办法，积极推进网络司法拍卖工作，深化异地执行协作工作机制。开展以追索劳动报酬、赡养费、抚养费等几类案件为重点的“涉民生案件”专项执行活动，快速办结民工工资、损害赔偿等案件86件，共兑付75万余元。多项强制措施并举，全力破解“执行难”，依法加大对“老赖”的打击力度，共限制出境2人，司法拘留26人，采取临时性控制措施15人。落实联合信用惩戒机制，让失信被执行人在消费、出行、贷款、工商登记等方面处处受限，促使其自动履行义务。在高朋飞、朱宗奎等32名农民工劳务合同纠纷案中，将拒不履行判决义务的湖北鼎新建设集团纳入失信被执行人名单，限制对外招投标，依法冻结其工程款，促使被执行人主动支付工资款52万元。</w:t>
            </w:r>
          </w:p>
          <w:p>
            <w:pPr>
              <w:autoSpaceDN w:val="0"/>
              <w:spacing w:line="400" w:lineRule="exact"/>
              <w:jc w:val="center"/>
              <w:textAlignment w:val="center"/>
              <w:rPr>
                <w:rFonts w:hint="eastAsia" w:ascii="仿宋_GB2312" w:hAnsi="仿宋_GB2312" w:eastAsia="仿宋_GB2312" w:cs="仿宋_GB2312"/>
                <w:b w:val="0"/>
                <w:bCs w:val="0"/>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846" w:type="dxa"/>
            <w:gridSpan w:val="4"/>
            <w:vAlign w:val="center"/>
          </w:tcPr>
          <w:p>
            <w:pPr>
              <w:autoSpaceDN w:val="0"/>
              <w:spacing w:line="400" w:lineRule="exact"/>
              <w:jc w:val="center"/>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审限内结案率</w:t>
            </w:r>
          </w:p>
        </w:tc>
        <w:tc>
          <w:tcPr>
            <w:tcW w:w="2684" w:type="dxa"/>
            <w:gridSpan w:val="6"/>
            <w:vAlign w:val="center"/>
          </w:tcPr>
          <w:p>
            <w:pPr>
              <w:autoSpaceDN w:val="0"/>
              <w:spacing w:line="400" w:lineRule="exact"/>
              <w:jc w:val="center"/>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846" w:type="dxa"/>
            <w:gridSpan w:val="4"/>
            <w:vAlign w:val="center"/>
          </w:tcPr>
          <w:p>
            <w:pPr>
              <w:autoSpaceDN w:val="0"/>
              <w:spacing w:line="320" w:lineRule="exact"/>
              <w:jc w:val="left"/>
              <w:textAlignment w:val="center"/>
              <w:rPr>
                <w:rFonts w:ascii="仿宋_GB2312" w:hAnsi="仿宋_GB2312" w:eastAsia="仿宋_GB2312" w:cs="仿宋_GB2312"/>
                <w:b w:val="0"/>
                <w:bCs w:val="0"/>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b w:val="0"/>
                <w:bCs w:val="0"/>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846" w:type="dxa"/>
            <w:gridSpan w:val="4"/>
            <w:vAlign w:val="center"/>
          </w:tcPr>
          <w:p>
            <w:pPr>
              <w:autoSpaceDN w:val="0"/>
              <w:spacing w:line="320" w:lineRule="exact"/>
              <w:jc w:val="left"/>
              <w:textAlignment w:val="center"/>
              <w:rPr>
                <w:rFonts w:ascii="仿宋_GB2312" w:hAnsi="仿宋_GB2312" w:eastAsia="仿宋_GB2312" w:cs="仿宋_GB2312"/>
                <w:b w:val="0"/>
                <w:bCs w:val="0"/>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b w:val="0"/>
                <w:bCs w:val="0"/>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846" w:type="dxa"/>
            <w:gridSpan w:val="4"/>
            <w:vAlign w:val="center"/>
          </w:tcPr>
          <w:p>
            <w:pPr>
              <w:autoSpaceDN w:val="0"/>
              <w:spacing w:line="40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auto"/>
                <w:sz w:val="24"/>
                <w:szCs w:val="24"/>
              </w:rPr>
              <w:t>指标1：</w:t>
            </w:r>
            <w:r>
              <w:rPr>
                <w:rFonts w:hint="eastAsia" w:ascii="仿宋_GB2312" w:hAnsi="仿宋_GB2312" w:eastAsia="仿宋_GB2312" w:cs="仿宋_GB2312"/>
                <w:b w:val="0"/>
                <w:bCs w:val="0"/>
                <w:color w:val="0D0D0D"/>
                <w:kern w:val="0"/>
                <w:sz w:val="24"/>
                <w:szCs w:val="24"/>
              </w:rPr>
              <w:t>加强政治思想建设，确保正确方向。</w:t>
            </w:r>
          </w:p>
        </w:tc>
        <w:tc>
          <w:tcPr>
            <w:tcW w:w="2684" w:type="dxa"/>
            <w:gridSpan w:val="6"/>
            <w:vAlign w:val="center"/>
          </w:tcPr>
          <w:p>
            <w:pPr>
              <w:spacing w:line="606" w:lineRule="exact"/>
              <w:ind w:firstLine="645" w:firstLineChars="0"/>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D0D0D"/>
                <w:kern w:val="0"/>
                <w:sz w:val="24"/>
                <w:szCs w:val="24"/>
              </w:rPr>
              <w:t>始终坚持党管一切的政治站位，始终在思想上行动上与党中央保持高度一致。牢固树立“四个意识”，严守政治纪律和政治规矩。扎实开展“两学一做”，大力弘扬“岳阳四种精神”，积极践行“巴陵先锋先行”，深入学习党的十九大和习近平总书记系列重要讲话精神。严格落实党组中心组学习制度、民主集中制和“三会一课”制度，定期召开民主生活会、组织生活会，严肃党内政治生活。加强党建工作与工会、妇联、共青团工作共同推进，荣获湖南省“模范职工之家”称号。打造以法院文化长廊为亮点的法院文化宣传基地，打响了以培育职业尊荣感、强化团队精神、促进审判改革为内核的文化品牌，成为2017年区直机关党建工作推进会的现场考察示范点。紧跟区委部署，以高度的政治觉悟和良好的工作作风，积极完成全区综治民调、文明创建、防汛抗洪、精准扶贫和“五联竞赛”等中心工作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846"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00000"/>
                <w:sz w:val="24"/>
                <w:szCs w:val="24"/>
              </w:rPr>
              <w:t>指标2：</w:t>
            </w:r>
            <w:r>
              <w:rPr>
                <w:rFonts w:hint="eastAsia" w:ascii="仿宋_GB2312" w:hAnsi="仿宋_GB2312" w:eastAsia="仿宋_GB2312" w:cs="仿宋_GB2312"/>
                <w:b w:val="0"/>
                <w:bCs w:val="0"/>
                <w:color w:val="0D0D0D"/>
                <w:kern w:val="0"/>
                <w:sz w:val="24"/>
                <w:szCs w:val="24"/>
              </w:rPr>
              <w:t>加强纪律作风建设，维护司法廉洁。</w:t>
            </w:r>
          </w:p>
        </w:tc>
        <w:tc>
          <w:tcPr>
            <w:tcW w:w="2684" w:type="dxa"/>
            <w:gridSpan w:val="6"/>
            <w:vAlign w:val="center"/>
          </w:tcPr>
          <w:p>
            <w:pPr>
              <w:spacing w:line="606" w:lineRule="exact"/>
              <w:ind w:firstLine="480" w:firstLineChars="200"/>
              <w:rPr>
                <w:rFonts w:hint="eastAsia" w:ascii="仿宋_GB2312" w:hAnsi="仿宋_GB2312" w:eastAsia="仿宋_GB2312" w:cs="仿宋_GB2312"/>
                <w:b w:val="0"/>
                <w:bCs w:val="0"/>
                <w:color w:val="0D0D0D"/>
                <w:kern w:val="0"/>
                <w:sz w:val="24"/>
                <w:szCs w:val="24"/>
              </w:rPr>
            </w:pPr>
            <w:r>
              <w:rPr>
                <w:rFonts w:hint="eastAsia" w:ascii="仿宋_GB2312" w:hAnsi="仿宋_GB2312" w:eastAsia="仿宋_GB2312" w:cs="仿宋_GB2312"/>
                <w:b w:val="0"/>
                <w:bCs w:val="0"/>
                <w:color w:val="0D0D0D"/>
                <w:kern w:val="0"/>
                <w:sz w:val="24"/>
                <w:szCs w:val="24"/>
              </w:rPr>
              <w:t>全面落实从严治党要求，严格落实“两个责任”和“一岗双责”，层层签订党风廉政建设责任状，坚持把党风廉政建设与审判工作同部署、同监督、同落实。广泛开展廉洁司法教育，通过上党课、举办讲座、观看廉政宣传片、集中学习讨论《重大违纪违法典型案件选编》等形式，引导干警筑牢拒腐防变的思想道德防线。强化对干警的日常管理监督，不定期对上下班纪律、庭审形象、工作八小时之外作风纪律进行督查，在节假日发送廉政短信，确保干警时刻保持敬畏之心，干净做事、清白做人。对群众反映的问题和线索，认真调查核实，决不姑息迁就，全年干警无违法违纪行为。</w:t>
            </w:r>
          </w:p>
          <w:p>
            <w:pPr>
              <w:autoSpaceDN w:val="0"/>
              <w:spacing w:line="320" w:lineRule="exact"/>
              <w:jc w:val="center"/>
              <w:textAlignment w:val="center"/>
              <w:rPr>
                <w:rFonts w:hint="eastAsia" w:ascii="仿宋_GB2312" w:hAnsi="仿宋_GB2312" w:eastAsia="仿宋_GB2312" w:cs="仿宋_GB2312"/>
                <w:b w:val="0"/>
                <w:bCs w:val="0"/>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846"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00000"/>
                <w:sz w:val="24"/>
                <w:szCs w:val="24"/>
              </w:rPr>
              <w:t>指标</w:t>
            </w:r>
            <w:r>
              <w:rPr>
                <w:rFonts w:hint="eastAsia" w:ascii="仿宋_GB2312" w:hAnsi="仿宋_GB2312" w:eastAsia="仿宋_GB2312" w:cs="仿宋_GB2312"/>
                <w:b w:val="0"/>
                <w:bCs w:val="0"/>
                <w:color w:val="000000"/>
                <w:sz w:val="24"/>
                <w:szCs w:val="24"/>
                <w:lang w:val="en-US" w:eastAsia="zh-CN"/>
              </w:rPr>
              <w:t>3</w:t>
            </w:r>
            <w:r>
              <w:rPr>
                <w:rFonts w:hint="eastAsia" w:ascii="仿宋_GB2312" w:hAnsi="仿宋_GB2312" w:eastAsia="仿宋_GB2312" w:cs="仿宋_GB2312"/>
                <w:b w:val="0"/>
                <w:bCs w:val="0"/>
                <w:color w:val="000000"/>
                <w:sz w:val="24"/>
                <w:szCs w:val="24"/>
              </w:rPr>
              <w:t>：</w:t>
            </w:r>
            <w:r>
              <w:rPr>
                <w:rFonts w:hint="eastAsia" w:ascii="仿宋_GB2312" w:hAnsi="仿宋_GB2312" w:eastAsia="仿宋_GB2312" w:cs="仿宋_GB2312"/>
                <w:b w:val="0"/>
                <w:bCs w:val="0"/>
                <w:color w:val="0D0D0D"/>
                <w:kern w:val="0"/>
                <w:sz w:val="24"/>
                <w:szCs w:val="24"/>
              </w:rPr>
              <w:t>加强能力素质建设，提高职业素养。</w:t>
            </w:r>
          </w:p>
        </w:tc>
        <w:tc>
          <w:tcPr>
            <w:tcW w:w="2684" w:type="dxa"/>
            <w:gridSpan w:val="6"/>
            <w:vAlign w:val="center"/>
          </w:tcPr>
          <w:p>
            <w:pPr>
              <w:spacing w:line="606" w:lineRule="exact"/>
              <w:ind w:firstLine="480" w:firstLineChars="200"/>
              <w:rPr>
                <w:rFonts w:hint="eastAsia" w:ascii="仿宋_GB2312" w:hAnsi="仿宋_GB2312" w:eastAsia="仿宋_GB2312" w:cs="仿宋_GB2312"/>
                <w:b w:val="0"/>
                <w:bCs w:val="0"/>
                <w:color w:val="0D0D0D"/>
                <w:sz w:val="24"/>
                <w:szCs w:val="24"/>
                <w:shd w:val="clear" w:color="auto" w:fill="FFFFFF"/>
              </w:rPr>
            </w:pPr>
            <w:r>
              <w:rPr>
                <w:rFonts w:hint="eastAsia" w:ascii="仿宋_GB2312" w:hAnsi="仿宋_GB2312" w:eastAsia="仿宋_GB2312" w:cs="仿宋_GB2312"/>
                <w:b w:val="0"/>
                <w:bCs w:val="0"/>
                <w:color w:val="0D0D0D"/>
                <w:kern w:val="0"/>
                <w:sz w:val="24"/>
                <w:szCs w:val="24"/>
              </w:rPr>
              <w:t>根据员额法官、审判辅助人员和司法行政人员不同需求，实行分级分类培训。选派干警参加上级法院审判业务及综合业务培训共45人次。率先在湖南理工学院举办为期5天的员额法官首期民商事法学理论培训，特邀参加过《民法总则》修订的廖永安教授等8名知名专家授课，进一步提升法官的法学理论水平和业务能力。组织庭审观摩3场，专题案件交流78场，裁判文书评查239份，对改判、发回重审的17件案件，进行逐案讲评，提升法官法律适用、庭审驾驭、文书制作的能力。注重青年干警的培养，选派4名青年干警进入国家法官学院、北京大学进修，对新招录的3名法官助理集中开展为期两个月的案件讲评、专业辅导活动，营造健康向上的人才培养氛围。强化审判理论和司法实务研究，撰写的《乡镇国有土地承包是否属于农村土地承包法调整范围》案例被最高人民法院采用，可作为全国法院指导此类案件的判例，有2篇调研论文在省诉讼法学年会上获奖。</w:t>
            </w:r>
          </w:p>
          <w:p>
            <w:pPr>
              <w:autoSpaceDN w:val="0"/>
              <w:spacing w:line="320" w:lineRule="exact"/>
              <w:jc w:val="center"/>
              <w:textAlignment w:val="center"/>
              <w:rPr>
                <w:rFonts w:hint="eastAsia" w:ascii="仿宋_GB2312" w:hAnsi="仿宋_GB2312" w:eastAsia="仿宋_GB2312" w:cs="仿宋_GB2312"/>
                <w:b w:val="0"/>
                <w:bCs w:val="0"/>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846"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00000"/>
                <w:sz w:val="24"/>
                <w:szCs w:val="24"/>
              </w:rPr>
              <w:t>指标</w:t>
            </w:r>
            <w:r>
              <w:rPr>
                <w:rFonts w:hint="eastAsia" w:ascii="仿宋_GB2312" w:hAnsi="仿宋_GB2312" w:eastAsia="仿宋_GB2312" w:cs="仿宋_GB2312"/>
                <w:b w:val="0"/>
                <w:bCs w:val="0"/>
                <w:color w:val="000000"/>
                <w:sz w:val="24"/>
                <w:szCs w:val="24"/>
                <w:lang w:val="en-US" w:eastAsia="zh-CN"/>
              </w:rPr>
              <w:t>4</w:t>
            </w:r>
            <w:r>
              <w:rPr>
                <w:rFonts w:hint="eastAsia" w:ascii="仿宋_GB2312" w:hAnsi="仿宋_GB2312" w:eastAsia="仿宋_GB2312" w:cs="仿宋_GB2312"/>
                <w:b w:val="0"/>
                <w:bCs w:val="0"/>
                <w:color w:val="000000"/>
                <w:sz w:val="24"/>
                <w:szCs w:val="24"/>
              </w:rPr>
              <w:t>：</w:t>
            </w:r>
            <w:r>
              <w:rPr>
                <w:rFonts w:hint="eastAsia" w:ascii="仿宋_GB2312" w:hAnsi="仿宋_GB2312" w:eastAsia="仿宋_GB2312" w:cs="仿宋_GB2312"/>
                <w:b w:val="0"/>
                <w:bCs w:val="0"/>
                <w:color w:val="0D0D0D"/>
                <w:kern w:val="0"/>
                <w:sz w:val="24"/>
                <w:szCs w:val="24"/>
              </w:rPr>
              <w:t>自觉接受监督，努力改进工作。</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val="0"/>
                <w:bCs w:val="0"/>
                <w:color w:val="000000"/>
                <w:sz w:val="24"/>
                <w:szCs w:val="24"/>
              </w:rPr>
            </w:pPr>
            <w:r>
              <w:rPr>
                <w:rFonts w:hint="eastAsia" w:ascii="仿宋_GB2312" w:hAnsi="仿宋_GB2312" w:eastAsia="仿宋_GB2312" w:cs="仿宋_GB2312"/>
                <w:b w:val="0"/>
                <w:bCs w:val="0"/>
                <w:color w:val="0D0D0D"/>
                <w:kern w:val="0"/>
                <w:sz w:val="24"/>
                <w:szCs w:val="24"/>
              </w:rPr>
              <w:t>主动接受人大监督和政协民主监督。坚持重要工作、重大事项向人大及其常委会报告制度，认真执行重点案件报备制度，定期报送《审判工作专报》。积极配合市人大常委会及市人大代表对环境资源法庭及司法改革工作情况的调研，接受区人大、区政协的专题工作视察。加强与代表、委员的联络，邀请代表、委员视察法院、旁听庭审。依法接受检察机关法律监督，邀请检察长列席审委会，召开“两院”联席会，共同维护司法公正。广泛接受社会各界监督，通过互联网等收集、回复群众意见28条，及时回应群众关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2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846" w:type="dxa"/>
            <w:gridSpan w:val="4"/>
            <w:vAlign w:val="center"/>
          </w:tcPr>
          <w:p>
            <w:pPr>
              <w:autoSpaceDN w:val="0"/>
              <w:spacing w:line="400" w:lineRule="exact"/>
              <w:jc w:val="center"/>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围绕社会稳定大局，促进社会经济平稳发展，保障群众安居乐业</w:t>
            </w:r>
          </w:p>
        </w:tc>
        <w:tc>
          <w:tcPr>
            <w:tcW w:w="2684" w:type="dxa"/>
            <w:gridSpan w:val="6"/>
            <w:vAlign w:val="center"/>
          </w:tcPr>
          <w:p>
            <w:pPr>
              <w:autoSpaceDN w:val="0"/>
              <w:spacing w:line="400" w:lineRule="exact"/>
              <w:jc w:val="center"/>
              <w:textAlignment w:val="center"/>
              <w:rPr>
                <w:rFonts w:hint="eastAsia" w:ascii="仿宋_GB2312" w:hAnsi="仿宋_GB2312" w:eastAsia="仿宋_GB2312" w:cs="仿宋_GB2312"/>
                <w:b w:val="0"/>
                <w:bCs w:val="0"/>
                <w:color w:val="000000"/>
                <w:sz w:val="24"/>
                <w:lang w:val="en-US" w:eastAsia="zh-CN"/>
              </w:rPr>
            </w:pPr>
            <w:r>
              <w:rPr>
                <w:rFonts w:hint="eastAsia" w:ascii="仿宋_GB2312" w:hAnsi="仿宋_GB2312" w:eastAsia="仿宋_GB2312" w:cs="仿宋_GB2312"/>
                <w:b w:val="0"/>
                <w:bCs w:val="0"/>
                <w:color w:val="000000"/>
                <w:sz w:val="24"/>
              </w:rPr>
              <w:t>全</w:t>
            </w:r>
            <w:r>
              <w:rPr>
                <w:rFonts w:hint="eastAsia" w:ascii="仿宋_GB2312" w:hAnsi="仿宋_GB2312" w:eastAsia="仿宋_GB2312" w:cs="仿宋_GB2312"/>
                <w:b w:val="0"/>
                <w:bCs w:val="0"/>
                <w:color w:val="000000"/>
                <w:sz w:val="24"/>
                <w:lang w:val="en-US" w:eastAsia="zh-CN"/>
              </w:rPr>
              <w:t>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846" w:type="dxa"/>
            <w:gridSpan w:val="4"/>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指标1：</w:t>
            </w:r>
          </w:p>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指标2：</w:t>
            </w:r>
          </w:p>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val="0"/>
                <w:bCs w:val="0"/>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846" w:type="dxa"/>
            <w:gridSpan w:val="4"/>
            <w:vAlign w:val="center"/>
          </w:tcPr>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指标1：</w:t>
            </w:r>
          </w:p>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指标2：</w:t>
            </w:r>
          </w:p>
          <w:p>
            <w:pPr>
              <w:autoSpaceDN w:val="0"/>
              <w:spacing w:line="320" w:lineRule="exact"/>
              <w:jc w:val="left"/>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val="0"/>
                <w:bCs w:val="0"/>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2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846" w:type="dxa"/>
            <w:gridSpan w:val="4"/>
            <w:vAlign w:val="center"/>
          </w:tcPr>
          <w:p>
            <w:pPr>
              <w:autoSpaceDN w:val="0"/>
              <w:spacing w:line="400" w:lineRule="exact"/>
              <w:jc w:val="center"/>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i w:val="0"/>
                <w:caps w:val="0"/>
                <w:color w:val="000000"/>
                <w:spacing w:val="0"/>
                <w:sz w:val="24"/>
                <w:szCs w:val="24"/>
                <w:shd w:val="clear" w:color="auto" w:fill="FFFFFF"/>
                <w:lang w:eastAsia="zh-CN"/>
              </w:rPr>
              <w:t>民调排名位居全省基层法院前列。</w:t>
            </w:r>
            <w:r>
              <w:rPr>
                <w:rFonts w:hint="eastAsia" w:ascii="仿宋_GB2312" w:hAnsi="仿宋_GB2312" w:eastAsia="仿宋_GB2312" w:cs="仿宋_GB2312"/>
                <w:b w:val="0"/>
                <w:bCs w:val="0"/>
                <w:color w:val="000000"/>
                <w:sz w:val="24"/>
              </w:rPr>
              <w:t>。</w:t>
            </w:r>
          </w:p>
        </w:tc>
        <w:tc>
          <w:tcPr>
            <w:tcW w:w="2684" w:type="dxa"/>
            <w:gridSpan w:val="6"/>
            <w:vAlign w:val="center"/>
          </w:tcPr>
          <w:p>
            <w:pPr>
              <w:autoSpaceDN w:val="0"/>
              <w:spacing w:line="400" w:lineRule="exact"/>
              <w:jc w:val="center"/>
              <w:textAlignment w:val="center"/>
              <w:rPr>
                <w:rFonts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96.4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 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3"/>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刘</w:t>
            </w:r>
            <w:r>
              <w:rPr>
                <w:rFonts w:hint="eastAsia" w:ascii="仿宋_GB2312" w:hAnsi="仿宋_GB2312" w:eastAsia="仿宋_GB2312" w:cs="仿宋_GB2312"/>
                <w:color w:val="000000"/>
                <w:sz w:val="24"/>
                <w:szCs w:val="24"/>
                <w:lang w:val="en-US" w:eastAsia="zh-CN"/>
              </w:rPr>
              <w:t>新云</w:t>
            </w:r>
          </w:p>
        </w:tc>
        <w:tc>
          <w:tcPr>
            <w:tcW w:w="3561" w:type="dxa"/>
            <w:gridSpan w:val="5"/>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院党组</w:t>
            </w:r>
            <w:r>
              <w:rPr>
                <w:rFonts w:hint="eastAsia" w:ascii="仿宋_GB2312" w:hAnsi="仿宋_GB2312" w:eastAsia="仿宋_GB2312" w:cs="仿宋_GB2312"/>
                <w:color w:val="000000"/>
                <w:sz w:val="24"/>
                <w:szCs w:val="24"/>
                <w:lang w:val="en-US" w:eastAsia="zh-CN"/>
              </w:rPr>
              <w:t>副书记</w:t>
            </w:r>
            <w:r>
              <w:rPr>
                <w:rFonts w:hint="eastAsia" w:ascii="仿宋_GB2312" w:hAnsi="仿宋_GB2312" w:eastAsia="仿宋_GB2312" w:cs="仿宋_GB2312"/>
                <w:color w:val="000000"/>
                <w:sz w:val="24"/>
                <w:szCs w:val="24"/>
                <w:lang w:eastAsia="zh-CN"/>
              </w:rPr>
              <w:t>、常务副院长</w:t>
            </w:r>
          </w:p>
        </w:tc>
        <w:tc>
          <w:tcPr>
            <w:tcW w:w="1479" w:type="dxa"/>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君山区人民法院</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3"/>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余湘伟</w:t>
            </w:r>
          </w:p>
        </w:tc>
        <w:tc>
          <w:tcPr>
            <w:tcW w:w="3561" w:type="dxa"/>
            <w:gridSpan w:val="5"/>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院党组成员、政治部主任</w:t>
            </w:r>
          </w:p>
        </w:tc>
        <w:tc>
          <w:tcPr>
            <w:tcW w:w="1479" w:type="dxa"/>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君山区人民法院</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3"/>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熊卫</w:t>
            </w:r>
          </w:p>
        </w:tc>
        <w:tc>
          <w:tcPr>
            <w:tcW w:w="3561" w:type="dxa"/>
            <w:gridSpan w:val="5"/>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办公室副主任、出纳</w:t>
            </w:r>
          </w:p>
        </w:tc>
        <w:tc>
          <w:tcPr>
            <w:tcW w:w="1479" w:type="dxa"/>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君山区人民法院</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3"/>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彭向阳</w:t>
            </w:r>
          </w:p>
        </w:tc>
        <w:tc>
          <w:tcPr>
            <w:tcW w:w="3561" w:type="dxa"/>
            <w:gridSpan w:val="5"/>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会计</w:t>
            </w:r>
          </w:p>
        </w:tc>
        <w:tc>
          <w:tcPr>
            <w:tcW w:w="1479" w:type="dxa"/>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szCs w:val="24"/>
                <w:lang w:eastAsia="zh-CN"/>
              </w:rPr>
              <w:t>君山区人民法院</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w:t>
      </w:r>
    </w:p>
    <w:tbl>
      <w:tblPr>
        <w:tblStyle w:val="5"/>
        <w:tblW w:w="9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98" w:hRule="atLeast"/>
          <w:jc w:val="center"/>
        </w:trPr>
        <w:tc>
          <w:tcPr>
            <w:tcW w:w="9558" w:type="dxa"/>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eastAsia="仿宋_GB2312"/>
                <w:sz w:val="32"/>
                <w:szCs w:val="32"/>
              </w:rPr>
            </w:pP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1、专项资金安排落实、总投入等情况分析</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2、专项资金实际使用情况分析</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3、专项资金管理情况分析</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五、存在的主要问题</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六、改进措施和有关建议</w:t>
            </w:r>
          </w:p>
          <w:p>
            <w:pPr>
              <w:rPr>
                <w:rFonts w:eastAsia="楷体_GB2312"/>
                <w:bCs/>
                <w:sz w:val="28"/>
                <w:szCs w:val="2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0000000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4"/>
        <w:sz w:val="24"/>
        <w:szCs w:val="24"/>
      </w:rPr>
    </w:pPr>
    <w:r>
      <w:rPr>
        <w:rStyle w:val="4"/>
        <w:rFonts w:hint="eastAsia"/>
        <w:sz w:val="24"/>
        <w:szCs w:val="24"/>
      </w:rPr>
      <w:t xml:space="preserve">— </w:t>
    </w:r>
    <w:r>
      <w:rPr>
        <w:sz w:val="24"/>
        <w:szCs w:val="24"/>
      </w:rPr>
      <w:fldChar w:fldCharType="begin"/>
    </w:r>
    <w:r>
      <w:rPr>
        <w:rStyle w:val="4"/>
        <w:sz w:val="24"/>
        <w:szCs w:val="24"/>
      </w:rPr>
      <w:instrText xml:space="preserve">PAGE  </w:instrText>
    </w:r>
    <w:r>
      <w:rPr>
        <w:sz w:val="24"/>
        <w:szCs w:val="24"/>
      </w:rPr>
      <w:fldChar w:fldCharType="separate"/>
    </w:r>
    <w:r>
      <w:rPr>
        <w:rStyle w:val="4"/>
        <w:sz w:val="24"/>
        <w:szCs w:val="24"/>
      </w:rPr>
      <w:t>6</w:t>
    </w:r>
    <w:r>
      <w:rPr>
        <w:sz w:val="24"/>
        <w:szCs w:val="24"/>
      </w:rPr>
      <w:fldChar w:fldCharType="end"/>
    </w:r>
    <w:r>
      <w:rPr>
        <w:rStyle w:val="4"/>
        <w:rFonts w:hint="eastAsia"/>
        <w:sz w:val="24"/>
        <w:szCs w:val="24"/>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146B58"/>
    <w:rsid w:val="003F4F9F"/>
    <w:rsid w:val="00456756"/>
    <w:rsid w:val="01221EAC"/>
    <w:rsid w:val="04823CF3"/>
    <w:rsid w:val="0DA158F3"/>
    <w:rsid w:val="0DC77C8A"/>
    <w:rsid w:val="138B5457"/>
    <w:rsid w:val="185B6B8C"/>
    <w:rsid w:val="1B5575FA"/>
    <w:rsid w:val="1CA441D3"/>
    <w:rsid w:val="1CB541B9"/>
    <w:rsid w:val="21995BCC"/>
    <w:rsid w:val="227643C2"/>
    <w:rsid w:val="28A41B5F"/>
    <w:rsid w:val="28DA6237"/>
    <w:rsid w:val="2A697D9E"/>
    <w:rsid w:val="2CB02526"/>
    <w:rsid w:val="2E032E9B"/>
    <w:rsid w:val="30040C04"/>
    <w:rsid w:val="309C49A0"/>
    <w:rsid w:val="3A12564D"/>
    <w:rsid w:val="3AB11DCD"/>
    <w:rsid w:val="3E9E62B0"/>
    <w:rsid w:val="46B611DF"/>
    <w:rsid w:val="4E563DED"/>
    <w:rsid w:val="541D7188"/>
    <w:rsid w:val="58146B58"/>
    <w:rsid w:val="66200489"/>
    <w:rsid w:val="68326F8B"/>
    <w:rsid w:val="6D37433E"/>
    <w:rsid w:val="6D535020"/>
    <w:rsid w:val="71065781"/>
    <w:rsid w:val="75FB0F43"/>
    <w:rsid w:val="783E5C70"/>
    <w:rsid w:val="79B57083"/>
    <w:rsid w:val="7C0236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character" w:styleId="4">
    <w:name w:val="page numb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微软中国</Company>
  <Pages>6</Pages>
  <Words>1090</Words>
  <Characters>830</Characters>
  <Lines>6</Lines>
  <Paragraphs>3</Paragraphs>
  <TotalTime>35</TotalTime>
  <ScaleCrop>false</ScaleCrop>
  <LinksUpToDate>false</LinksUpToDate>
  <CharactersWithSpaces>1917</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2018-05-23T03:19:00Z</dcterms:created>
  <dc:creator>Administrator</dc:creator>
  <cp:lastModifiedBy>Administrator</cp:lastModifiedBy>
  <cp:lastPrinted>2018-07-31T03:32:00Z</cp:lastPrinted>
  <dcterms:modified xsi:type="dcterms:W3CDTF">2018-08-07T01:19:03Z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