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8</w:t>
            </w:r>
            <w:r>
              <w:rPr>
                <w:rFonts w:hint="eastAsia" w:ascii="Times New Roman" w:hAnsi="仿宋" w:eastAsia="仿宋_GB2312" w:cs="仿宋"/>
                <w:b/>
                <w:sz w:val="28"/>
                <w:szCs w:val="28"/>
              </w:rPr>
              <w:t>］</w:t>
            </w:r>
            <w:r>
              <w:rPr>
                <w:rFonts w:hint="eastAsia" w:ascii="Times New Roman" w:hAnsi="仿宋" w:eastAsia="仿宋_GB2312" w:cs="仿宋"/>
                <w:b/>
                <w:sz w:val="28"/>
                <w:szCs w:val="28"/>
                <w:lang w:val="en-US" w:eastAsia="zh-CN"/>
              </w:rPr>
              <w:t>6</w:t>
            </w:r>
            <w:r>
              <w:rPr>
                <w:rFonts w:hint="eastAsia" w:ascii="Times New Roman" w:hAnsi="仿宋" w:eastAsia="仿宋_GB2312" w:cs="仿宋"/>
                <w:b/>
                <w:sz w:val="28"/>
                <w:szCs w:val="28"/>
              </w:rPr>
              <w:t>号</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本项目拟在洞庭大道东延桥头段道路的原有基础上进行拓改，长750m，拓宽14m，改造路面宽52m；桥头北向匝道环形支路长410m，宽9m，位于君山区柳林洲街道办事处洞庭大道桥头与防洪堤坝路围合的三角地带，项目总投资16986.4万元，总用地面积136465m</w:t>
            </w:r>
            <w:r>
              <w:rPr>
                <w:rFonts w:hint="eastAsia" w:ascii="仿宋_GB2312" w:hAnsi="仿宋_GB2312" w:eastAsia="仿宋_GB2312" w:cs="仿宋_GB2312"/>
                <w:sz w:val="28"/>
                <w:vertAlign w:val="superscript"/>
              </w:rPr>
              <w:t>2</w:t>
            </w:r>
            <w:r>
              <w:rPr>
                <w:rFonts w:hint="eastAsia" w:ascii="仿宋_GB2312" w:hAnsi="仿宋_GB2312" w:eastAsia="仿宋_GB2312" w:cs="仿宋_GB2312"/>
                <w:sz w:val="28"/>
              </w:rPr>
              <w:t>，其中道路拓改工程用地面积39465m</w:t>
            </w:r>
            <w:r>
              <w:rPr>
                <w:rFonts w:hint="eastAsia" w:ascii="仿宋_GB2312" w:hAnsi="仿宋_GB2312" w:eastAsia="仿宋_GB2312" w:cs="仿宋_GB2312"/>
                <w:sz w:val="28"/>
                <w:vertAlign w:val="superscript"/>
              </w:rPr>
              <w:t>2</w:t>
            </w:r>
            <w:r>
              <w:rPr>
                <w:rFonts w:hint="eastAsia" w:ascii="仿宋_GB2312" w:hAnsi="仿宋_GB2312" w:eastAsia="仿宋_GB2312" w:cs="仿宋_GB2312"/>
                <w:sz w:val="28"/>
              </w:rPr>
              <w:t>，绿地景观工程用地面积97000m</w:t>
            </w:r>
            <w:r>
              <w:rPr>
                <w:rFonts w:hint="eastAsia" w:ascii="仿宋_GB2312" w:hAnsi="仿宋_GB2312" w:eastAsia="仿宋_GB2312" w:cs="仿宋_GB2312"/>
                <w:sz w:val="28"/>
                <w:vertAlign w:val="superscript"/>
              </w:rPr>
              <w:t>2</w:t>
            </w:r>
            <w:r>
              <w:rPr>
                <w:rFonts w:hint="eastAsia" w:ascii="仿宋_GB2312" w:hAnsi="仿宋_GB2312" w:eastAsia="仿宋_GB2312" w:cs="仿宋_GB2312"/>
                <w:sz w:val="28"/>
              </w:rPr>
              <w:t>。项目新建给排水工程、电气工程、交通工程、照明工程、硬质景观、喷灌设施、运动场所、厕所、停车场等。根据广西新北环环保科技有限公司编制的环境影响报告表基本内容、结论和专家审查意见，从环境保护角度考虑，同意本项目的建设。</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一、建设单位须逐项落实环评报告表提出的各项环保措施，严格执行环保“三同时”制度，配套建设污染防治设施，加强环境管理，确保外排污染物长期稳定达标排放。在工程设计、建设和管理中，应着重注意以下问题：</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1、施工期废水污染防治。设置隔油沉淀池，生活污水、设备清洗废水及场地冲洗废水等经过沉淀隔油处理后回用，严禁直接排入到附近环境水体。</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2、施工期大气污染防治。项目不设施工营地和混凝土搅拌站，不设置临时施工生产区，所用混凝土均外购并经专用车辆运至铺路现场施工使用；严禁大风大雨等恶劣天气施工，配备洒水设备并定期洒水抑尘；合理安排物料运输路线，土方、砂石等散装物料运输车辆加盖或加蓬，防止物料洒落；施工区域和物料堆场设置1.8m以上围挡，严禁物料露天堆放。加强对施工地周边环境敏感点的施工管理，减少粉尘等对周边环境敏感点的影响。</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2、施工期噪声污染防治。选用低噪声施工设备，合理安排施工进度与时间，禁止夜间22:00~次日06：00施工，合理布局施工场地，设置临时隔声屏障或围护结构等措施，确保施工噪声符合《建筑施工场界环境噪声排放标准》（GB12523-2011）要求，降低对周围声环境的影响。</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4、施工期固废污染防治。建设过程产生的建筑垃圾、弃渣由渣土管理部门进行处置，生活垃圾集中堆放，严禁乱扔乱弃、污染环境，由环卫部门定期清运。</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5、</w:t>
            </w:r>
            <w:r>
              <w:rPr>
                <w:rFonts w:hint="eastAsia" w:ascii="仿宋_GB2312" w:hAnsi="仿宋_GB2312" w:eastAsia="仿宋_GB2312" w:cs="仿宋_GB2312"/>
                <w:sz w:val="28"/>
                <w:lang w:eastAsia="zh-CN"/>
              </w:rPr>
              <w:t>项目营运期</w:t>
            </w:r>
            <w:r>
              <w:rPr>
                <w:rFonts w:hint="eastAsia" w:ascii="仿宋_GB2312" w:hAnsi="仿宋_GB2312" w:eastAsia="仿宋_GB2312" w:cs="仿宋_GB2312"/>
                <w:sz w:val="28"/>
              </w:rPr>
              <w:t>采用雨污分流，生活污水由化粪池处理后经市政污水管网排入君山城区污水净化中心进行处理，路面径流经市政管网排入鱼龙渠最后进入濠河；营运期生活垃圾及化粪池污泥由环卫部门统一清运；加强绿化管理，居民集中区、特殊噪声敏感区等路段禁止鸣笛，设置禁鸣警示牌。</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6</w:t>
            </w:r>
            <w:r>
              <w:rPr>
                <w:rFonts w:hint="eastAsia" w:ascii="仿宋_GB2312" w:hAnsi="仿宋_GB2312" w:eastAsia="仿宋_GB2312" w:cs="仿宋_GB2312"/>
                <w:sz w:val="28"/>
              </w:rPr>
              <w:t>、生态影响专题。该项目生态影响专题报告通过了专家评审，已在我局进行了备案登记。要求加强项目区域绿化，完善施工植被修复，选用乡土绿化树种，防止外来物种入侵，确保本地区生态安全。</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二、你单位应在收到本批复后</w:t>
            </w:r>
            <w:r>
              <w:rPr>
                <w:rFonts w:ascii="仿宋_GB2312" w:hAnsi="仿宋_GB2312" w:eastAsia="仿宋_GB2312" w:cs="仿宋_GB2312"/>
                <w:sz w:val="28"/>
              </w:rPr>
              <w:t>15</w:t>
            </w:r>
            <w:r>
              <w:rPr>
                <w:rFonts w:hint="eastAsia" w:ascii="仿宋_GB2312" w:hAnsi="仿宋_GB2312" w:eastAsia="仿宋_GB2312" w:cs="仿宋_GB2312"/>
                <w:sz w:val="28"/>
              </w:rPr>
              <w:t>个工作日内，将批复及</w:t>
            </w:r>
            <w:r>
              <w:rPr>
                <w:rFonts w:hint="eastAsia" w:ascii="仿宋_GB2312" w:hAnsi="仿宋_GB2312" w:eastAsia="仿宋_GB2312" w:cs="仿宋_GB2312"/>
                <w:sz w:val="28"/>
                <w:lang w:eastAsia="zh-CN"/>
              </w:rPr>
              <w:t>该项目环评报批稿</w:t>
            </w:r>
            <w:r>
              <w:rPr>
                <w:rFonts w:hint="eastAsia" w:ascii="仿宋_GB2312" w:hAnsi="仿宋_GB2312" w:eastAsia="仿宋_GB2312" w:cs="仿宋_GB2312"/>
                <w:sz w:val="28"/>
              </w:rPr>
              <w:t>送至岳阳市环境保护局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环境监察大队</w:t>
            </w:r>
            <w:r>
              <w:rPr>
                <w:rFonts w:hint="eastAsia" w:ascii="仿宋_GB2312" w:hAnsi="仿宋_GB2312" w:eastAsia="仿宋_GB2312" w:cs="仿宋_GB2312"/>
                <w:sz w:val="28"/>
              </w:rPr>
              <w:t>、广西新北环环保科技有限公司。</w:t>
            </w:r>
            <w:r>
              <w:rPr>
                <w:rFonts w:ascii="仿宋_GB2312" w:hAnsi="仿宋_GB2312" w:eastAsia="仿宋_GB2312" w:cs="仿宋_GB2312"/>
                <w:sz w:val="28"/>
              </w:rPr>
              <w:t xml:space="preserve"> </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三、岳阳市环境保护局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环境监察大队</w:t>
            </w:r>
            <w:r>
              <w:rPr>
                <w:rFonts w:hint="eastAsia" w:ascii="仿宋_GB2312" w:hAnsi="仿宋_GB2312" w:eastAsia="仿宋_GB2312" w:cs="仿宋_GB2312"/>
                <w:sz w:val="28"/>
              </w:rPr>
              <w:t>负责项目建设期和营运期的日常环境监管。</w:t>
            </w: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hint="eastAsia" w:ascii="仿宋_GB2312" w:eastAsia="仿宋_GB2312"/>
                <w:w w:val="90"/>
                <w:sz w:val="28"/>
              </w:rPr>
            </w:pPr>
            <w:r>
              <w:rPr>
                <w:rFonts w:hint="eastAsia" w:ascii="仿宋_GB2312" w:eastAsia="仿宋_GB2312"/>
                <w:w w:val="90"/>
                <w:sz w:val="28"/>
              </w:rPr>
              <w:t>经办人：</w:t>
            </w:r>
            <w:r>
              <w:rPr>
                <w:rFonts w:hint="eastAsia" w:ascii="仿宋_GB2312" w:eastAsia="仿宋_GB2312"/>
                <w:w w:val="90"/>
                <w:sz w:val="28"/>
                <w:lang w:eastAsia="zh-CN"/>
              </w:rPr>
              <w:t>章鹏</w:t>
            </w:r>
          </w:p>
          <w:p>
            <w:pPr>
              <w:snapToGrid w:val="0"/>
              <w:rPr>
                <w:rFonts w:hint="eastAsia" w:ascii="仿宋_GB2312" w:eastAsia="仿宋_GB2312"/>
                <w:w w:val="90"/>
                <w:sz w:val="28"/>
              </w:rPr>
            </w:pPr>
          </w:p>
          <w:p>
            <w:pPr>
              <w:snapToGrid w:val="0"/>
              <w:rPr>
                <w:rFonts w:hint="eastAsia" w:ascii="仿宋_GB2312" w:eastAsia="仿宋_GB2312"/>
                <w:w w:val="90"/>
                <w:sz w:val="28"/>
              </w:rPr>
            </w:pPr>
          </w:p>
          <w:p>
            <w:pPr>
              <w:snapToGrid w:val="0"/>
              <w:rPr>
                <w:rFonts w:hint="eastAsia" w:ascii="仿宋_GB2312" w:hAnsi="Times New Roman" w:eastAsia="仿宋_GB2312"/>
                <w:sz w:val="28"/>
                <w:lang w:val="en-US" w:eastAsia="zh-CN"/>
              </w:rPr>
            </w:pPr>
            <w:r>
              <w:rPr>
                <w:rFonts w:hint="eastAsia" w:ascii="仿宋_GB2312" w:eastAsia="仿宋_GB2312"/>
                <w:w w:val="90"/>
                <w:sz w:val="28"/>
              </w:rPr>
              <w:t>审批人：</w:t>
            </w:r>
            <w:r>
              <w:rPr>
                <w:rFonts w:hint="eastAsia" w:ascii="仿宋_GB2312" w:eastAsia="仿宋_GB2312"/>
                <w:w w:val="90"/>
                <w:sz w:val="28"/>
                <w:lang w:eastAsia="zh-CN"/>
              </w:rPr>
              <w:t>龚卿</w:t>
            </w:r>
            <w:bookmarkStart w:id="0" w:name="_GoBack"/>
            <w:bookmarkEnd w:id="0"/>
            <w:r>
              <w:rPr>
                <w:rFonts w:ascii="仿宋_GB2312" w:hAnsi="Times New Roman" w:eastAsia="仿宋_GB2312"/>
                <w:sz w:val="28"/>
              </w:rPr>
              <w:t xml:space="preserve">                              </w:t>
            </w:r>
            <w:r>
              <w:rPr>
                <w:rFonts w:hint="eastAsia" w:ascii="仿宋_GB2312" w:hAnsi="Times New Roman" w:eastAsia="仿宋_GB2312"/>
                <w:sz w:val="28"/>
                <w:lang w:val="en-US" w:eastAsia="zh-CN"/>
              </w:rPr>
              <w:t xml:space="preserve"> </w:t>
            </w:r>
          </w:p>
          <w:p>
            <w:pPr>
              <w:snapToGrid w:val="0"/>
              <w:rPr>
                <w:rFonts w:hint="eastAsia" w:ascii="仿宋_GB2312" w:hAnsi="Times New Roman" w:eastAsia="仿宋_GB2312"/>
                <w:sz w:val="28"/>
                <w:lang w:val="en-US" w:eastAsia="zh-CN"/>
              </w:rPr>
            </w:pPr>
          </w:p>
          <w:p>
            <w:pPr>
              <w:snapToGrid w:val="0"/>
              <w:rPr>
                <w:rFonts w:hint="eastAsia" w:ascii="仿宋_GB2312" w:hAnsi="Times New Roman" w:eastAsia="仿宋_GB2312"/>
                <w:sz w:val="28"/>
                <w:lang w:val="en-US" w:eastAsia="zh-CN"/>
              </w:rPr>
            </w:pPr>
          </w:p>
          <w:p>
            <w:pPr>
              <w:snapToGrid w:val="0"/>
              <w:rPr>
                <w:rFonts w:hint="eastAsia" w:ascii="仿宋_GB2312" w:hAnsi="Times New Roman" w:eastAsia="仿宋_GB2312"/>
                <w:sz w:val="28"/>
                <w:lang w:val="en-US" w:eastAsia="zh-CN"/>
              </w:rPr>
            </w:pPr>
          </w:p>
          <w:p>
            <w:pPr>
              <w:snapToGrid w:val="0"/>
              <w:ind w:firstLine="5600" w:firstLineChars="2000"/>
              <w:rPr>
                <w:rFonts w:ascii="仿宋_GB2312" w:hAnsi="Times New Roman" w:eastAsia="仿宋_GB2312"/>
                <w:sz w:val="28"/>
              </w:rPr>
            </w:pPr>
            <w:r>
              <w:rPr>
                <w:rFonts w:hint="eastAsia" w:ascii="仿宋_GB2312" w:hAnsi="Times New Roman" w:eastAsia="仿宋_GB2312"/>
                <w:sz w:val="28"/>
                <w:lang w:val="en-US" w:eastAsia="zh-CN"/>
              </w:rPr>
              <w:t xml:space="preserve">      </w:t>
            </w:r>
            <w:r>
              <w:rPr>
                <w:rFonts w:ascii="仿宋_GB2312" w:hAnsi="Times New Roman" w:eastAsia="仿宋_GB2312"/>
                <w:sz w:val="28"/>
              </w:rPr>
              <w:t xml:space="preserve"> </w:t>
            </w:r>
            <w:r>
              <w:rPr>
                <w:rFonts w:hint="eastAsia" w:ascii="仿宋_GB2312" w:eastAsia="仿宋_GB2312"/>
                <w:sz w:val="28"/>
              </w:rPr>
              <w:t>公</w:t>
            </w:r>
            <w:r>
              <w:rPr>
                <w:rFonts w:ascii="仿宋_GB2312" w:hAnsi="Times New Roman" w:eastAsia="仿宋_GB2312"/>
                <w:sz w:val="28"/>
              </w:rPr>
              <w:t xml:space="preserve">     </w:t>
            </w:r>
            <w:r>
              <w:rPr>
                <w:rFonts w:hint="eastAsia" w:ascii="仿宋_GB2312" w:eastAsia="仿宋_GB2312"/>
                <w:sz w:val="28"/>
              </w:rPr>
              <w:t>章</w:t>
            </w:r>
          </w:p>
          <w:p>
            <w:pPr>
              <w:snapToGrid w:val="0"/>
              <w:rPr>
                <w:rFonts w:ascii="仿宋_GB2312" w:eastAsia="仿宋_GB2312"/>
                <w:sz w:val="28"/>
              </w:rPr>
            </w:pPr>
            <w:r>
              <w:rPr>
                <w:rFonts w:ascii="仿宋_GB2312" w:hAnsi="Times New Roman" w:eastAsia="仿宋_GB2312"/>
                <w:sz w:val="28"/>
              </w:rPr>
              <w:t xml:space="preserve">                                            201</w:t>
            </w:r>
            <w:r>
              <w:rPr>
                <w:rFonts w:hint="eastAsia" w:ascii="仿宋_GB2312" w:hAnsi="Times New Roman" w:eastAsia="仿宋_GB2312"/>
                <w:sz w:val="28"/>
                <w:lang w:val="en-US" w:eastAsia="zh-CN"/>
              </w:rPr>
              <w:t>8</w:t>
            </w:r>
            <w:r>
              <w:rPr>
                <w:rFonts w:hint="eastAsia" w:ascii="仿宋_GB2312" w:eastAsia="仿宋_GB2312"/>
                <w:sz w:val="28"/>
              </w:rPr>
              <w:t>年</w:t>
            </w:r>
            <w:r>
              <w:rPr>
                <w:rFonts w:hint="eastAsia" w:ascii="仿宋_GB2312" w:hAnsi="Times New Roman" w:eastAsia="仿宋_GB2312"/>
                <w:sz w:val="28"/>
                <w:lang w:val="en-US" w:eastAsia="zh-CN"/>
              </w:rPr>
              <w:t>2</w:t>
            </w:r>
            <w:r>
              <w:rPr>
                <w:rFonts w:hint="eastAsia" w:ascii="仿宋_GB2312" w:eastAsia="仿宋_GB2312"/>
                <w:sz w:val="28"/>
              </w:rPr>
              <w:t>月</w:t>
            </w:r>
            <w:r>
              <w:rPr>
                <w:rFonts w:hint="eastAsia" w:ascii="仿宋_GB2312" w:hAnsi="Times New Roman" w:eastAsia="仿宋_GB2312"/>
                <w:sz w:val="28"/>
                <w:lang w:val="en-US" w:eastAsia="zh-CN"/>
              </w:rPr>
              <w:t>22</w:t>
            </w:r>
            <w:r>
              <w:rPr>
                <w:rFonts w:hint="eastAsia" w:ascii="仿宋_GB2312" w:eastAsia="仿宋_GB2312"/>
                <w:sz w:val="28"/>
              </w:rPr>
              <w:t>日</w:t>
            </w:r>
          </w:p>
          <w:p>
            <w:pPr>
              <w:snapToGrid w:val="0"/>
              <w:rPr>
                <w:rFonts w:ascii="仿宋_GB2312" w:eastAsia="仿宋_GB2312"/>
                <w:sz w:val="28"/>
              </w:rPr>
            </w:pPr>
          </w:p>
        </w:tc>
      </w:tr>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8"/>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Lucida Sans Unicode">
    <w:panose1 w:val="020B0602030504020204"/>
    <w:charset w:val="00"/>
    <w:family w:val="auto"/>
    <w:pitch w:val="default"/>
    <w:sig w:usb0="80001AFF" w:usb1="0000396B" w:usb2="00000000" w:usb3="00000000" w:csb0="0000003F" w:csb1="D7F70000"/>
  </w:font>
  <w:font w:name="仿宋_GB2312">
    <w:panose1 w:val="02010609030101010101"/>
    <w:charset w:val="86"/>
    <w:family w:val="modern"/>
    <w:pitch w:val="default"/>
    <w:sig w:usb0="00000001" w:usb1="080E0000" w:usb2="00000000" w:usb3="00000000" w:csb0="00040000" w:csb1="00000000"/>
  </w:font>
  <w:font w:name="仿宋">
    <w:altName w:val="宋体"/>
    <w:panose1 w:val="00000000000000000000"/>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9B61525"/>
    <w:rsid w:val="09BA7346"/>
    <w:rsid w:val="0F785FFA"/>
    <w:rsid w:val="1A9501CB"/>
    <w:rsid w:val="1AFB290C"/>
    <w:rsid w:val="1E265FEE"/>
    <w:rsid w:val="20715C02"/>
    <w:rsid w:val="20884185"/>
    <w:rsid w:val="223E6D13"/>
    <w:rsid w:val="224B3D9F"/>
    <w:rsid w:val="35196134"/>
    <w:rsid w:val="377C61D1"/>
    <w:rsid w:val="3A7B06D5"/>
    <w:rsid w:val="3BB6089A"/>
    <w:rsid w:val="3E1210F4"/>
    <w:rsid w:val="41FD68FE"/>
    <w:rsid w:val="443C5C42"/>
    <w:rsid w:val="449E76AC"/>
    <w:rsid w:val="45BB05A9"/>
    <w:rsid w:val="45C85957"/>
    <w:rsid w:val="462D6297"/>
    <w:rsid w:val="49167A9E"/>
    <w:rsid w:val="4E9C292F"/>
    <w:rsid w:val="4F8C03E6"/>
    <w:rsid w:val="50A91980"/>
    <w:rsid w:val="54216F40"/>
    <w:rsid w:val="56FD4676"/>
    <w:rsid w:val="583017FF"/>
    <w:rsid w:val="5E7006D7"/>
    <w:rsid w:val="5EE308E7"/>
    <w:rsid w:val="61980384"/>
    <w:rsid w:val="70A37142"/>
    <w:rsid w:val="71007ECC"/>
    <w:rsid w:val="76C560FE"/>
    <w:rsid w:val="7B455CA6"/>
    <w:rsid w:val="7CE31B5D"/>
    <w:rsid w:val="7DEC61B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semiHidden/>
    <w:unhideWhenUsed/>
    <w:qFormat/>
    <w:locked/>
    <w:uiPriority w:val="0"/>
    <w:pPr>
      <w:keepNext/>
      <w:keepLines/>
      <w:spacing w:before="260" w:beforeLines="0" w:after="260" w:afterLines="0" w:line="416" w:lineRule="auto"/>
      <w:outlineLvl w:val="1"/>
    </w:pPr>
    <w:rPr>
      <w:rFonts w:ascii="Arial" w:hAnsi="Arial" w:eastAsia="黑体"/>
      <w:b/>
      <w:bCs/>
      <w:sz w:val="32"/>
      <w:szCs w:val="32"/>
    </w:rPr>
  </w:style>
  <w:style w:type="paragraph" w:styleId="2">
    <w:name w:val="heading 3"/>
    <w:basedOn w:val="3"/>
    <w:next w:val="1"/>
    <w:semiHidden/>
    <w:unhideWhenUsed/>
    <w:qFormat/>
    <w:locked/>
    <w:uiPriority w:val="0"/>
    <w:pPr>
      <w:keepNext/>
      <w:keepLines/>
      <w:spacing w:before="260" w:beforeLines="0" w:after="260" w:afterLines="0" w:line="416" w:lineRule="auto"/>
      <w:outlineLvl w:val="2"/>
    </w:pPr>
    <w:rPr>
      <w:b w:val="0"/>
      <w:bCs w:val="0"/>
      <w:sz w:val="32"/>
      <w:szCs w:val="32"/>
    </w:rPr>
  </w:style>
  <w:style w:type="character" w:default="1" w:styleId="5">
    <w:name w:val="Default Paragraph Font"/>
    <w:semiHidden/>
    <w:qFormat/>
    <w:uiPriority w:val="99"/>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4">
    <w:name w:val="Normal (Web)"/>
    <w:basedOn w:val="1"/>
    <w:qFormat/>
    <w:uiPriority w:val="99"/>
    <w:pPr>
      <w:spacing w:before="100" w:beforeAutospacing="1" w:after="100" w:afterAutospacing="1"/>
      <w:jc w:val="left"/>
    </w:pPr>
    <w:rPr>
      <w:kern w:val="0"/>
      <w:sz w:val="24"/>
    </w:rPr>
  </w:style>
  <w:style w:type="paragraph" w:customStyle="1" w:styleId="7">
    <w:name w:val="WPS Plain"/>
    <w:qFormat/>
    <w:uiPriority w:val="99"/>
    <w:rPr>
      <w:rFonts w:ascii="Calibri" w:hAnsi="Calibri" w:eastAsia="宋体" w:cs="Times New Roman"/>
      <w:kern w:val="0"/>
      <w:sz w:val="21"/>
      <w:szCs w:val="22"/>
      <w:lang w:val="en-US" w:eastAsia="zh-CN" w:bidi="ar-SA"/>
    </w:rPr>
  </w:style>
  <w:style w:type="paragraph" w:customStyle="1" w:styleId="8">
    <w:name w:val="0"/>
    <w:basedOn w:val="1"/>
    <w:qFormat/>
    <w:uiPriority w:val="99"/>
    <w:pPr>
      <w:widowControl/>
      <w:snapToGrid w:val="0"/>
      <w:spacing w:line="365" w:lineRule="atLeast"/>
      <w:ind w:left="1"/>
      <w:textAlignment w:val="bottom"/>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Administrator</cp:lastModifiedBy>
  <cp:lastPrinted>2018-03-12T04:52:46Z</cp:lastPrinted>
  <dcterms:modified xsi:type="dcterms:W3CDTF">2018-03-12T04:52:50Z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