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left="0" w:leftChars="0" w:firstLine="0" w:firstLineChars="0"/>
        <w:jc w:val="center"/>
        <w:rPr>
          <w:rFonts w:hint="eastAsia" w:ascii="宋体" w:hAnsi="宋体" w:eastAsia="宋体" w:cs="宋体"/>
          <w:b/>
          <w:bCs w:val="0"/>
          <w:sz w:val="36"/>
          <w:szCs w:val="36"/>
          <w:lang w:val="en-US" w:eastAsia="zh-CN"/>
        </w:rPr>
      </w:pPr>
      <w:r>
        <w:rPr>
          <w:rFonts w:hint="eastAsia" w:ascii="宋体" w:hAnsi="宋体" w:eastAsia="宋体" w:cs="宋体"/>
          <w:b/>
          <w:bCs w:val="0"/>
          <w:sz w:val="36"/>
          <w:szCs w:val="36"/>
          <w:lang w:eastAsia="zh-CN"/>
        </w:rPr>
        <w:t>君山区政协</w:t>
      </w:r>
      <w:r>
        <w:rPr>
          <w:rFonts w:hint="eastAsia" w:ascii="宋体" w:hAnsi="宋体" w:eastAsia="宋体" w:cs="宋体"/>
          <w:b/>
          <w:bCs w:val="0"/>
          <w:sz w:val="36"/>
          <w:szCs w:val="36"/>
          <w:lang w:val="en-US" w:eastAsia="zh-CN"/>
        </w:rPr>
        <w:t>2016年部门整体支出绩效评价报告</w:t>
      </w:r>
    </w:p>
    <w:p>
      <w:pPr>
        <w:spacing w:line="600" w:lineRule="exact"/>
        <w:ind w:firstLine="636" w:firstLineChars="200"/>
        <w:jc w:val="left"/>
        <w:rPr>
          <w:rFonts w:hint="eastAsia" w:ascii="仿宋_GB2312" w:hAnsi="仿宋_GB2312" w:eastAsia="仿宋_GB2312" w:cs="仿宋_GB2312"/>
          <w:sz w:val="32"/>
          <w:szCs w:val="28"/>
        </w:rPr>
      </w:pPr>
      <w:r>
        <w:rPr>
          <w:rFonts w:hint="eastAsia" w:eastAsia="仿宋_GB2312"/>
          <w:bCs/>
          <w:sz w:val="32"/>
          <w:szCs w:val="32"/>
          <w:lang w:val="en-US" w:eastAsia="zh-CN"/>
        </w:rPr>
        <w:t>根</w:t>
      </w:r>
      <w:r>
        <w:rPr>
          <w:rFonts w:hint="eastAsia" w:ascii="仿宋_GB2312" w:hAnsi="仿宋_GB2312" w:eastAsia="仿宋_GB2312" w:cs="仿宋_GB2312"/>
          <w:sz w:val="32"/>
          <w:szCs w:val="28"/>
          <w:lang w:val="en-US" w:eastAsia="zh-CN"/>
        </w:rPr>
        <w:t>据《岳阳市君山区财政局关于开展2016年度部门整体绩效自评工作通知》(岳君财</w:t>
      </w:r>
      <w:r>
        <w:rPr>
          <w:rFonts w:hint="eastAsia" w:ascii="仿宋_GB2312" w:hAnsi="仿宋_GB2312" w:eastAsia="仿宋_GB2312" w:cs="仿宋_GB2312"/>
          <w:sz w:val="32"/>
          <w:szCs w:val="28"/>
        </w:rPr>
        <w:t>〔201</w:t>
      </w:r>
      <w:r>
        <w:rPr>
          <w:rFonts w:hint="eastAsia" w:ascii="仿宋_GB2312" w:hAnsi="仿宋_GB2312" w:eastAsia="仿宋_GB2312" w:cs="仿宋_GB2312"/>
          <w:sz w:val="32"/>
          <w:szCs w:val="28"/>
          <w:lang w:val="en-US" w:eastAsia="zh-CN"/>
        </w:rPr>
        <w:t>7</w:t>
      </w:r>
      <w:r>
        <w:rPr>
          <w:rFonts w:hint="eastAsia" w:ascii="仿宋_GB2312" w:hAnsi="仿宋_GB2312" w:eastAsia="仿宋_GB2312" w:cs="仿宋_GB2312"/>
          <w:sz w:val="32"/>
          <w:szCs w:val="28"/>
        </w:rPr>
        <w:t>〕</w:t>
      </w:r>
      <w:r>
        <w:rPr>
          <w:rFonts w:hint="eastAsia" w:ascii="仿宋_GB2312" w:hAnsi="仿宋_GB2312" w:eastAsia="仿宋_GB2312" w:cs="仿宋_GB2312"/>
          <w:sz w:val="32"/>
          <w:szCs w:val="28"/>
          <w:lang w:val="en-US" w:eastAsia="zh-CN"/>
        </w:rPr>
        <w:t>26</w:t>
      </w:r>
      <w:r>
        <w:rPr>
          <w:rFonts w:hint="eastAsia" w:ascii="仿宋_GB2312" w:hAnsi="仿宋_GB2312" w:eastAsia="仿宋_GB2312" w:cs="仿宋_GB2312"/>
          <w:sz w:val="32"/>
          <w:szCs w:val="28"/>
        </w:rPr>
        <w:t>号)要求，现对</w:t>
      </w:r>
      <w:bookmarkStart w:id="0" w:name="OLE_LINK1"/>
      <w:r>
        <w:rPr>
          <w:rFonts w:hint="eastAsia" w:ascii="仿宋_GB2312" w:hAnsi="仿宋_GB2312" w:eastAsia="仿宋_GB2312" w:cs="仿宋_GB2312"/>
          <w:sz w:val="32"/>
          <w:szCs w:val="28"/>
          <w:lang w:eastAsia="zh-CN"/>
        </w:rPr>
        <w:t>君山区政协</w:t>
      </w:r>
      <w:bookmarkEnd w:id="0"/>
      <w:r>
        <w:rPr>
          <w:rFonts w:hint="eastAsia" w:ascii="仿宋_GB2312" w:hAnsi="仿宋_GB2312" w:eastAsia="仿宋_GB2312" w:cs="仿宋_GB2312"/>
          <w:sz w:val="32"/>
          <w:szCs w:val="28"/>
          <w:lang w:val="en-US" w:eastAsia="zh-CN"/>
        </w:rPr>
        <w:t>2016年</w:t>
      </w:r>
      <w:r>
        <w:rPr>
          <w:rFonts w:hint="eastAsia" w:ascii="仿宋_GB2312" w:hAnsi="仿宋_GB2312" w:eastAsia="仿宋_GB2312" w:cs="仿宋_GB2312"/>
          <w:sz w:val="32"/>
          <w:szCs w:val="28"/>
        </w:rPr>
        <w:t>度的部门整体支出开展绩效自评，现将情况汇报如下：</w:t>
      </w:r>
    </w:p>
    <w:p>
      <w:pPr>
        <w:spacing w:line="600" w:lineRule="exact"/>
        <w:ind w:firstLine="636" w:firstLineChars="200"/>
        <w:jc w:val="left"/>
        <w:rPr>
          <w:rFonts w:hint="eastAsia" w:ascii="黑体" w:hAnsi="黑体" w:eastAsia="黑体" w:cs="黑体"/>
          <w:sz w:val="32"/>
          <w:szCs w:val="28"/>
        </w:rPr>
      </w:pPr>
      <w:r>
        <w:rPr>
          <w:rFonts w:hint="eastAsia" w:ascii="黑体" w:hAnsi="黑体" w:eastAsia="黑体" w:cs="黑体"/>
          <w:sz w:val="32"/>
          <w:szCs w:val="28"/>
        </w:rPr>
        <w:t>一、基本情况</w:t>
      </w:r>
    </w:p>
    <w:p>
      <w:pPr>
        <w:spacing w:line="600" w:lineRule="exact"/>
        <w:ind w:firstLine="468" w:firstLineChars="147"/>
        <w:jc w:val="left"/>
        <w:rPr>
          <w:rFonts w:hint="eastAsia" w:ascii="楷体_GB2312" w:hAnsi="楷体_GB2312" w:eastAsia="楷体_GB2312" w:cs="楷体_GB2312"/>
          <w:b/>
          <w:bCs/>
          <w:sz w:val="32"/>
          <w:szCs w:val="28"/>
        </w:rPr>
      </w:pPr>
      <w:r>
        <w:rPr>
          <w:rFonts w:hint="eastAsia" w:ascii="楷体_GB2312" w:hAnsi="楷体_GB2312" w:eastAsia="楷体_GB2312" w:cs="楷体_GB2312"/>
          <w:b/>
          <w:bCs/>
          <w:sz w:val="32"/>
          <w:szCs w:val="28"/>
        </w:rPr>
        <w:t>（一）单位基本概况</w:t>
      </w:r>
    </w:p>
    <w:p>
      <w:pPr>
        <w:shd w:val="solid" w:color="FFFFFF" w:fill="auto"/>
        <w:autoSpaceDN w:val="0"/>
        <w:spacing w:line="600" w:lineRule="exact"/>
        <w:ind w:firstLine="636"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szCs w:val="28"/>
          <w:lang w:eastAsia="zh-CN"/>
        </w:rPr>
        <w:t>君山区政协</w:t>
      </w:r>
      <w:r>
        <w:rPr>
          <w:rFonts w:hint="eastAsia" w:ascii="仿宋_GB2312" w:hAnsi="仿宋_GB2312" w:eastAsia="仿宋_GB2312" w:cs="仿宋_GB2312"/>
          <w:sz w:val="32"/>
        </w:rPr>
        <w:t>系</w:t>
      </w:r>
      <w:r>
        <w:rPr>
          <w:rFonts w:hint="eastAsia" w:ascii="仿宋_GB2312" w:hAnsi="仿宋_GB2312" w:eastAsia="仿宋_GB2312" w:cs="仿宋_GB2312"/>
          <w:sz w:val="32"/>
          <w:lang w:eastAsia="zh-CN"/>
        </w:rPr>
        <w:t>区</w:t>
      </w:r>
      <w:r>
        <w:rPr>
          <w:rFonts w:hint="eastAsia" w:ascii="仿宋_GB2312" w:hAnsi="仿宋_GB2312" w:eastAsia="仿宋_GB2312" w:cs="仿宋_GB2312"/>
          <w:sz w:val="32"/>
        </w:rPr>
        <w:t>财政全额预算拨款单位。201</w:t>
      </w:r>
      <w:r>
        <w:rPr>
          <w:rFonts w:hint="eastAsia" w:ascii="仿宋_GB2312" w:hAnsi="仿宋_GB2312" w:eastAsia="仿宋_GB2312" w:cs="仿宋_GB2312"/>
          <w:sz w:val="32"/>
          <w:lang w:val="en-US" w:eastAsia="zh-CN"/>
        </w:rPr>
        <w:t>6</w:t>
      </w:r>
      <w:r>
        <w:rPr>
          <w:rFonts w:hint="eastAsia" w:ascii="仿宋_GB2312" w:hAnsi="仿宋_GB2312" w:eastAsia="仿宋_GB2312" w:cs="仿宋_GB2312"/>
          <w:sz w:val="32"/>
        </w:rPr>
        <w:t>年编制部门核实</w:t>
      </w:r>
      <w:r>
        <w:rPr>
          <w:rFonts w:hint="eastAsia" w:ascii="仿宋_GB2312" w:hAnsi="仿宋_GB2312" w:eastAsia="仿宋_GB2312" w:cs="仿宋_GB2312"/>
          <w:sz w:val="32"/>
          <w:lang w:eastAsia="zh-CN"/>
        </w:rPr>
        <w:t>区政协</w:t>
      </w:r>
      <w:r>
        <w:rPr>
          <w:rFonts w:hint="eastAsia" w:ascii="仿宋_GB2312" w:hAnsi="仿宋_GB2312" w:eastAsia="仿宋_GB2312" w:cs="仿宋_GB2312"/>
          <w:sz w:val="32"/>
        </w:rPr>
        <w:t>人员编制</w:t>
      </w:r>
      <w:r>
        <w:rPr>
          <w:rFonts w:hint="eastAsia" w:ascii="仿宋_GB2312" w:hAnsi="仿宋_GB2312" w:eastAsia="仿宋_GB2312" w:cs="仿宋_GB2312"/>
          <w:sz w:val="32"/>
          <w:lang w:val="en-US" w:eastAsia="zh-CN"/>
        </w:rPr>
        <w:t>22</w:t>
      </w:r>
      <w:r>
        <w:rPr>
          <w:rFonts w:hint="eastAsia" w:ascii="仿宋_GB2312" w:hAnsi="仿宋_GB2312" w:eastAsia="仿宋_GB2312" w:cs="仿宋_GB2312"/>
          <w:sz w:val="32"/>
        </w:rPr>
        <w:t>人，实有人数为</w:t>
      </w:r>
      <w:r>
        <w:rPr>
          <w:rFonts w:hint="eastAsia" w:ascii="仿宋_GB2312" w:hAnsi="仿宋_GB2312" w:eastAsia="仿宋_GB2312" w:cs="仿宋_GB2312"/>
          <w:sz w:val="32"/>
          <w:lang w:val="en-US" w:eastAsia="zh-CN"/>
        </w:rPr>
        <w:t>35</w:t>
      </w:r>
      <w:r>
        <w:rPr>
          <w:rFonts w:hint="eastAsia" w:ascii="仿宋_GB2312" w:hAnsi="仿宋_GB2312" w:eastAsia="仿宋_GB2312" w:cs="仿宋_GB2312"/>
          <w:sz w:val="32"/>
        </w:rPr>
        <w:t>人，其中机关行政编制</w:t>
      </w:r>
      <w:r>
        <w:rPr>
          <w:rFonts w:hint="eastAsia" w:ascii="仿宋_GB2312" w:hAnsi="仿宋_GB2312" w:eastAsia="仿宋_GB2312" w:cs="仿宋_GB2312"/>
          <w:sz w:val="32"/>
          <w:lang w:val="en-US" w:eastAsia="zh-CN"/>
        </w:rPr>
        <w:t>20</w:t>
      </w:r>
      <w:r>
        <w:rPr>
          <w:rFonts w:hint="eastAsia" w:ascii="仿宋_GB2312" w:hAnsi="仿宋_GB2312" w:eastAsia="仿宋_GB2312" w:cs="仿宋_GB2312"/>
          <w:sz w:val="32"/>
        </w:rPr>
        <w:t>人，</w:t>
      </w:r>
      <w:r>
        <w:rPr>
          <w:rFonts w:hint="eastAsia" w:ascii="仿宋_GB2312" w:hAnsi="仿宋_GB2312" w:eastAsia="仿宋_GB2312" w:cs="仿宋_GB2312"/>
          <w:sz w:val="32"/>
          <w:lang w:eastAsia="zh-CN"/>
        </w:rPr>
        <w:t>机关后勤</w:t>
      </w:r>
      <w:r>
        <w:rPr>
          <w:rFonts w:hint="eastAsia" w:ascii="仿宋_GB2312" w:hAnsi="仿宋_GB2312" w:eastAsia="仿宋_GB2312" w:cs="仿宋_GB2312"/>
          <w:sz w:val="32"/>
          <w:lang w:val="en-US" w:eastAsia="zh-CN"/>
        </w:rPr>
        <w:t>1人</w:t>
      </w:r>
      <w:r>
        <w:rPr>
          <w:rFonts w:hint="eastAsia" w:ascii="仿宋_GB2312" w:hAnsi="仿宋_GB2312" w:eastAsia="仿宋_GB2312" w:cs="仿宋_GB2312"/>
          <w:sz w:val="32"/>
        </w:rPr>
        <w:t>，退休</w:t>
      </w:r>
      <w:r>
        <w:rPr>
          <w:rFonts w:hint="eastAsia" w:ascii="仿宋_GB2312" w:hAnsi="仿宋_GB2312" w:eastAsia="仿宋_GB2312" w:cs="仿宋_GB2312"/>
          <w:sz w:val="32"/>
          <w:lang w:val="en-US" w:eastAsia="zh-CN"/>
        </w:rPr>
        <w:t>13</w:t>
      </w:r>
      <w:r>
        <w:rPr>
          <w:rFonts w:hint="eastAsia" w:ascii="仿宋_GB2312" w:hAnsi="仿宋_GB2312" w:eastAsia="仿宋_GB2312" w:cs="仿宋_GB2312"/>
          <w:sz w:val="32"/>
        </w:rPr>
        <w:t>人，与财政预算人数相符。</w:t>
      </w:r>
      <w:r>
        <w:rPr>
          <w:rFonts w:hint="eastAsia" w:ascii="仿宋_GB2312" w:hAnsi="仿宋_GB2312" w:eastAsia="仿宋_GB2312" w:cs="仿宋_GB2312"/>
          <w:sz w:val="32"/>
          <w:lang w:eastAsia="zh-CN"/>
        </w:rPr>
        <w:t>机关</w:t>
      </w:r>
      <w:r>
        <w:rPr>
          <w:rFonts w:hint="eastAsia" w:ascii="仿宋_GB2312" w:hAnsi="仿宋_GB2312" w:eastAsia="仿宋_GB2312" w:cs="仿宋_GB2312"/>
          <w:sz w:val="32"/>
        </w:rPr>
        <w:t>内设机构有</w:t>
      </w:r>
      <w:r>
        <w:rPr>
          <w:rFonts w:hint="eastAsia" w:ascii="仿宋_GB2312" w:hAnsi="仿宋_GB2312" w:eastAsia="仿宋_GB2312" w:cs="仿宋_GB2312"/>
          <w:sz w:val="32"/>
          <w:lang w:eastAsia="zh-CN"/>
        </w:rPr>
        <w:t>六</w:t>
      </w:r>
      <w:r>
        <w:rPr>
          <w:rFonts w:hint="eastAsia" w:ascii="仿宋_GB2312" w:hAnsi="仿宋_GB2312" w:eastAsia="仿宋_GB2312" w:cs="仿宋_GB2312"/>
          <w:sz w:val="32"/>
        </w:rPr>
        <w:t>个：</w:t>
      </w:r>
      <w:r>
        <w:rPr>
          <w:rFonts w:hint="eastAsia" w:ascii="仿宋_GB2312" w:hAnsi="仿宋_GB2312" w:eastAsia="仿宋_GB2312" w:cs="仿宋_GB2312"/>
          <w:sz w:val="32"/>
          <w:lang w:eastAsia="zh-CN"/>
        </w:rPr>
        <w:t>办公室、学习文史提案委员会、教科文卫体委员会、经济科技委员会、法制群团联络委员会、人口资源环境委员会</w:t>
      </w:r>
      <w:r>
        <w:rPr>
          <w:rFonts w:hint="eastAsia" w:ascii="仿宋_GB2312" w:hAnsi="仿宋_GB2312" w:eastAsia="仿宋_GB2312" w:cs="仿宋_GB2312"/>
          <w:sz w:val="32"/>
        </w:rPr>
        <w:t>。</w:t>
      </w:r>
    </w:p>
    <w:p>
      <w:pPr>
        <w:shd w:val="solid" w:color="FFFFFF" w:fill="auto"/>
        <w:autoSpaceDN w:val="0"/>
        <w:spacing w:line="600" w:lineRule="exact"/>
        <w:ind w:firstLine="465" w:firstLineChars="146"/>
        <w:jc w:val="left"/>
        <w:rPr>
          <w:rFonts w:hint="eastAsia" w:ascii="楷体_GB2312" w:hAnsi="楷体_GB2312" w:eastAsia="楷体_GB2312" w:cs="楷体_GB2312"/>
          <w:b/>
          <w:bCs/>
          <w:sz w:val="32"/>
        </w:rPr>
      </w:pPr>
      <w:r>
        <w:rPr>
          <w:rFonts w:hint="eastAsia" w:ascii="楷体_GB2312" w:hAnsi="楷体_GB2312" w:eastAsia="楷体_GB2312" w:cs="楷体_GB2312"/>
          <w:b/>
          <w:bCs/>
          <w:sz w:val="32"/>
        </w:rPr>
        <w:t>（二）部门主要职能</w:t>
      </w:r>
    </w:p>
    <w:p>
      <w:pPr>
        <w:shd w:val="solid" w:color="FFFFFF" w:fill="auto"/>
        <w:autoSpaceDN w:val="0"/>
        <w:spacing w:line="600" w:lineRule="exact"/>
        <w:ind w:firstLine="636" w:firstLineChars="200"/>
        <w:jc w:val="left"/>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eastAsia="zh-CN"/>
        </w:rPr>
        <w:t>、政治协商。</w:t>
      </w:r>
    </w:p>
    <w:p>
      <w:pPr>
        <w:shd w:val="solid" w:color="FFFFFF" w:fill="auto"/>
        <w:autoSpaceDN w:val="0"/>
        <w:spacing w:line="600" w:lineRule="exact"/>
        <w:ind w:firstLine="636" w:firstLineChars="200"/>
        <w:jc w:val="left"/>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eastAsia="zh-CN"/>
        </w:rPr>
        <w:t>民主监督。</w:t>
      </w:r>
    </w:p>
    <w:p>
      <w:pPr>
        <w:shd w:val="solid" w:color="FFFFFF" w:fill="auto"/>
        <w:autoSpaceDN w:val="0"/>
        <w:spacing w:line="600" w:lineRule="exact"/>
        <w:ind w:firstLine="636" w:firstLineChars="200"/>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3、参政议政。</w:t>
      </w:r>
    </w:p>
    <w:p>
      <w:pPr>
        <w:spacing w:line="600" w:lineRule="exact"/>
        <w:ind w:firstLine="468" w:firstLineChars="147"/>
        <w:jc w:val="left"/>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（三）本年度重点工作计划</w:t>
      </w:r>
    </w:p>
    <w:p>
      <w:pPr>
        <w:keepNext w:val="0"/>
        <w:keepLines w:val="0"/>
        <w:pageBreakBefore w:val="0"/>
        <w:widowControl w:val="0"/>
        <w:kinsoku/>
        <w:wordWrap/>
        <w:overflowPunct/>
        <w:topLinePunct w:val="0"/>
        <w:autoSpaceDE/>
        <w:autoSpaceDN/>
        <w:bidi w:val="0"/>
        <w:adjustRightInd/>
        <w:snapToGrid/>
        <w:ind w:left="0" w:leftChars="0" w:right="0" w:rightChars="0" w:firstLine="636" w:firstLineChars="200"/>
        <w:jc w:val="left"/>
        <w:textAlignment w:val="auto"/>
        <w:outlineLvl w:val="9"/>
        <w:rPr>
          <w:rFonts w:hint="eastAsia" w:ascii="仿宋_GB2312" w:eastAsia="仿宋_GB2312"/>
          <w:sz w:val="32"/>
          <w:szCs w:val="32"/>
          <w:lang w:val="en-US" w:eastAsia="zh-CN"/>
        </w:rPr>
      </w:pPr>
      <w:r>
        <w:rPr>
          <w:rFonts w:hint="eastAsia" w:ascii="仿宋_GB2312" w:eastAsia="仿宋_GB2312"/>
          <w:b/>
          <w:bCs/>
          <w:sz w:val="32"/>
          <w:szCs w:val="32"/>
          <w:lang w:val="en-US" w:eastAsia="zh-CN"/>
        </w:rPr>
        <w:t>1、加强学习，增进勤勉履职的政治共识</w:t>
      </w:r>
      <w:r>
        <w:rPr>
          <w:rFonts w:hint="eastAsia" w:ascii="仿宋_GB2312" w:eastAsia="仿宋_GB2312"/>
          <w:sz w:val="32"/>
          <w:szCs w:val="32"/>
          <w:lang w:val="en-US" w:eastAsia="zh-CN"/>
        </w:rPr>
        <w:t>。习近平总书记在庆祝人民政协成立65周年等系列讲话精神，是坚持和完善中国共产党领导的多党合作和政治协商制度，发展社会主义协商民主的纲领性文件，各政协组织和全体政协委员应当强化学习意识，努力做到：</w:t>
      </w:r>
      <w:r>
        <w:rPr>
          <w:rFonts w:hint="eastAsia" w:ascii="楷体_GB2312" w:hAnsi="楷体_GB2312" w:eastAsia="楷体_GB2312" w:cs="楷体_GB2312"/>
          <w:b/>
          <w:bCs/>
          <w:sz w:val="32"/>
          <w:szCs w:val="32"/>
          <w:lang w:val="en-US" w:eastAsia="zh-CN"/>
        </w:rPr>
        <w:t>学以致用</w:t>
      </w:r>
      <w:r>
        <w:rPr>
          <w:rFonts w:hint="eastAsia" w:ascii="仿宋_GB2312" w:eastAsia="仿宋_GB2312"/>
          <w:sz w:val="32"/>
          <w:szCs w:val="32"/>
          <w:lang w:val="en-US" w:eastAsia="zh-CN"/>
        </w:rPr>
        <w:t>。用新时期的政协理论来指导具体工作实践，坚持紧扣发展改革献计出力，坚持发挥协商民主的重要作用，扎实推进履职能力建设。确保履职方向明确，思路正确，建言准确。</w:t>
      </w:r>
      <w:r>
        <w:rPr>
          <w:rFonts w:hint="eastAsia" w:ascii="楷体_GB2312" w:hAnsi="楷体_GB2312" w:eastAsia="楷体_GB2312" w:cs="楷体_GB2312"/>
          <w:b/>
          <w:bCs/>
          <w:sz w:val="32"/>
          <w:szCs w:val="32"/>
          <w:lang w:val="en-US" w:eastAsia="zh-CN"/>
        </w:rPr>
        <w:t>学以立德</w:t>
      </w:r>
      <w:r>
        <w:rPr>
          <w:rFonts w:hint="eastAsia" w:ascii="仿宋_GB2312" w:eastAsia="仿宋_GB2312"/>
          <w:sz w:val="32"/>
          <w:szCs w:val="32"/>
          <w:lang w:val="en-US" w:eastAsia="zh-CN"/>
        </w:rPr>
        <w:t>。全面认识社会主义协商民主是中国特色社会主义的特有形式和独特优势，努力增强履职为民，围绕中心，服务大局的政治责任感和历史使命感，以更加坚定的信心，更加敬业的态度，更有成效的工作，忠诚履职。</w:t>
      </w:r>
      <w:r>
        <w:rPr>
          <w:rFonts w:hint="eastAsia" w:ascii="楷体_GB2312" w:hAnsi="楷体_GB2312" w:eastAsia="楷体_GB2312" w:cs="楷体_GB2312"/>
          <w:b/>
          <w:bCs/>
          <w:i w:val="0"/>
          <w:iCs w:val="0"/>
          <w:sz w:val="32"/>
          <w:szCs w:val="32"/>
          <w:lang w:val="en-US" w:eastAsia="zh-CN"/>
        </w:rPr>
        <w:t>学以增智</w:t>
      </w:r>
      <w:r>
        <w:rPr>
          <w:rFonts w:hint="eastAsia" w:ascii="仿宋_GB2312" w:eastAsia="仿宋_GB2312"/>
          <w:sz w:val="32"/>
          <w:szCs w:val="32"/>
          <w:lang w:val="en-US" w:eastAsia="zh-CN"/>
        </w:rPr>
        <w:t>。要从这些新理论新政策中认真领悟，政协组织和政协工作者应该干什么，应该怎么干，在君山经济社会发展中应当承担什么样的角色，应当如何发挥自身的特长和优势，科学建言，履职为民，为打造洞庭生态明珠，全面建成小康社会奉献自己的聪明才智。以此增进我们为了君山的发展，为了人民的福祉尽职尽责的历史使命感，政治责任感，形成强烈的政治共鸣与政治共识。</w:t>
      </w:r>
    </w:p>
    <w:p>
      <w:pPr>
        <w:keepNext w:val="0"/>
        <w:keepLines w:val="0"/>
        <w:pageBreakBefore w:val="0"/>
        <w:widowControl w:val="0"/>
        <w:kinsoku/>
        <w:wordWrap/>
        <w:overflowPunct/>
        <w:topLinePunct w:val="0"/>
        <w:autoSpaceDE/>
        <w:autoSpaceDN/>
        <w:bidi w:val="0"/>
        <w:adjustRightInd/>
        <w:snapToGrid/>
        <w:ind w:left="0" w:leftChars="0" w:right="0" w:rightChars="0" w:firstLine="636" w:firstLineChars="200"/>
        <w:jc w:val="left"/>
        <w:textAlignment w:val="auto"/>
        <w:outlineLvl w:val="9"/>
        <w:rPr>
          <w:rFonts w:hint="eastAsia" w:ascii="仿宋_GB2312" w:eastAsia="仿宋_GB2312"/>
          <w:sz w:val="32"/>
          <w:szCs w:val="32"/>
          <w:lang w:val="en-US" w:eastAsia="zh-CN"/>
        </w:rPr>
      </w:pPr>
      <w:r>
        <w:rPr>
          <w:rFonts w:hint="eastAsia" w:ascii="仿宋_GB2312" w:eastAsia="仿宋_GB2312"/>
          <w:b/>
          <w:bCs/>
          <w:sz w:val="32"/>
          <w:szCs w:val="32"/>
          <w:lang w:val="en-US" w:eastAsia="zh-CN"/>
        </w:rPr>
        <w:t>2、稳中求进，探索协商民主的有益途径</w:t>
      </w:r>
      <w:r>
        <w:rPr>
          <w:rFonts w:hint="eastAsia" w:ascii="仿宋_GB2312" w:eastAsia="仿宋_GB2312"/>
          <w:sz w:val="32"/>
          <w:szCs w:val="32"/>
          <w:lang w:val="en-US" w:eastAsia="zh-CN"/>
        </w:rPr>
        <w:t>。去年，区委下发了《关于政治协商、民主监督、参政议政的规定（试行）》，全国政协、省市政协已先后出台相关文件，从协商议题、协商形式、活动组织等方面加以规范，在具体工作中，我们应以文件为指导，从思想上、认识上加以提高，从工作上加以落实，进一步做实协商民主工作。</w:t>
      </w:r>
      <w:r>
        <w:rPr>
          <w:rFonts w:hint="eastAsia" w:ascii="楷体_GB2312" w:hAnsi="楷体_GB2312" w:eastAsia="楷体_GB2312" w:cs="楷体_GB2312"/>
          <w:b/>
          <w:bCs/>
          <w:sz w:val="32"/>
          <w:szCs w:val="32"/>
          <w:lang w:val="en-US" w:eastAsia="zh-CN"/>
        </w:rPr>
        <w:t>精选协商议题</w:t>
      </w:r>
      <w:r>
        <w:rPr>
          <w:rFonts w:hint="eastAsia" w:ascii="仿宋_GB2312" w:eastAsia="仿宋_GB2312"/>
          <w:sz w:val="32"/>
          <w:szCs w:val="32"/>
          <w:lang w:val="en-US" w:eastAsia="zh-CN"/>
        </w:rPr>
        <w:t>。在做好政府工作报告、财政预决算、提案办理等常规性协商工作的同时，我们应主动围绕事关全局的大事，围绕区委、区政府的中心工作，精心挑选协商议题。如十三五规划编制、一区一带建设发展、洞庭湖博览园、绿色食品产业园、现代农业、生态旅游等来进行协商，议政建言。</w:t>
      </w:r>
      <w:r>
        <w:rPr>
          <w:rFonts w:hint="eastAsia" w:ascii="楷体_GB2312" w:hAnsi="楷体_GB2312" w:eastAsia="楷体_GB2312" w:cs="楷体_GB2312"/>
          <w:b/>
          <w:bCs/>
          <w:sz w:val="32"/>
          <w:szCs w:val="32"/>
          <w:lang w:val="en-US" w:eastAsia="zh-CN"/>
        </w:rPr>
        <w:t>丰富协商形式</w:t>
      </w:r>
      <w:r>
        <w:rPr>
          <w:rFonts w:hint="eastAsia" w:ascii="仿宋_GB2312" w:eastAsia="仿宋_GB2312"/>
          <w:sz w:val="32"/>
          <w:szCs w:val="32"/>
          <w:lang w:val="en-US" w:eastAsia="zh-CN"/>
        </w:rPr>
        <w:t>。在充分利用好全会协商、季度协商、提案办理协商等形式的基础上，进一步发挥好主席会议、界别协商、对口协商等协商平台的作用，以多种形式，多种渠道，拓展协商领域，使政治协商实现全方位、广覆盖。</w:t>
      </w:r>
      <w:r>
        <w:rPr>
          <w:rFonts w:hint="eastAsia" w:ascii="楷体_GB2312" w:hAnsi="楷体_GB2312" w:eastAsia="楷体_GB2312" w:cs="楷体_GB2312"/>
          <w:b/>
          <w:bCs/>
          <w:sz w:val="32"/>
          <w:szCs w:val="32"/>
          <w:lang w:val="en-US" w:eastAsia="zh-CN"/>
        </w:rPr>
        <w:t>提高协商质量</w:t>
      </w:r>
      <w:r>
        <w:rPr>
          <w:rFonts w:hint="eastAsia" w:ascii="仿宋_GB2312" w:eastAsia="仿宋_GB2312"/>
          <w:b/>
          <w:bCs/>
          <w:sz w:val="32"/>
          <w:szCs w:val="32"/>
          <w:lang w:val="en-US" w:eastAsia="zh-CN"/>
        </w:rPr>
        <w:t>。</w:t>
      </w:r>
      <w:r>
        <w:rPr>
          <w:rFonts w:hint="eastAsia" w:ascii="仿宋_GB2312" w:eastAsia="仿宋_GB2312"/>
          <w:sz w:val="32"/>
          <w:szCs w:val="32"/>
          <w:lang w:val="en-US" w:eastAsia="zh-CN"/>
        </w:rPr>
        <w:t>全体政协委员要树立担当意识、责任意识，做到敢协商、会协商、真协商，要真正作好协商前的调研论证，力争协商意见建议准确可行，不能泛泛而谈，不痛不痒，商而无果。</w:t>
      </w:r>
      <w:r>
        <w:rPr>
          <w:rFonts w:hint="eastAsia" w:ascii="楷体_GB2312" w:hAnsi="楷体_GB2312" w:eastAsia="楷体_GB2312" w:cs="楷体_GB2312"/>
          <w:b/>
          <w:bCs/>
          <w:sz w:val="32"/>
          <w:szCs w:val="32"/>
          <w:lang w:val="en-US" w:eastAsia="zh-CN"/>
        </w:rPr>
        <w:t>巩固协商成果</w:t>
      </w:r>
      <w:r>
        <w:rPr>
          <w:rFonts w:hint="eastAsia" w:ascii="仿宋_GB2312" w:eastAsia="仿宋_GB2312"/>
          <w:sz w:val="32"/>
          <w:szCs w:val="32"/>
          <w:lang w:val="en-US" w:eastAsia="zh-CN"/>
        </w:rPr>
        <w:t>。协商结束后，要抓好协商意见的跟踪落实，不能使协商拘泥于会上，停留在纸上，而应落实在具体工作中，使协商意见成果化。</w:t>
      </w:r>
    </w:p>
    <w:p>
      <w:pPr>
        <w:keepNext w:val="0"/>
        <w:keepLines w:val="0"/>
        <w:pageBreakBefore w:val="0"/>
        <w:widowControl w:val="0"/>
        <w:kinsoku/>
        <w:wordWrap/>
        <w:overflowPunct/>
        <w:topLinePunct w:val="0"/>
        <w:autoSpaceDE/>
        <w:autoSpaceDN/>
        <w:bidi w:val="0"/>
        <w:adjustRightInd/>
        <w:snapToGrid/>
        <w:ind w:left="0" w:leftChars="0" w:right="0" w:rightChars="0" w:firstLine="636" w:firstLineChars="200"/>
        <w:jc w:val="left"/>
        <w:textAlignment w:val="auto"/>
        <w:outlineLvl w:val="9"/>
        <w:rPr>
          <w:rFonts w:hint="eastAsia" w:ascii="仿宋_GB2312" w:eastAsia="仿宋_GB2312"/>
          <w:sz w:val="32"/>
          <w:szCs w:val="32"/>
          <w:lang w:val="en-US" w:eastAsia="zh-CN"/>
        </w:rPr>
      </w:pPr>
      <w:r>
        <w:rPr>
          <w:rFonts w:hint="eastAsia" w:ascii="仿宋_GB2312" w:eastAsia="仿宋_GB2312"/>
          <w:b/>
          <w:bCs/>
          <w:sz w:val="32"/>
          <w:szCs w:val="32"/>
          <w:lang w:val="en-US" w:eastAsia="zh-CN"/>
        </w:rPr>
        <w:t>3、畅通渠道，发挥民主监督的重要作用。</w:t>
      </w:r>
      <w:r>
        <w:rPr>
          <w:rFonts w:hint="eastAsia" w:ascii="仿宋_GB2312" w:eastAsia="仿宋_GB2312"/>
          <w:sz w:val="32"/>
          <w:szCs w:val="32"/>
          <w:lang w:val="en-US" w:eastAsia="zh-CN"/>
        </w:rPr>
        <w:t>政协的监督是民主监督，它不具强制性和约束力，柔而不刚，因此在监督的过程中，委员们存在不愿、不敢、不会监督的问题，有的部门存在不理、不睬、不听监督的现象，影响了民主监督的质量与效果。对此，委员们应增强责任意识，积极主动地去监督，应从改革发展的大局出发，大胆地去监督，应从建有用之言，献务实之策的角度出发，善于监督。各部门单位应从对事不对人的角度考虑，正确对待监督，应从利于促进工作的角度出发，虚心接受监督。</w:t>
      </w:r>
      <w:r>
        <w:rPr>
          <w:rFonts w:hint="eastAsia" w:ascii="楷体_GB2312" w:hAnsi="楷体_GB2312" w:eastAsia="楷体_GB2312" w:cs="楷体_GB2312"/>
          <w:b/>
          <w:bCs/>
          <w:sz w:val="32"/>
          <w:szCs w:val="32"/>
          <w:lang w:val="en-US" w:eastAsia="zh-CN"/>
        </w:rPr>
        <w:t>在民主监督的委派工作上，</w:t>
      </w:r>
      <w:r>
        <w:rPr>
          <w:rFonts w:hint="eastAsia" w:ascii="仿宋_GB2312" w:eastAsia="仿宋_GB2312"/>
          <w:sz w:val="32"/>
          <w:szCs w:val="32"/>
          <w:lang w:val="en-US" w:eastAsia="zh-CN"/>
        </w:rPr>
        <w:t>10个民主监督小组应变被动为主动，变邀请为自己上门监督，不能停留在半年，年终工作讲评的听众这一层面，有话大胆说，有意见当面提，努力做到委派工作年初有计划，平时常监督，意见有采纳，年终有结果。</w:t>
      </w:r>
      <w:r>
        <w:rPr>
          <w:rFonts w:hint="eastAsia" w:ascii="楷体_GB2312" w:hAnsi="楷体_GB2312" w:eastAsia="楷体_GB2312" w:cs="楷体_GB2312"/>
          <w:b/>
          <w:bCs/>
          <w:sz w:val="32"/>
          <w:szCs w:val="32"/>
          <w:lang w:val="en-US" w:eastAsia="zh-CN"/>
        </w:rPr>
        <w:t>在提案办理工作上</w:t>
      </w:r>
      <w:r>
        <w:rPr>
          <w:rFonts w:hint="eastAsia" w:ascii="仿宋_GB2312" w:eastAsia="仿宋_GB2312"/>
          <w:sz w:val="32"/>
          <w:szCs w:val="32"/>
          <w:lang w:val="en-US" w:eastAsia="zh-CN"/>
        </w:rPr>
        <w:t>，紧紧抓住“提、立、办、评”四个环节，对承办结果不满意的，提案人要大胆提出意见，在意见评价签字时，我们对办理效果差强人意的承办单位要敢于签“不满意”意见。今年，我们将在评议环节上将严格把关，克服片面追求满意率的弊端。在区委、区政府年终综合评价中，将提案办理满意度作为衡量分值的重要标准，不搞一视同仁，不搞一碗水端平，实行分类分档，更好地促进提案办理实效。</w:t>
      </w:r>
      <w:r>
        <w:rPr>
          <w:rFonts w:hint="eastAsia" w:ascii="楷体_GB2312" w:hAnsi="楷体_GB2312" w:eastAsia="楷体_GB2312" w:cs="楷体_GB2312"/>
          <w:b/>
          <w:bCs/>
          <w:sz w:val="32"/>
          <w:szCs w:val="32"/>
          <w:lang w:val="en-US" w:eastAsia="zh-CN"/>
        </w:rPr>
        <w:t>在社情民意信息的报送上</w:t>
      </w:r>
      <w:r>
        <w:rPr>
          <w:rFonts w:hint="eastAsia" w:ascii="仿宋_GB2312" w:eastAsia="仿宋_GB2312"/>
          <w:sz w:val="32"/>
          <w:szCs w:val="32"/>
          <w:lang w:val="en-US" w:eastAsia="zh-CN"/>
        </w:rPr>
        <w:t>，实行周报与月报相结合，对人民群众反映比较强烈，事关民生改善，事关全局的一些苗头性、倾向性的信息应即时报送，以便掌握舆情动态。对一些重要的敏感的问题，各镇（办）场、各党派负责人要认真把关，确保信息质量。对报送上来的信息，区政协办公室要定期收集整理，及时报送区委、区政府主要领导阅示，确保舆情及时上达，充分发挥民意直通车的重要作用。同时，我们还应利用部门工作评议，委员调研视察等形式开展民主监督，通过有形的监督发挥无形的促进作用。</w:t>
      </w:r>
    </w:p>
    <w:p>
      <w:pPr>
        <w:keepNext w:val="0"/>
        <w:keepLines w:val="0"/>
        <w:pageBreakBefore w:val="0"/>
        <w:widowControl w:val="0"/>
        <w:kinsoku/>
        <w:wordWrap/>
        <w:overflowPunct/>
        <w:topLinePunct w:val="0"/>
        <w:autoSpaceDE/>
        <w:autoSpaceDN/>
        <w:bidi w:val="0"/>
        <w:adjustRightInd/>
        <w:snapToGrid/>
        <w:ind w:left="0" w:leftChars="0" w:right="0" w:rightChars="0" w:firstLine="636" w:firstLineChars="200"/>
        <w:jc w:val="left"/>
        <w:textAlignment w:val="auto"/>
        <w:outlineLvl w:val="9"/>
        <w:rPr>
          <w:rFonts w:hint="eastAsia" w:ascii="仿宋_GB2312" w:eastAsia="仿宋_GB2312"/>
          <w:sz w:val="32"/>
          <w:szCs w:val="32"/>
          <w:lang w:val="en-US" w:eastAsia="zh-CN"/>
        </w:rPr>
      </w:pPr>
      <w:r>
        <w:rPr>
          <w:rFonts w:hint="eastAsia" w:ascii="仿宋_GB2312" w:eastAsia="仿宋_GB2312"/>
          <w:b/>
          <w:bCs/>
          <w:sz w:val="32"/>
          <w:szCs w:val="32"/>
          <w:lang w:val="en-US" w:eastAsia="zh-CN"/>
        </w:rPr>
        <w:t>4、积极作为，夯实参政议政的实际效果</w:t>
      </w:r>
      <w:r>
        <w:rPr>
          <w:rFonts w:hint="eastAsia" w:ascii="仿宋_GB2312" w:eastAsia="仿宋_GB2312"/>
          <w:sz w:val="32"/>
          <w:szCs w:val="32"/>
          <w:lang w:val="en-US" w:eastAsia="zh-CN"/>
        </w:rPr>
        <w:t>。区委明确了一张蓝图干到底，三个重点，三个基础的工作思路，确立了打造洞庭生态明珠，全面建成小康社会的发展目标，区政府确定了全面深化改革，着力推进项目建设，大力发展现代农业、生态旅游和新兴产业，推进新型城镇化，改善城乡环境，推进创新创业，保障改善民生的工作重点和努力扩大就业等10件民生实事。在调研视察上，我们应当围绕依法治区、项目建设、现代农业、生态旅游、城乡规划、新农村建设、环境整治、创新创业、社会保障、社会治理等精心选定2-3个调研课题，围绕10件民生实事选择3-5个视察课题，通过深入一线调研，掌握一手材料，提出一等建议，形成一类成果，使调研报告材料真实，数据准确，建议科学，操作可行，效果明显。通过现场视察，提案办理，委派工作等方式，及时促进民生实事的办理落实。在“五联”工作方面。重点抓好高桥村国土整治项目的评估验收，为该村调优结构联系技术指导，为六门闸居委会社区服务场所建设联系项目资金，同时积极做好综治民调、计划生育、实事办理等工作。设法为钱粮湖实验小学改善办学条件出主意想办法。为联系企业井田人纸业有限公司环评和取水源的问题做好协调沟通工作，帮助企业尽快回归正轨。同时，按照围绕中心，服务大局的原则，竭尽全力参与 服务区委、区政府的各项中心工作，以实际行动彰显参政议政的实效。</w:t>
      </w:r>
    </w:p>
    <w:p>
      <w:pPr>
        <w:keepNext w:val="0"/>
        <w:keepLines w:val="0"/>
        <w:pageBreakBefore w:val="0"/>
        <w:widowControl w:val="0"/>
        <w:kinsoku/>
        <w:wordWrap/>
        <w:overflowPunct/>
        <w:topLinePunct w:val="0"/>
        <w:autoSpaceDE/>
        <w:autoSpaceDN/>
        <w:bidi w:val="0"/>
        <w:adjustRightInd/>
        <w:snapToGrid/>
        <w:ind w:left="0" w:leftChars="0" w:right="0" w:rightChars="0" w:firstLine="636" w:firstLineChars="200"/>
        <w:jc w:val="left"/>
        <w:textAlignment w:val="auto"/>
        <w:outlineLvl w:val="9"/>
        <w:rPr>
          <w:rFonts w:hint="eastAsia" w:ascii="仿宋_GB2312" w:eastAsia="仿宋_GB2312"/>
          <w:sz w:val="32"/>
          <w:szCs w:val="32"/>
          <w:lang w:val="en-US" w:eastAsia="zh-CN"/>
        </w:rPr>
      </w:pPr>
      <w:r>
        <w:rPr>
          <w:rFonts w:hint="eastAsia" w:ascii="仿宋_GB2312" w:eastAsia="仿宋_GB2312"/>
          <w:b/>
          <w:bCs/>
          <w:sz w:val="32"/>
          <w:szCs w:val="32"/>
          <w:lang w:val="en-US" w:eastAsia="zh-CN"/>
        </w:rPr>
        <w:t>5、内外兼修，强化自身建设的各项举措</w:t>
      </w:r>
      <w:r>
        <w:rPr>
          <w:rFonts w:hint="eastAsia" w:ascii="仿宋_GB2312" w:eastAsia="仿宋_GB2312"/>
          <w:sz w:val="32"/>
          <w:szCs w:val="32"/>
          <w:lang w:val="en-US" w:eastAsia="zh-CN"/>
        </w:rPr>
        <w:t>。内练一口气，外练筋骨皮。政协的自身建设要做到内外兼修，内强素质，外树形象</w:t>
      </w:r>
      <w:r>
        <w:rPr>
          <w:rFonts w:hint="eastAsia" w:ascii="楷体_GB2312" w:hAnsi="楷体_GB2312" w:eastAsia="楷体_GB2312" w:cs="楷体_GB2312"/>
          <w:b/>
          <w:bCs/>
          <w:sz w:val="32"/>
          <w:szCs w:val="32"/>
          <w:lang w:val="en-US" w:eastAsia="zh-CN"/>
        </w:rPr>
        <w:t>。应加强机关建设</w:t>
      </w:r>
      <w:r>
        <w:rPr>
          <w:rFonts w:hint="eastAsia" w:ascii="仿宋_GB2312" w:eastAsia="仿宋_GB2312"/>
          <w:sz w:val="32"/>
          <w:szCs w:val="32"/>
          <w:lang w:val="en-US" w:eastAsia="zh-CN"/>
        </w:rPr>
        <w:t>。政协机关是为政协组织和政协履行职责的政治机关，是“委员之家”，是政协工作中的中枢，起着参谋、服务、协调、保障的作用。“打铁还需自身硬”，我们应进一步巩固党的群众路线教育实践活动成果，以作风建设为重点，认真研究新时期政协工作的特点和规律，探索加强和改进政协工作的新举措。要进一步加强机关干部的思想、作风、业务建设，使政协机关成为创先争优的团体，助推发展的主体。</w:t>
      </w:r>
      <w:r>
        <w:rPr>
          <w:rFonts w:hint="eastAsia" w:ascii="楷体_GB2312" w:hAnsi="楷体_GB2312" w:eastAsia="楷体_GB2312" w:cs="楷体_GB2312"/>
          <w:b/>
          <w:bCs/>
          <w:sz w:val="32"/>
          <w:szCs w:val="32"/>
          <w:lang w:val="en-US" w:eastAsia="zh-CN"/>
        </w:rPr>
        <w:t>应加强界别建设</w:t>
      </w:r>
      <w:r>
        <w:rPr>
          <w:rFonts w:hint="eastAsia" w:ascii="仿宋_GB2312" w:eastAsia="仿宋_GB2312"/>
          <w:sz w:val="32"/>
          <w:szCs w:val="32"/>
          <w:lang w:val="en-US" w:eastAsia="zh-CN"/>
        </w:rPr>
        <w:t>。促进委员加强与界别的联系，鼓励以界别的名义提交大会发言材料和集体提案，支持各界别开展界别调研和视察，集中界别的集体智慧，发挥界别的整体功能。同时积极搭建履职平台，为界别建设提供组织保证。</w:t>
      </w:r>
      <w:r>
        <w:rPr>
          <w:rFonts w:hint="eastAsia" w:ascii="楷体_GB2312" w:hAnsi="楷体_GB2312" w:eastAsia="楷体_GB2312" w:cs="楷体_GB2312"/>
          <w:b/>
          <w:bCs/>
          <w:sz w:val="32"/>
          <w:szCs w:val="32"/>
          <w:lang w:val="en-US" w:eastAsia="zh-CN"/>
        </w:rPr>
        <w:t>应加强专委会的建设</w:t>
      </w:r>
      <w:r>
        <w:rPr>
          <w:rFonts w:hint="eastAsia" w:ascii="仿宋_GB2312" w:eastAsia="仿宋_GB2312"/>
          <w:sz w:val="32"/>
          <w:szCs w:val="32"/>
          <w:lang w:val="en-US" w:eastAsia="zh-CN"/>
        </w:rPr>
        <w:t>。专门委员会是政协开展调研、视察、评议、监督、协商、联络的组织单位，政协的日常工作，很多需要专门委员会具体落实，要从制度入手，完善专门委员会的对口联系机制，知情问政机制，考核评价机制，着力加强专门委员会的建设，充分发挥其基础作用。</w:t>
      </w:r>
      <w:r>
        <w:rPr>
          <w:rFonts w:hint="eastAsia" w:ascii="楷体_GB2312" w:hAnsi="楷体_GB2312" w:eastAsia="楷体_GB2312" w:cs="楷体_GB2312"/>
          <w:b/>
          <w:bCs/>
          <w:sz w:val="32"/>
          <w:szCs w:val="32"/>
          <w:lang w:val="en-US" w:eastAsia="zh-CN"/>
        </w:rPr>
        <w:t>应加强委员队伍建设</w:t>
      </w:r>
      <w:r>
        <w:rPr>
          <w:rFonts w:hint="eastAsia" w:ascii="仿宋_GB2312" w:eastAsia="仿宋_GB2312"/>
          <w:sz w:val="32"/>
          <w:szCs w:val="32"/>
          <w:lang w:val="en-US" w:eastAsia="zh-CN"/>
        </w:rPr>
        <w:t>。政协工作实力在委员、潜力在委员，活力也在委员。应健全委员联络机制，为发挥委员主体作用创造条件；应健全委员履职约束机制和动态管理机制，为委员履职创造条件；应完善学习培训制度，提高委员参政议政能力；应深入推进核心价值观教育、增强委员履职的责任感。同时，应大力加强基层政协联络办的建设，充分发挥他们在组织委员为镇域经济发展献计出力的参谋服务作用；继续深入地开展“五个一”主题活动，以实际行动彰显委员的主体作用和履职成效。</w:t>
      </w:r>
    </w:p>
    <w:p>
      <w:pPr>
        <w:spacing w:line="600" w:lineRule="exact"/>
        <w:ind w:firstLine="468" w:firstLineChars="147"/>
        <w:jc w:val="left"/>
        <w:rPr>
          <w:rFonts w:hint="eastAsia" w:ascii="楷体_GB2312" w:hAnsi="楷体_GB2312" w:eastAsia="楷体_GB2312" w:cs="楷体_GB2312"/>
          <w:b/>
          <w:bCs/>
          <w:color w:val="000000"/>
          <w:sz w:val="32"/>
          <w:szCs w:val="32"/>
        </w:rPr>
      </w:pPr>
    </w:p>
    <w:p>
      <w:pPr>
        <w:adjustRightInd w:val="0"/>
        <w:snapToGrid w:val="0"/>
        <w:spacing w:line="600" w:lineRule="exact"/>
        <w:ind w:firstLine="468" w:firstLineChars="147"/>
        <w:jc w:val="left"/>
        <w:rPr>
          <w:rFonts w:hint="eastAsia" w:ascii="楷体_GB2312" w:hAnsi="楷体_GB2312" w:eastAsia="楷体_GB2312" w:cs="楷体_GB2312"/>
          <w:b/>
          <w:bCs/>
          <w:sz w:val="32"/>
          <w:szCs w:val="28"/>
        </w:rPr>
      </w:pPr>
      <w:r>
        <w:rPr>
          <w:rFonts w:hint="eastAsia" w:ascii="楷体_GB2312" w:hAnsi="楷体_GB2312" w:eastAsia="楷体_GB2312" w:cs="楷体_GB2312"/>
          <w:b/>
          <w:bCs/>
          <w:sz w:val="32"/>
          <w:szCs w:val="28"/>
        </w:rPr>
        <w:t>（四）部门整体收支情况</w:t>
      </w:r>
    </w:p>
    <w:p>
      <w:pPr>
        <w:adjustRightInd w:val="0"/>
        <w:snapToGrid w:val="0"/>
        <w:spacing w:line="600" w:lineRule="exact"/>
        <w:ind w:left="16" w:leftChars="8" w:firstLine="709" w:firstLineChars="223"/>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2"/>
          <w:szCs w:val="28"/>
        </w:rPr>
        <w:t>1.部门整体收支情况：</w:t>
      </w:r>
    </w:p>
    <w:p>
      <w:pPr>
        <w:adjustRightInd w:val="0"/>
        <w:snapToGrid w:val="0"/>
        <w:spacing w:line="600" w:lineRule="exact"/>
        <w:ind w:left="16" w:leftChars="8" w:firstLine="394" w:firstLineChars="124"/>
        <w:jc w:val="left"/>
        <w:rPr>
          <w:rFonts w:hint="eastAsia" w:ascii="仿宋_GB2312" w:hAnsi="仿宋_GB2312" w:eastAsia="仿宋_GB2312" w:cs="仿宋_GB2312"/>
          <w:bCs/>
          <w:sz w:val="28"/>
          <w:szCs w:val="28"/>
        </w:rPr>
      </w:pPr>
      <w:r>
        <w:rPr>
          <w:rFonts w:hint="eastAsia" w:ascii="仿宋_GB2312" w:hAnsi="仿宋_GB2312" w:eastAsia="仿宋_GB2312" w:cs="仿宋_GB2312"/>
          <w:sz w:val="32"/>
          <w:szCs w:val="28"/>
        </w:rPr>
        <w:t>（1）收入情况：全年收入</w:t>
      </w:r>
      <w:r>
        <w:rPr>
          <w:rFonts w:hint="eastAsia" w:ascii="仿宋_GB2312" w:hAnsi="仿宋_GB2312" w:eastAsia="仿宋_GB2312" w:cs="仿宋_GB2312"/>
          <w:sz w:val="32"/>
          <w:szCs w:val="28"/>
          <w:lang w:val="en-US" w:eastAsia="zh-CN"/>
        </w:rPr>
        <w:t>283.4</w:t>
      </w:r>
      <w:r>
        <w:rPr>
          <w:rFonts w:hint="eastAsia" w:ascii="仿宋_GB2312" w:hAnsi="仿宋_GB2312" w:eastAsia="仿宋_GB2312" w:cs="仿宋_GB2312"/>
          <w:sz w:val="32"/>
          <w:szCs w:val="28"/>
        </w:rPr>
        <w:t>万元，其中：预算安排</w:t>
      </w:r>
      <w:r>
        <w:rPr>
          <w:rFonts w:hint="eastAsia" w:ascii="仿宋_GB2312" w:hAnsi="仿宋_GB2312" w:eastAsia="仿宋_GB2312" w:cs="仿宋_GB2312"/>
          <w:sz w:val="32"/>
          <w:szCs w:val="28"/>
          <w:lang w:val="en-US" w:eastAsia="zh-CN"/>
        </w:rPr>
        <w:t>283.4</w:t>
      </w:r>
      <w:r>
        <w:rPr>
          <w:rFonts w:hint="eastAsia" w:ascii="仿宋_GB2312" w:hAnsi="仿宋_GB2312" w:eastAsia="仿宋_GB2312" w:cs="仿宋_GB2312"/>
          <w:sz w:val="32"/>
          <w:szCs w:val="28"/>
        </w:rPr>
        <w:t>万</w:t>
      </w:r>
      <w:r>
        <w:rPr>
          <w:rFonts w:hint="eastAsia" w:ascii="仿宋_GB2312" w:hAnsi="宋体" w:eastAsia="仿宋_GB2312" w:cs="宋体"/>
          <w:sz w:val="32"/>
          <w:szCs w:val="28"/>
        </w:rPr>
        <w:t>元。（2）支出情况:全年支</w:t>
      </w:r>
      <w:r>
        <w:rPr>
          <w:rFonts w:hint="eastAsia" w:ascii="仿宋_GB2312" w:hAnsi="仿宋_GB2312" w:eastAsia="仿宋_GB2312" w:cs="仿宋_GB2312"/>
          <w:sz w:val="32"/>
          <w:szCs w:val="28"/>
        </w:rPr>
        <w:t>出</w:t>
      </w:r>
      <w:r>
        <w:rPr>
          <w:rFonts w:hint="eastAsia" w:ascii="仿宋_GB2312" w:hAnsi="仿宋_GB2312" w:eastAsia="仿宋_GB2312" w:cs="仿宋_GB2312"/>
          <w:sz w:val="32"/>
          <w:szCs w:val="28"/>
          <w:lang w:val="en-US" w:eastAsia="zh-CN"/>
        </w:rPr>
        <w:t>283.4</w:t>
      </w:r>
      <w:r>
        <w:rPr>
          <w:rFonts w:hint="eastAsia" w:ascii="仿宋_GB2312" w:hAnsi="仿宋_GB2312" w:eastAsia="仿宋_GB2312" w:cs="仿宋_GB2312"/>
          <w:sz w:val="32"/>
          <w:szCs w:val="28"/>
        </w:rPr>
        <w:t>万</w:t>
      </w:r>
      <w:r>
        <w:rPr>
          <w:rFonts w:hint="eastAsia" w:ascii="仿宋_GB2312" w:hAnsi="宋体" w:eastAsia="仿宋_GB2312" w:cs="宋体"/>
          <w:sz w:val="32"/>
          <w:szCs w:val="28"/>
        </w:rPr>
        <w:t>元， 其中：基本支出</w:t>
      </w:r>
      <w:r>
        <w:rPr>
          <w:rFonts w:hint="eastAsia" w:ascii="仿宋_GB2312" w:hAnsi="宋体" w:eastAsia="仿宋_GB2312" w:cs="宋体"/>
          <w:sz w:val="32"/>
          <w:szCs w:val="28"/>
          <w:lang w:val="en-US" w:eastAsia="zh-CN"/>
        </w:rPr>
        <w:t>240.8</w:t>
      </w:r>
      <w:r>
        <w:rPr>
          <w:rFonts w:hint="eastAsia" w:ascii="仿宋_GB2312" w:hAnsi="宋体" w:eastAsia="仿宋_GB2312" w:cs="宋体"/>
          <w:sz w:val="32"/>
          <w:szCs w:val="28"/>
        </w:rPr>
        <w:t>万元，（工资福利支出</w:t>
      </w:r>
      <w:r>
        <w:rPr>
          <w:rFonts w:hint="eastAsia" w:ascii="仿宋_GB2312" w:hAnsi="宋体" w:eastAsia="仿宋_GB2312" w:cs="宋体"/>
          <w:sz w:val="32"/>
          <w:szCs w:val="28"/>
          <w:lang w:val="en-US" w:eastAsia="zh-CN"/>
        </w:rPr>
        <w:t>137.65</w:t>
      </w:r>
      <w:r>
        <w:rPr>
          <w:rFonts w:hint="eastAsia" w:ascii="仿宋_GB2312" w:hAnsi="宋体" w:eastAsia="仿宋_GB2312" w:cs="宋体"/>
          <w:sz w:val="32"/>
          <w:szCs w:val="28"/>
        </w:rPr>
        <w:t>元，商品和服务支出</w:t>
      </w:r>
      <w:r>
        <w:rPr>
          <w:rFonts w:hint="eastAsia" w:ascii="仿宋_GB2312" w:hAnsi="宋体" w:eastAsia="仿宋_GB2312" w:cs="宋体"/>
          <w:sz w:val="32"/>
          <w:szCs w:val="28"/>
          <w:lang w:val="en-US" w:eastAsia="zh-CN"/>
        </w:rPr>
        <w:t>103.15</w:t>
      </w:r>
      <w:r>
        <w:rPr>
          <w:rFonts w:hint="eastAsia" w:ascii="仿宋_GB2312" w:hAnsi="宋体" w:eastAsia="仿宋_GB2312" w:cs="宋体"/>
          <w:sz w:val="32"/>
          <w:szCs w:val="28"/>
        </w:rPr>
        <w:t>万元），项目支出</w:t>
      </w:r>
      <w:r>
        <w:rPr>
          <w:rFonts w:hint="eastAsia" w:ascii="仿宋_GB2312" w:hAnsi="宋体" w:eastAsia="仿宋_GB2312" w:cs="宋体"/>
          <w:sz w:val="32"/>
          <w:szCs w:val="28"/>
          <w:lang w:val="en-US" w:eastAsia="zh-CN"/>
        </w:rPr>
        <w:t>42.6</w:t>
      </w:r>
      <w:r>
        <w:rPr>
          <w:rFonts w:hint="eastAsia" w:ascii="仿宋_GB2312" w:hAnsi="宋体" w:eastAsia="仿宋_GB2312" w:cs="宋体"/>
          <w:sz w:val="32"/>
          <w:szCs w:val="28"/>
        </w:rPr>
        <w:t>万元</w:t>
      </w:r>
      <w:r>
        <w:rPr>
          <w:rFonts w:hint="eastAsia" w:ascii="仿宋_GB2312" w:hAnsi="宋体" w:eastAsia="仿宋_GB2312" w:cs="宋体"/>
          <w:sz w:val="32"/>
          <w:szCs w:val="28"/>
          <w:lang w:eastAsia="zh-CN"/>
        </w:rPr>
        <w:t>。</w:t>
      </w:r>
    </w:p>
    <w:p>
      <w:pPr>
        <w:adjustRightInd w:val="0"/>
        <w:snapToGrid w:val="0"/>
        <w:spacing w:line="600" w:lineRule="exact"/>
        <w:ind w:firstLine="417" w:firstLineChars="131"/>
        <w:jc w:val="left"/>
        <w:rPr>
          <w:rFonts w:hint="eastAsia" w:ascii="仿宋_GB2312" w:hAnsi="宋体" w:eastAsia="仿宋_GB2312" w:cs="宋体"/>
          <w:color w:val="000000"/>
          <w:sz w:val="32"/>
          <w:szCs w:val="28"/>
        </w:rPr>
      </w:pPr>
      <w:r>
        <w:rPr>
          <w:rFonts w:hint="eastAsia" w:ascii="仿宋_GB2312" w:hAnsi="宋体" w:eastAsia="仿宋_GB2312" w:cs="宋体"/>
          <w:sz w:val="32"/>
          <w:szCs w:val="28"/>
        </w:rPr>
        <w:t xml:space="preserve"> </w:t>
      </w:r>
      <w:r>
        <w:rPr>
          <w:rFonts w:hint="eastAsia" w:ascii="仿宋_GB2312" w:hAnsi="宋体" w:eastAsia="仿宋_GB2312" w:cs="宋体"/>
          <w:b/>
          <w:bCs/>
          <w:sz w:val="32"/>
          <w:szCs w:val="28"/>
        </w:rPr>
        <w:t>2</w:t>
      </w:r>
      <w:r>
        <w:rPr>
          <w:rFonts w:hint="eastAsia" w:ascii="仿宋_GB2312" w:hAnsi="宋体" w:eastAsia="仿宋_GB2312" w:cs="宋体"/>
          <w:sz w:val="32"/>
          <w:szCs w:val="28"/>
        </w:rPr>
        <w:t>.</w:t>
      </w:r>
      <w:r>
        <w:rPr>
          <w:rFonts w:hint="eastAsia" w:ascii="仿宋_GB2312" w:hAnsi="宋体" w:eastAsia="仿宋_GB2312" w:cs="宋体"/>
          <w:b/>
          <w:bCs/>
          <w:sz w:val="32"/>
          <w:szCs w:val="28"/>
        </w:rPr>
        <w:t>三公经费支出情况：</w:t>
      </w:r>
      <w:r>
        <w:rPr>
          <w:rFonts w:hint="eastAsia" w:ascii="仿宋_GB2312" w:eastAsia="仿宋_GB2312" w:cs="宋体"/>
          <w:sz w:val="32"/>
          <w:szCs w:val="28"/>
        </w:rPr>
        <w:t>201</w:t>
      </w:r>
      <w:r>
        <w:rPr>
          <w:rFonts w:hint="eastAsia" w:ascii="仿宋_GB2312" w:eastAsia="仿宋_GB2312" w:cs="宋体"/>
          <w:sz w:val="32"/>
          <w:szCs w:val="28"/>
          <w:lang w:val="en-US" w:eastAsia="zh-CN"/>
        </w:rPr>
        <w:t>6</w:t>
      </w:r>
      <w:r>
        <w:rPr>
          <w:rFonts w:hint="eastAsia" w:ascii="仿宋_GB2312" w:eastAsia="仿宋_GB2312" w:cs="宋体"/>
          <w:sz w:val="32"/>
          <w:szCs w:val="28"/>
        </w:rPr>
        <w:t>年部门预算安排“三公”经费”</w:t>
      </w:r>
      <w:r>
        <w:rPr>
          <w:rFonts w:hint="eastAsia" w:ascii="仿宋_GB2312" w:hAnsi="楷体" w:eastAsia="仿宋_GB2312"/>
          <w:sz w:val="24"/>
          <w:szCs w:val="24"/>
        </w:rPr>
        <w:t xml:space="preserve"> </w:t>
      </w:r>
      <w:r>
        <w:rPr>
          <w:rFonts w:hint="eastAsia" w:ascii="仿宋_GB2312" w:hAnsi="宋体" w:eastAsia="仿宋_GB2312" w:cs="宋体"/>
          <w:sz w:val="32"/>
          <w:szCs w:val="28"/>
          <w:lang w:val="en-US" w:eastAsia="zh-CN"/>
        </w:rPr>
        <w:t>63.59</w:t>
      </w:r>
      <w:r>
        <w:rPr>
          <w:rFonts w:hint="eastAsia" w:ascii="仿宋_GB2312" w:hAnsi="宋体" w:eastAsia="仿宋_GB2312" w:cs="宋体"/>
          <w:sz w:val="32"/>
          <w:szCs w:val="28"/>
        </w:rPr>
        <w:t>万元，实际支出</w:t>
      </w:r>
      <w:r>
        <w:rPr>
          <w:rFonts w:hint="eastAsia" w:ascii="仿宋_GB2312" w:hAnsi="宋体" w:eastAsia="仿宋_GB2312" w:cs="宋体"/>
          <w:sz w:val="32"/>
          <w:szCs w:val="28"/>
          <w:lang w:val="en-US" w:eastAsia="zh-CN"/>
        </w:rPr>
        <w:t>41.7</w:t>
      </w:r>
      <w:r>
        <w:rPr>
          <w:rFonts w:hint="eastAsia" w:ascii="仿宋_GB2312" w:hAnsi="宋体" w:eastAsia="仿宋_GB2312" w:cs="宋体"/>
          <w:sz w:val="32"/>
          <w:szCs w:val="28"/>
        </w:rPr>
        <w:t>万元。其中公务接待费</w:t>
      </w:r>
      <w:r>
        <w:rPr>
          <w:rFonts w:hint="eastAsia" w:ascii="仿宋_GB2312" w:hAnsi="宋体" w:eastAsia="仿宋_GB2312" w:cs="宋体"/>
          <w:sz w:val="32"/>
          <w:szCs w:val="28"/>
          <w:lang w:val="en-US" w:eastAsia="zh-CN"/>
        </w:rPr>
        <w:t>18</w:t>
      </w:r>
      <w:r>
        <w:rPr>
          <w:rFonts w:hint="eastAsia" w:ascii="仿宋_GB2312" w:hAnsi="宋体" w:eastAsia="仿宋_GB2312" w:cs="宋体"/>
          <w:sz w:val="32"/>
          <w:szCs w:val="28"/>
        </w:rPr>
        <w:t>万元，公务车运</w:t>
      </w:r>
      <w:r>
        <w:rPr>
          <w:rFonts w:hint="eastAsia" w:ascii="仿宋_GB2312" w:eastAsia="仿宋_GB2312" w:cs="宋体"/>
          <w:sz w:val="32"/>
          <w:szCs w:val="28"/>
        </w:rPr>
        <w:t>行维护费</w:t>
      </w:r>
      <w:r>
        <w:rPr>
          <w:rFonts w:hint="eastAsia" w:ascii="仿宋_GB2312" w:hAnsi="楷体" w:eastAsia="仿宋_GB2312"/>
          <w:sz w:val="24"/>
          <w:szCs w:val="24"/>
          <w:lang w:val="en-US" w:eastAsia="zh-CN"/>
        </w:rPr>
        <w:t>23.7</w:t>
      </w:r>
      <w:r>
        <w:rPr>
          <w:rFonts w:hint="eastAsia" w:ascii="仿宋_GB2312" w:eastAsia="仿宋_GB2312" w:cs="宋体"/>
          <w:sz w:val="32"/>
          <w:szCs w:val="28"/>
        </w:rPr>
        <w:t>万元。</w:t>
      </w:r>
    </w:p>
    <w:p>
      <w:pPr>
        <w:adjustRightInd w:val="0"/>
        <w:snapToGrid w:val="0"/>
        <w:spacing w:line="600" w:lineRule="exact"/>
        <w:ind w:firstLine="417" w:firstLineChars="131"/>
        <w:jc w:val="left"/>
        <w:rPr>
          <w:rFonts w:hint="eastAsia" w:ascii="仿宋_GB2312" w:hAnsi="宋体" w:eastAsia="仿宋_GB2312" w:cs="宋体"/>
          <w:b/>
          <w:bCs/>
          <w:sz w:val="32"/>
          <w:szCs w:val="32"/>
          <w:shd w:val="clear" w:color="auto" w:fill="FFFFFF"/>
        </w:rPr>
      </w:pPr>
      <w:r>
        <w:rPr>
          <w:rFonts w:hint="eastAsia" w:ascii="仿宋_GB2312" w:eastAsia="仿宋_GB2312"/>
          <w:b/>
          <w:bCs/>
          <w:sz w:val="32"/>
          <w:szCs w:val="32"/>
        </w:rPr>
        <w:t xml:space="preserve"> </w:t>
      </w:r>
      <w:r>
        <w:rPr>
          <w:rFonts w:hint="eastAsia" w:ascii="仿宋_GB2312" w:hAnsi="宋体" w:eastAsia="仿宋_GB2312" w:cs="宋体"/>
          <w:b/>
          <w:bCs/>
          <w:sz w:val="32"/>
          <w:szCs w:val="32"/>
          <w:shd w:val="clear" w:color="auto" w:fill="FFFFFF"/>
        </w:rPr>
        <w:t>3</w:t>
      </w:r>
      <w:r>
        <w:rPr>
          <w:rFonts w:hint="eastAsia" w:ascii="仿宋_GB2312" w:hAnsi="宋体" w:eastAsia="仿宋_GB2312" w:cs="宋体"/>
          <w:sz w:val="32"/>
          <w:szCs w:val="32"/>
          <w:shd w:val="clear" w:color="auto" w:fill="FFFFFF"/>
        </w:rPr>
        <w:t>.</w:t>
      </w:r>
      <w:r>
        <w:rPr>
          <w:rFonts w:hint="eastAsia" w:ascii="仿宋_GB2312" w:hAnsi="宋体" w:eastAsia="仿宋_GB2312" w:cs="宋体"/>
          <w:b/>
          <w:bCs/>
          <w:sz w:val="32"/>
          <w:szCs w:val="32"/>
          <w:shd w:val="clear" w:color="auto" w:fill="FFFFFF"/>
          <w:lang w:eastAsia="zh-CN"/>
        </w:rPr>
        <w:t>项目收入</w:t>
      </w:r>
      <w:r>
        <w:rPr>
          <w:rFonts w:hint="eastAsia" w:ascii="仿宋_GB2312" w:hAnsi="宋体" w:eastAsia="仿宋_GB2312" w:cs="宋体"/>
          <w:b/>
          <w:bCs/>
          <w:sz w:val="32"/>
          <w:szCs w:val="32"/>
          <w:shd w:val="clear" w:color="auto" w:fill="FFFFFF"/>
        </w:rPr>
        <w:t>支出情况：</w:t>
      </w:r>
    </w:p>
    <w:p>
      <w:pPr>
        <w:adjustRightInd w:val="0"/>
        <w:snapToGrid w:val="0"/>
        <w:spacing w:line="600" w:lineRule="exact"/>
        <w:ind w:firstLine="417" w:firstLineChars="131"/>
        <w:jc w:val="left"/>
        <w:rPr>
          <w:rFonts w:hint="eastAsia" w:ascii="仿宋_GB2312" w:eastAsia="仿宋_GB2312" w:cs="宋体"/>
          <w:sz w:val="32"/>
          <w:szCs w:val="28"/>
          <w:lang w:val="en-US" w:eastAsia="zh-CN"/>
        </w:rPr>
      </w:pPr>
      <w:r>
        <w:rPr>
          <w:rFonts w:hint="eastAsia" w:ascii="仿宋_GB2312" w:eastAsia="仿宋_GB2312" w:cs="宋体"/>
          <w:sz w:val="32"/>
          <w:szCs w:val="28"/>
          <w:lang w:val="en-US" w:eastAsia="zh-CN"/>
        </w:rPr>
        <w:t>2016年度区政府预算政协项目资金42.6万元：政协委员经费8.6万；信访协调3万；调研课题及专项调研11万；网络维护4万；文史资料2万；政协委员述职2万；工作评议8万；域外委员创业4万。专项经费实行严格的管理措施，合理安排资金，把经费都用在刀刃上。</w:t>
      </w:r>
    </w:p>
    <w:p>
      <w:pPr>
        <w:spacing w:line="620" w:lineRule="exact"/>
        <w:ind w:firstLine="636" w:firstLineChars="200"/>
        <w:rPr>
          <w:rFonts w:hint="eastAsia" w:ascii="黑体" w:hAnsi="宋体" w:eastAsia="黑体" w:cs="宋体"/>
          <w:sz w:val="32"/>
          <w:szCs w:val="32"/>
        </w:rPr>
      </w:pPr>
      <w:r>
        <w:rPr>
          <w:rFonts w:hint="eastAsia" w:ascii="黑体" w:hAnsi="宋体" w:eastAsia="黑体" w:cs="宋体"/>
          <w:sz w:val="32"/>
          <w:szCs w:val="32"/>
        </w:rPr>
        <w:t>二、绩效评价工作情</w:t>
      </w:r>
      <w:r>
        <w:rPr>
          <w:rFonts w:hint="eastAsia" w:ascii="黑体" w:hAnsi="宋体" w:eastAsia="黑体" w:cs="宋体"/>
          <w:sz w:val="32"/>
          <w:szCs w:val="32"/>
          <w:lang w:eastAsia="zh-CN"/>
        </w:rPr>
        <w:t>况：</w:t>
      </w:r>
    </w:p>
    <w:p>
      <w:pPr>
        <w:spacing w:line="600" w:lineRule="exact"/>
        <w:ind w:firstLine="468" w:firstLineChars="147"/>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shd w:val="clear" w:color="auto" w:fill="FFFFFF"/>
        </w:rPr>
        <w:t>（一）</w:t>
      </w:r>
      <w:r>
        <w:rPr>
          <w:rFonts w:hint="eastAsia" w:ascii="仿宋_GB2312" w:hAnsi="仿宋_GB2312" w:eastAsia="仿宋_GB2312" w:cs="仿宋_GB2312"/>
          <w:b/>
          <w:bCs/>
          <w:sz w:val="32"/>
          <w:szCs w:val="32"/>
        </w:rPr>
        <w:t>部门整体支出绩效评价</w:t>
      </w:r>
      <w:r>
        <w:rPr>
          <w:rFonts w:hint="eastAsia" w:ascii="仿宋_GB2312" w:hAnsi="仿宋_GB2312" w:eastAsia="仿宋_GB2312" w:cs="仿宋_GB2312"/>
          <w:b/>
          <w:bCs/>
          <w:sz w:val="32"/>
          <w:szCs w:val="32"/>
          <w:lang w:eastAsia="zh-CN"/>
        </w:rPr>
        <w:t>情况</w:t>
      </w:r>
    </w:p>
    <w:p>
      <w:pPr>
        <w:spacing w:line="600" w:lineRule="exact"/>
        <w:ind w:firstLine="636" w:firstLineChars="200"/>
        <w:jc w:val="left"/>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eastAsia="zh-CN"/>
        </w:rPr>
        <w:t>结合评价得分，评价结果为优秀。</w:t>
      </w:r>
      <w:r>
        <w:rPr>
          <w:rFonts w:hint="eastAsia" w:ascii="仿宋_GB2312" w:hAnsi="宋体" w:eastAsia="仿宋_GB2312" w:cs="宋体"/>
          <w:color w:val="000000"/>
          <w:sz w:val="32"/>
          <w:szCs w:val="32"/>
          <w:lang w:val="en-US" w:eastAsia="zh-CN"/>
        </w:rPr>
        <w:t>2016年各项年初绩效目标全部实现，社会、生态效益大幅提升，项目支出和财务管理健全规范，未发现违法违规问题。</w:t>
      </w:r>
    </w:p>
    <w:p>
      <w:pPr>
        <w:spacing w:line="600" w:lineRule="exact"/>
        <w:ind w:firstLine="636" w:firstLineChars="200"/>
        <w:jc w:val="left"/>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通过对2016年区政协的预算配置、预算管理、资产管理、职责履行、履职效益等内容的绩效考评，提高财政资金的使用效率，为财政部门预算管理提供决策依据。</w:t>
      </w:r>
    </w:p>
    <w:p>
      <w:pPr>
        <w:shd w:val="solid" w:color="FFFFFF" w:fill="auto"/>
        <w:autoSpaceDN w:val="0"/>
        <w:spacing w:line="620" w:lineRule="exact"/>
        <w:ind w:firstLine="477" w:firstLineChars="150"/>
        <w:rPr>
          <w:rFonts w:hint="eastAsia"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w:t>
      </w:r>
      <w:r>
        <w:rPr>
          <w:rFonts w:hint="eastAsia" w:ascii="楷体_GB2312" w:hAnsi="楷体_GB2312" w:eastAsia="楷体_GB2312" w:cs="楷体_GB2312"/>
          <w:b/>
          <w:bCs/>
          <w:sz w:val="32"/>
          <w:szCs w:val="32"/>
          <w:shd w:val="clear" w:color="auto" w:fill="FFFFFF"/>
          <w:lang w:eastAsia="zh-CN"/>
        </w:rPr>
        <w:t>二</w:t>
      </w:r>
      <w:r>
        <w:rPr>
          <w:rFonts w:hint="eastAsia" w:ascii="楷体_GB2312" w:hAnsi="楷体_GB2312" w:eastAsia="楷体_GB2312" w:cs="楷体_GB2312"/>
          <w:b/>
          <w:bCs/>
          <w:sz w:val="32"/>
          <w:szCs w:val="32"/>
          <w:shd w:val="clear" w:color="auto" w:fill="FFFFFF"/>
        </w:rPr>
        <w:t>）整体支出绩效评价过程</w:t>
      </w:r>
    </w:p>
    <w:p>
      <w:pPr>
        <w:shd w:val="solid" w:color="FFFFFF" w:fill="auto"/>
        <w:autoSpaceDN w:val="0"/>
        <w:spacing w:line="600" w:lineRule="exact"/>
        <w:jc w:val="left"/>
        <w:rPr>
          <w:rFonts w:hint="eastAsia"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 xml:space="preserve">    </w:t>
      </w:r>
      <w:r>
        <w:rPr>
          <w:rFonts w:hint="eastAsia" w:ascii="仿宋_GB2312" w:hAnsi="宋体" w:eastAsia="仿宋_GB2312" w:cs="宋体"/>
          <w:b/>
          <w:bCs/>
          <w:sz w:val="32"/>
          <w:szCs w:val="32"/>
          <w:shd w:val="clear" w:color="auto" w:fill="FFFFFF"/>
        </w:rPr>
        <w:t>1</w:t>
      </w:r>
      <w:r>
        <w:rPr>
          <w:rFonts w:hint="eastAsia" w:ascii="仿宋_GB2312" w:hAnsi="宋体" w:eastAsia="仿宋_GB2312" w:cs="宋体"/>
          <w:b/>
          <w:sz w:val="32"/>
          <w:szCs w:val="32"/>
          <w:shd w:val="clear" w:color="auto" w:fill="FFFFFF"/>
        </w:rPr>
        <w:t>.前期准备：</w:t>
      </w:r>
      <w:r>
        <w:rPr>
          <w:rFonts w:hint="eastAsia" w:ascii="仿宋_GB2312" w:hAnsi="宋体" w:eastAsia="仿宋_GB2312" w:cs="宋体"/>
          <w:sz w:val="32"/>
          <w:szCs w:val="32"/>
          <w:shd w:val="clear" w:color="auto" w:fill="FFFFFF"/>
        </w:rPr>
        <w:t>按照绩效自评工作要求，组成以</w:t>
      </w:r>
      <w:r>
        <w:rPr>
          <w:rFonts w:hint="eastAsia" w:ascii="仿宋_GB2312" w:hAnsi="宋体" w:eastAsia="仿宋_GB2312" w:cs="宋体"/>
          <w:sz w:val="32"/>
          <w:szCs w:val="32"/>
          <w:shd w:val="clear" w:color="auto" w:fill="FFFFFF"/>
          <w:lang w:eastAsia="zh-CN"/>
        </w:rPr>
        <w:t>杨才学</w:t>
      </w:r>
      <w:r>
        <w:rPr>
          <w:rFonts w:hint="eastAsia" w:ascii="仿宋_GB2312" w:hAnsi="宋体" w:eastAsia="仿宋_GB2312" w:cs="宋体"/>
          <w:sz w:val="32"/>
          <w:szCs w:val="32"/>
          <w:shd w:val="clear" w:color="auto" w:fill="FFFFFF"/>
        </w:rPr>
        <w:t>志为组长的绩效评价工作小组，对相关的国家法律法规进行了认真学习，掌握政策，根据部门整体收支情况制定了部门整体支出绩效评价实施方案，设计了绩效评价指标体系和问卷调查表。</w:t>
      </w:r>
    </w:p>
    <w:p>
      <w:pPr>
        <w:shd w:val="solid" w:color="FFFFFF" w:fill="auto"/>
        <w:autoSpaceDN w:val="0"/>
        <w:spacing w:line="600" w:lineRule="exact"/>
        <w:jc w:val="left"/>
        <w:rPr>
          <w:rFonts w:hint="eastAsia"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 xml:space="preserve">    </w:t>
      </w:r>
      <w:r>
        <w:rPr>
          <w:rFonts w:hint="eastAsia" w:ascii="仿宋_GB2312" w:hAnsi="宋体" w:eastAsia="仿宋_GB2312" w:cs="宋体"/>
          <w:b/>
          <w:bCs/>
          <w:sz w:val="32"/>
          <w:szCs w:val="32"/>
          <w:shd w:val="clear" w:color="auto" w:fill="FFFFFF"/>
        </w:rPr>
        <w:t>2.</w:t>
      </w:r>
      <w:r>
        <w:rPr>
          <w:rFonts w:hint="eastAsia" w:ascii="仿宋_GB2312" w:hAnsi="宋体" w:eastAsia="仿宋_GB2312" w:cs="宋体"/>
          <w:b/>
          <w:sz w:val="32"/>
          <w:szCs w:val="32"/>
          <w:shd w:val="clear" w:color="auto" w:fill="FFFFFF"/>
        </w:rPr>
        <w:t>组织实施：</w:t>
      </w:r>
      <w:r>
        <w:rPr>
          <w:rFonts w:hint="eastAsia" w:ascii="仿宋_GB2312" w:hAnsi="宋体" w:eastAsia="仿宋_GB2312" w:cs="宋体"/>
          <w:sz w:val="32"/>
          <w:szCs w:val="32"/>
          <w:shd w:val="clear" w:color="auto" w:fill="FFFFFF"/>
        </w:rPr>
        <w:t>采用核查法核查201</w:t>
      </w:r>
      <w:r>
        <w:rPr>
          <w:rFonts w:hint="eastAsia" w:ascii="仿宋_GB2312" w:hAnsi="宋体" w:eastAsia="仿宋_GB2312" w:cs="宋体"/>
          <w:sz w:val="32"/>
          <w:szCs w:val="32"/>
          <w:shd w:val="clear" w:color="auto" w:fill="FFFFFF"/>
          <w:lang w:val="en-US" w:eastAsia="zh-CN"/>
        </w:rPr>
        <w:t>6</w:t>
      </w:r>
      <w:r>
        <w:rPr>
          <w:rFonts w:hint="eastAsia" w:ascii="仿宋_GB2312" w:hAnsi="宋体" w:eastAsia="仿宋_GB2312" w:cs="宋体"/>
          <w:sz w:val="32"/>
          <w:szCs w:val="32"/>
          <w:shd w:val="clear" w:color="auto" w:fill="FFFFFF"/>
        </w:rPr>
        <w:t>年同级财政预算批复执行及部门整体支出情况，着重核查了“三公”经费及资产管理、内部控制制度情况，对内设机构，根据部门职能和年初制定的绩效考核目标，进行了实地绩效考评。针对人防部门工作职能和履职情况，进行了社会问卷调查。</w:t>
      </w:r>
    </w:p>
    <w:p>
      <w:pPr>
        <w:shd w:val="solid" w:color="FFFFFF" w:fill="auto"/>
        <w:autoSpaceDN w:val="0"/>
        <w:spacing w:line="600" w:lineRule="exact"/>
        <w:ind w:firstLine="636" w:firstLineChars="200"/>
        <w:jc w:val="left"/>
        <w:rPr>
          <w:rFonts w:hint="eastAsia" w:ascii="仿宋_GB2312" w:hAnsi="宋体" w:eastAsia="仿宋_GB2312" w:cs="宋体"/>
          <w:sz w:val="32"/>
          <w:szCs w:val="32"/>
          <w:shd w:val="clear" w:color="auto" w:fill="FFFFFF"/>
        </w:rPr>
      </w:pPr>
      <w:r>
        <w:rPr>
          <w:rFonts w:hint="eastAsia" w:ascii="仿宋_GB2312" w:hAnsi="宋体" w:eastAsia="仿宋_GB2312" w:cs="宋体"/>
          <w:b/>
          <w:bCs/>
          <w:sz w:val="32"/>
          <w:szCs w:val="32"/>
          <w:shd w:val="clear" w:color="auto" w:fill="FFFFFF"/>
        </w:rPr>
        <w:t>3.</w:t>
      </w:r>
      <w:r>
        <w:rPr>
          <w:rFonts w:hint="eastAsia" w:ascii="仿宋_GB2312" w:hAnsi="宋体" w:eastAsia="仿宋_GB2312" w:cs="宋体"/>
          <w:b/>
          <w:sz w:val="32"/>
          <w:szCs w:val="32"/>
          <w:shd w:val="clear" w:color="auto" w:fill="FFFFFF"/>
        </w:rPr>
        <w:t>分析评价：</w:t>
      </w:r>
      <w:r>
        <w:rPr>
          <w:rFonts w:hint="eastAsia" w:ascii="仿宋_GB2312" w:hAnsi="宋体" w:eastAsia="仿宋_GB2312" w:cs="宋体"/>
          <w:sz w:val="32"/>
          <w:szCs w:val="32"/>
          <w:shd w:val="clear" w:color="auto" w:fill="FFFFFF"/>
        </w:rPr>
        <w:t>对评价过程中收集资料进行归纳，汇总分析，依据设定的部门整体支出绩效评价指标体系进行了评分，形成了综合性书面报告。</w:t>
      </w:r>
    </w:p>
    <w:p>
      <w:pPr>
        <w:shd w:val="solid" w:color="FFFFFF" w:fill="auto"/>
        <w:autoSpaceDN w:val="0"/>
        <w:spacing w:line="620" w:lineRule="exact"/>
        <w:ind w:firstLine="636" w:firstLineChars="200"/>
        <w:rPr>
          <w:rFonts w:hint="eastAsia" w:ascii="黑体" w:hAnsi="宋体" w:eastAsia="黑体" w:cs="宋体"/>
          <w:b/>
          <w:sz w:val="32"/>
          <w:szCs w:val="32"/>
          <w:shd w:val="clear" w:color="auto" w:fill="FFFFFF"/>
        </w:rPr>
      </w:pPr>
      <w:r>
        <w:rPr>
          <w:rFonts w:hint="eastAsia" w:ascii="黑体" w:hAnsi="宋体" w:eastAsia="黑体" w:cs="宋体"/>
          <w:b/>
          <w:sz w:val="32"/>
          <w:szCs w:val="32"/>
          <w:shd w:val="clear" w:color="auto" w:fill="FFFFFF"/>
        </w:rPr>
        <w:t>三、部门整体支出管理和使用情况分析</w:t>
      </w:r>
    </w:p>
    <w:p>
      <w:pPr>
        <w:shd w:val="solid" w:color="FFFFFF" w:fill="auto"/>
        <w:autoSpaceDN w:val="0"/>
        <w:spacing w:line="620" w:lineRule="exact"/>
        <w:ind w:firstLine="477" w:firstLineChars="15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shd w:val="clear" w:color="auto" w:fill="FFFFFF"/>
        </w:rPr>
        <w:t>（一）</w:t>
      </w:r>
      <w:r>
        <w:rPr>
          <w:rFonts w:hint="eastAsia" w:ascii="楷体_GB2312" w:hAnsi="楷体_GB2312" w:eastAsia="楷体_GB2312" w:cs="楷体_GB2312"/>
          <w:b/>
          <w:bCs/>
          <w:sz w:val="32"/>
          <w:szCs w:val="32"/>
        </w:rPr>
        <w:t>部门整体支出情况分析</w:t>
      </w:r>
    </w:p>
    <w:p>
      <w:pPr>
        <w:shd w:val="solid" w:color="FFFFFF" w:fill="auto"/>
        <w:autoSpaceDN w:val="0"/>
        <w:spacing w:line="600" w:lineRule="exact"/>
        <w:ind w:firstLine="636" w:firstLineChars="200"/>
        <w:jc w:val="left"/>
        <w:rPr>
          <w:rFonts w:hint="eastAsia" w:ascii="仿宋_GB2312" w:hAnsi="宋体" w:eastAsia="仿宋_GB2312" w:cs="宋体"/>
          <w:sz w:val="32"/>
          <w:szCs w:val="32"/>
          <w:shd w:val="clear" w:color="auto" w:fill="FFFFFF"/>
        </w:rPr>
      </w:pPr>
      <w:r>
        <w:rPr>
          <w:rFonts w:hint="eastAsia" w:ascii="仿宋_GB2312" w:hAnsi="宋体" w:eastAsia="仿宋_GB2312" w:cs="宋体"/>
          <w:b/>
          <w:bCs/>
          <w:sz w:val="32"/>
          <w:szCs w:val="32"/>
          <w:shd w:val="clear" w:color="auto" w:fill="FFFFFF"/>
        </w:rPr>
        <w:t>1.部门整体支出情况分析</w:t>
      </w:r>
      <w:r>
        <w:rPr>
          <w:rFonts w:hint="eastAsia" w:ascii="仿宋_GB2312" w:hAnsi="宋体" w:eastAsia="仿宋_GB2312" w:cs="宋体"/>
          <w:sz w:val="32"/>
          <w:szCs w:val="32"/>
          <w:shd w:val="clear" w:color="auto" w:fill="FFFFFF"/>
        </w:rPr>
        <w:t>：201</w:t>
      </w:r>
      <w:r>
        <w:rPr>
          <w:rFonts w:hint="eastAsia" w:ascii="仿宋_GB2312" w:hAnsi="宋体" w:eastAsia="仿宋_GB2312" w:cs="宋体"/>
          <w:sz w:val="32"/>
          <w:szCs w:val="32"/>
          <w:shd w:val="clear" w:color="auto" w:fill="FFFFFF"/>
          <w:lang w:val="en-US" w:eastAsia="zh-CN"/>
        </w:rPr>
        <w:t>6</w:t>
      </w:r>
      <w:r>
        <w:rPr>
          <w:rFonts w:hint="eastAsia" w:ascii="仿宋_GB2312" w:hAnsi="宋体" w:eastAsia="仿宋_GB2312" w:cs="宋体"/>
          <w:sz w:val="32"/>
          <w:szCs w:val="32"/>
          <w:shd w:val="clear" w:color="auto" w:fill="FFFFFF"/>
        </w:rPr>
        <w:t>年</w:t>
      </w:r>
      <w:r>
        <w:rPr>
          <w:rFonts w:hint="eastAsia" w:ascii="仿宋_GB2312" w:hAnsi="宋体" w:eastAsia="仿宋_GB2312" w:cs="宋体"/>
          <w:sz w:val="32"/>
          <w:szCs w:val="32"/>
          <w:shd w:val="clear" w:color="auto" w:fill="FFFFFF"/>
          <w:lang w:eastAsia="zh-CN"/>
        </w:rPr>
        <w:t>区政协</w:t>
      </w:r>
      <w:r>
        <w:rPr>
          <w:rFonts w:hint="eastAsia" w:ascii="仿宋_GB2312" w:hAnsi="宋体" w:eastAsia="仿宋_GB2312" w:cs="宋体"/>
          <w:sz w:val="32"/>
          <w:szCs w:val="32"/>
          <w:shd w:val="clear" w:color="auto" w:fill="FFFFFF"/>
        </w:rPr>
        <w:t>整体支出</w:t>
      </w:r>
      <w:r>
        <w:rPr>
          <w:rFonts w:hint="eastAsia" w:ascii="仿宋_GB2312" w:hAnsi="宋体" w:eastAsia="仿宋_GB2312" w:cs="宋体"/>
          <w:sz w:val="32"/>
          <w:szCs w:val="32"/>
          <w:shd w:val="clear" w:color="auto" w:fill="FFFFFF"/>
          <w:lang w:val="en-US" w:eastAsia="zh-CN"/>
        </w:rPr>
        <w:t>283.4</w:t>
      </w:r>
      <w:r>
        <w:rPr>
          <w:rFonts w:hint="eastAsia" w:ascii="仿宋_GB2312" w:hAnsi="宋体" w:eastAsia="仿宋_GB2312" w:cs="宋体"/>
          <w:sz w:val="32"/>
          <w:szCs w:val="32"/>
          <w:shd w:val="clear" w:color="auto" w:fill="FFFFFF"/>
        </w:rPr>
        <w:t>万元，其中基本支出</w:t>
      </w:r>
      <w:r>
        <w:rPr>
          <w:rFonts w:hint="eastAsia" w:ascii="仿宋_GB2312" w:hAnsi="宋体" w:eastAsia="仿宋_GB2312" w:cs="宋体"/>
          <w:sz w:val="32"/>
          <w:szCs w:val="32"/>
          <w:shd w:val="clear" w:color="auto" w:fill="FFFFFF"/>
          <w:lang w:val="en-US" w:eastAsia="zh-CN"/>
        </w:rPr>
        <w:t>240.8</w:t>
      </w:r>
      <w:r>
        <w:rPr>
          <w:rFonts w:hint="eastAsia" w:ascii="仿宋_GB2312" w:hAnsi="宋体" w:eastAsia="仿宋_GB2312" w:cs="宋体"/>
          <w:sz w:val="32"/>
          <w:szCs w:val="32"/>
          <w:shd w:val="clear" w:color="auto" w:fill="FFFFFF"/>
        </w:rPr>
        <w:t>万元，占总支出</w:t>
      </w:r>
      <w:r>
        <w:rPr>
          <w:rFonts w:hint="eastAsia" w:ascii="仿宋_GB2312" w:hAnsi="宋体" w:eastAsia="仿宋_GB2312" w:cs="宋体"/>
          <w:sz w:val="32"/>
          <w:szCs w:val="32"/>
          <w:shd w:val="clear" w:color="auto" w:fill="FFFFFF"/>
          <w:lang w:val="en-US" w:eastAsia="zh-CN"/>
        </w:rPr>
        <w:t>85</w:t>
      </w:r>
      <w:r>
        <w:rPr>
          <w:rFonts w:hint="eastAsia" w:ascii="仿宋_GB2312" w:hAnsi="宋体" w:eastAsia="仿宋_GB2312" w:cs="宋体"/>
          <w:sz w:val="32"/>
          <w:szCs w:val="32"/>
          <w:shd w:val="clear" w:color="auto" w:fill="FFFFFF"/>
        </w:rPr>
        <w:t>%，人员支出</w:t>
      </w:r>
      <w:r>
        <w:rPr>
          <w:rFonts w:hint="eastAsia" w:ascii="仿宋_GB2312" w:hAnsi="宋体" w:eastAsia="仿宋_GB2312" w:cs="宋体"/>
          <w:sz w:val="32"/>
          <w:szCs w:val="32"/>
          <w:shd w:val="clear" w:color="auto" w:fill="FFFFFF"/>
          <w:lang w:val="en-US" w:eastAsia="zh-CN"/>
        </w:rPr>
        <w:t>137.65</w:t>
      </w:r>
      <w:r>
        <w:rPr>
          <w:rFonts w:hint="eastAsia" w:ascii="仿宋_GB2312" w:hAnsi="宋体" w:eastAsia="仿宋_GB2312" w:cs="宋体"/>
          <w:sz w:val="32"/>
          <w:szCs w:val="32"/>
          <w:shd w:val="clear" w:color="auto" w:fill="FFFFFF"/>
        </w:rPr>
        <w:t>万元占基本支出</w:t>
      </w:r>
      <w:r>
        <w:rPr>
          <w:rFonts w:hint="eastAsia" w:ascii="仿宋_GB2312" w:hAnsi="宋体" w:eastAsia="仿宋_GB2312" w:cs="宋体"/>
          <w:sz w:val="32"/>
          <w:szCs w:val="32"/>
          <w:shd w:val="clear" w:color="auto" w:fill="FFFFFF"/>
          <w:lang w:val="en-US" w:eastAsia="zh-CN"/>
        </w:rPr>
        <w:t>57.2</w:t>
      </w:r>
      <w:r>
        <w:rPr>
          <w:rFonts w:hint="eastAsia" w:ascii="仿宋_GB2312" w:hAnsi="宋体" w:eastAsia="仿宋_GB2312" w:cs="宋体"/>
          <w:sz w:val="32"/>
          <w:szCs w:val="32"/>
          <w:shd w:val="clear" w:color="auto" w:fill="FFFFFF"/>
        </w:rPr>
        <w:t>%，公用支出</w:t>
      </w:r>
      <w:r>
        <w:rPr>
          <w:rFonts w:hint="eastAsia" w:ascii="仿宋_GB2312" w:hAnsi="宋体" w:eastAsia="仿宋_GB2312" w:cs="宋体"/>
          <w:sz w:val="32"/>
          <w:szCs w:val="32"/>
          <w:shd w:val="clear" w:color="auto" w:fill="FFFFFF"/>
          <w:lang w:val="en-US" w:eastAsia="zh-CN"/>
        </w:rPr>
        <w:t>103.15</w:t>
      </w:r>
      <w:r>
        <w:rPr>
          <w:rFonts w:hint="eastAsia" w:ascii="仿宋_GB2312" w:hAnsi="宋体" w:eastAsia="仿宋_GB2312" w:cs="宋体"/>
          <w:sz w:val="32"/>
          <w:szCs w:val="32"/>
          <w:shd w:val="clear" w:color="auto" w:fill="FFFFFF"/>
        </w:rPr>
        <w:t>万元占基本支出</w:t>
      </w:r>
      <w:r>
        <w:rPr>
          <w:rFonts w:hint="eastAsia" w:ascii="仿宋_GB2312" w:hAnsi="宋体" w:eastAsia="仿宋_GB2312" w:cs="宋体"/>
          <w:sz w:val="32"/>
          <w:szCs w:val="32"/>
          <w:shd w:val="clear" w:color="auto" w:fill="FFFFFF"/>
          <w:lang w:val="en-US" w:eastAsia="zh-CN"/>
        </w:rPr>
        <w:t>41.8</w:t>
      </w:r>
      <w:r>
        <w:rPr>
          <w:rFonts w:hint="eastAsia" w:ascii="仿宋_GB2312" w:hAnsi="宋体" w:eastAsia="仿宋_GB2312" w:cs="宋体"/>
          <w:sz w:val="32"/>
          <w:szCs w:val="32"/>
          <w:shd w:val="clear" w:color="auto" w:fill="FFFFFF"/>
        </w:rPr>
        <w:t>%，项目支出</w:t>
      </w:r>
      <w:r>
        <w:rPr>
          <w:rFonts w:hint="eastAsia" w:ascii="仿宋_GB2312" w:hAnsi="宋体" w:eastAsia="仿宋_GB2312" w:cs="宋体"/>
          <w:sz w:val="32"/>
          <w:szCs w:val="32"/>
          <w:shd w:val="clear" w:color="auto" w:fill="FFFFFF"/>
          <w:lang w:val="en-US" w:eastAsia="zh-CN"/>
        </w:rPr>
        <w:t>42.6</w:t>
      </w:r>
      <w:r>
        <w:rPr>
          <w:rFonts w:hint="eastAsia" w:ascii="仿宋_GB2312" w:hAnsi="宋体" w:eastAsia="仿宋_GB2312" w:cs="宋体"/>
          <w:sz w:val="32"/>
          <w:szCs w:val="32"/>
          <w:shd w:val="clear" w:color="auto" w:fill="FFFFFF"/>
        </w:rPr>
        <w:t>万元，占总支出</w:t>
      </w:r>
      <w:r>
        <w:rPr>
          <w:rFonts w:hint="eastAsia" w:ascii="仿宋_GB2312" w:hAnsi="宋体" w:eastAsia="仿宋_GB2312" w:cs="宋体"/>
          <w:sz w:val="32"/>
          <w:szCs w:val="32"/>
          <w:shd w:val="clear" w:color="auto" w:fill="FFFFFF"/>
          <w:lang w:val="en-US" w:eastAsia="zh-CN"/>
        </w:rPr>
        <w:t>15</w:t>
      </w:r>
      <w:r>
        <w:rPr>
          <w:rFonts w:hint="eastAsia" w:ascii="仿宋_GB2312" w:hAnsi="宋体" w:eastAsia="仿宋_GB2312" w:cs="宋体"/>
          <w:sz w:val="32"/>
          <w:szCs w:val="32"/>
          <w:shd w:val="clear" w:color="auto" w:fill="FFFFFF"/>
        </w:rPr>
        <w:t>% ，</w:t>
      </w:r>
      <w:r>
        <w:rPr>
          <w:rFonts w:hint="eastAsia" w:ascii="仿宋_GB2312" w:hAnsi="宋体" w:eastAsia="仿宋_GB2312" w:cs="宋体"/>
          <w:sz w:val="32"/>
          <w:szCs w:val="28"/>
        </w:rPr>
        <w:t>明细情况如下：</w:t>
      </w:r>
    </w:p>
    <w:p>
      <w:pPr>
        <w:tabs>
          <w:tab w:val="center" w:pos="4153"/>
        </w:tabs>
        <w:spacing w:line="600" w:lineRule="exact"/>
        <w:ind w:firstLine="636" w:firstLineChars="200"/>
        <w:jc w:val="left"/>
        <w:rPr>
          <w:rFonts w:hint="eastAsia" w:ascii="仿宋_GB2312" w:hAnsi="宋体" w:eastAsia="仿宋_GB2312" w:cs="宋体"/>
          <w:sz w:val="32"/>
          <w:szCs w:val="28"/>
        </w:rPr>
      </w:pPr>
      <w:r>
        <w:rPr>
          <w:rFonts w:hint="eastAsia" w:ascii="仿宋_GB2312" w:hAnsi="仿宋_GB2312" w:eastAsia="仿宋_GB2312" w:cs="仿宋_GB2312"/>
          <w:b/>
          <w:bCs/>
          <w:sz w:val="32"/>
          <w:szCs w:val="32"/>
        </w:rPr>
        <w:t>2</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“三公</w:t>
      </w:r>
      <w:r>
        <w:rPr>
          <w:rFonts w:hint="eastAsia" w:ascii="仿宋_GB2312" w:hAnsi="仿宋_GB2312" w:eastAsia="仿宋_GB2312" w:cs="仿宋_GB2312"/>
          <w:b/>
          <w:bCs/>
          <w:sz w:val="32"/>
          <w:szCs w:val="32"/>
        </w:rPr>
        <w:t>经费”支出情况分析：</w:t>
      </w:r>
      <w:r>
        <w:rPr>
          <w:rFonts w:hint="eastAsia" w:ascii="仿宋_GB2312" w:hAnsi="仿宋_GB2312" w:eastAsia="仿宋_GB2312" w:cs="仿宋_GB2312"/>
          <w:sz w:val="32"/>
          <w:szCs w:val="32"/>
        </w:rPr>
        <w:t>2</w:t>
      </w:r>
      <w:r>
        <w:rPr>
          <w:rFonts w:hint="eastAsia" w:ascii="仿宋_GB2312" w:hAnsi="宋体" w:eastAsia="仿宋_GB2312" w:cs="宋体"/>
          <w:sz w:val="32"/>
          <w:szCs w:val="28"/>
        </w:rPr>
        <w:t>01</w:t>
      </w:r>
      <w:r>
        <w:rPr>
          <w:rFonts w:hint="eastAsia" w:ascii="仿宋_GB2312" w:hAnsi="宋体" w:eastAsia="仿宋_GB2312" w:cs="宋体"/>
          <w:sz w:val="32"/>
          <w:szCs w:val="28"/>
          <w:lang w:val="en-US" w:eastAsia="zh-CN"/>
        </w:rPr>
        <w:t>6</w:t>
      </w:r>
      <w:r>
        <w:rPr>
          <w:rFonts w:hint="eastAsia" w:ascii="仿宋_GB2312" w:hAnsi="宋体" w:eastAsia="仿宋_GB2312" w:cs="宋体"/>
          <w:sz w:val="32"/>
          <w:szCs w:val="28"/>
        </w:rPr>
        <w:t>年</w:t>
      </w:r>
      <w:r>
        <w:rPr>
          <w:rFonts w:hint="eastAsia" w:ascii="仿宋_GB2312" w:hAnsi="宋体" w:eastAsia="仿宋_GB2312" w:cs="宋体"/>
          <w:sz w:val="32"/>
          <w:szCs w:val="28"/>
          <w:lang w:eastAsia="zh-CN"/>
        </w:rPr>
        <w:t>区政协</w:t>
      </w:r>
      <w:r>
        <w:rPr>
          <w:rFonts w:hint="eastAsia" w:ascii="仿宋_GB2312" w:hAnsi="宋体" w:eastAsia="仿宋_GB2312" w:cs="宋体"/>
          <w:sz w:val="32"/>
          <w:szCs w:val="28"/>
        </w:rPr>
        <w:t>“三公经费”预算拨入</w:t>
      </w:r>
      <w:r>
        <w:rPr>
          <w:rFonts w:hint="eastAsia" w:ascii="仿宋_GB2312" w:hAnsi="宋体" w:eastAsia="仿宋_GB2312" w:cs="宋体"/>
          <w:sz w:val="32"/>
          <w:szCs w:val="28"/>
          <w:lang w:val="en-US" w:eastAsia="zh-CN"/>
        </w:rPr>
        <w:t>63.59</w:t>
      </w:r>
      <w:r>
        <w:rPr>
          <w:rFonts w:hint="eastAsia" w:ascii="仿宋_GB2312" w:hAnsi="宋体" w:eastAsia="仿宋_GB2312" w:cs="宋体"/>
          <w:sz w:val="32"/>
          <w:szCs w:val="28"/>
        </w:rPr>
        <w:t>万元，实际开支</w:t>
      </w:r>
      <w:r>
        <w:rPr>
          <w:rFonts w:hint="eastAsia" w:ascii="仿宋_GB2312" w:hAnsi="宋体" w:eastAsia="仿宋_GB2312" w:cs="宋体"/>
          <w:sz w:val="32"/>
          <w:szCs w:val="28"/>
          <w:lang w:val="en-US" w:eastAsia="zh-CN"/>
        </w:rPr>
        <w:t>41.7</w:t>
      </w:r>
      <w:r>
        <w:rPr>
          <w:rFonts w:hint="eastAsia" w:ascii="仿宋_GB2312" w:hAnsi="宋体" w:eastAsia="仿宋_GB2312" w:cs="宋体"/>
          <w:sz w:val="32"/>
          <w:szCs w:val="28"/>
        </w:rPr>
        <w:t>元。</w:t>
      </w:r>
    </w:p>
    <w:p>
      <w:pPr>
        <w:tabs>
          <w:tab w:val="center" w:pos="4153"/>
        </w:tabs>
        <w:spacing w:line="600" w:lineRule="exact"/>
        <w:ind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公务卡刷卡情况分析</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区政协</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6</w:t>
      </w:r>
      <w:bookmarkStart w:id="1" w:name="_GoBack"/>
      <w:bookmarkEnd w:id="1"/>
      <w:r>
        <w:rPr>
          <w:rFonts w:hint="eastAsia" w:ascii="仿宋_GB2312" w:hAnsi="仿宋_GB2312" w:eastAsia="仿宋_GB2312" w:cs="仿宋_GB2312"/>
          <w:sz w:val="32"/>
          <w:szCs w:val="32"/>
        </w:rPr>
        <w:t>年公务刷卡消费金额</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万元，公务消费卡使用占授权支付额度的</w:t>
      </w:r>
      <w:r>
        <w:rPr>
          <w:rFonts w:hint="eastAsia" w:ascii="仿宋_GB2312" w:hAnsi="仿宋_GB2312" w:eastAsia="仿宋_GB2312" w:cs="仿宋_GB2312"/>
          <w:sz w:val="32"/>
          <w:szCs w:val="32"/>
          <w:lang w:val="en-US" w:eastAsia="zh-CN"/>
        </w:rPr>
        <w:t>85</w:t>
      </w:r>
      <w:r>
        <w:rPr>
          <w:rFonts w:hint="eastAsia" w:ascii="仿宋_GB2312" w:hAnsi="仿宋_GB2312" w:eastAsia="仿宋_GB2312" w:cs="仿宋_GB2312"/>
          <w:sz w:val="32"/>
          <w:szCs w:val="32"/>
        </w:rPr>
        <w:t>%。</w:t>
      </w:r>
    </w:p>
    <w:p>
      <w:pPr>
        <w:tabs>
          <w:tab w:val="center" w:pos="4153"/>
        </w:tabs>
        <w:spacing w:line="600" w:lineRule="exact"/>
        <w:jc w:val="left"/>
        <w:rPr>
          <w:rFonts w:hint="eastAsia" w:ascii="仿宋_GB2312" w:hAnsi="宋体" w:eastAsia="仿宋_GB2312" w:cs="宋体"/>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4.固定资产管理情况分析</w:t>
      </w:r>
      <w:r>
        <w:rPr>
          <w:rFonts w:hint="eastAsia" w:ascii="仿宋_GB2312" w:hAnsi="仿宋_GB2312" w:eastAsia="仿宋_GB2312" w:cs="仿宋_GB2312"/>
          <w:sz w:val="32"/>
          <w:szCs w:val="32"/>
        </w:rPr>
        <w:t>：按照例行节约，物尽其用的原则，人防部门资产管理采取统一建账，统一核算管理，对每件固定资产使用明确保管职责，闲置的资产，由办公室统一调整，合理流动，发挥其效益；至20</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年12月末固定资产</w:t>
      </w:r>
      <w:r>
        <w:rPr>
          <w:rFonts w:hint="eastAsia" w:ascii="仿宋_GB2312" w:hAnsi="仿宋_GB2312" w:eastAsia="仿宋_GB2312" w:cs="仿宋_GB2312"/>
          <w:sz w:val="32"/>
          <w:szCs w:val="32"/>
          <w:lang w:val="en-US" w:eastAsia="zh-CN"/>
        </w:rPr>
        <w:t>79.2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2016年按资产处置报废程序，报废固定资产3910元。</w:t>
      </w:r>
      <w:r>
        <w:rPr>
          <w:rFonts w:hint="eastAsia" w:ascii="仿宋_GB2312" w:hAnsi="仿宋_GB2312" w:eastAsia="仿宋_GB2312" w:cs="仿宋_GB2312"/>
          <w:sz w:val="32"/>
          <w:szCs w:val="32"/>
        </w:rPr>
        <w:t>按国家规定的审批程序办理，保证了</w:t>
      </w:r>
      <w:r>
        <w:rPr>
          <w:rFonts w:hint="eastAsia" w:ascii="仿宋_GB2312" w:hAnsi="宋体" w:eastAsia="仿宋_GB2312" w:cs="宋体"/>
          <w:sz w:val="32"/>
          <w:szCs w:val="32"/>
        </w:rPr>
        <w:t>资产的安全高效，防止资产流失。</w:t>
      </w:r>
    </w:p>
    <w:p>
      <w:pPr>
        <w:tabs>
          <w:tab w:val="center" w:pos="4153"/>
        </w:tabs>
        <w:spacing w:line="540" w:lineRule="exact"/>
        <w:ind w:firstLine="624" w:firstLineChars="196"/>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（二）部门整体支出管理情况分析</w:t>
      </w:r>
    </w:p>
    <w:p>
      <w:pPr>
        <w:tabs>
          <w:tab w:val="center" w:pos="4153"/>
        </w:tabs>
        <w:spacing w:line="540" w:lineRule="exact"/>
        <w:ind w:firstLine="636" w:firstLineChars="200"/>
        <w:jc w:val="left"/>
        <w:rPr>
          <w:rFonts w:hint="eastAsia" w:ascii="仿宋_GB2312" w:hAnsi="宋体" w:eastAsia="仿宋_GB2312" w:cs="宋体"/>
          <w:sz w:val="32"/>
          <w:szCs w:val="32"/>
        </w:rPr>
      </w:pPr>
      <w:r>
        <w:rPr>
          <w:rFonts w:hint="eastAsia" w:ascii="仿宋_GB2312" w:hAnsi="宋体" w:eastAsia="仿宋_GB2312" w:cs="宋体"/>
          <w:b/>
          <w:bCs/>
          <w:sz w:val="32"/>
          <w:szCs w:val="32"/>
        </w:rPr>
        <w:t>1.</w:t>
      </w:r>
      <w:r>
        <w:rPr>
          <w:rFonts w:hint="eastAsia" w:ascii="仿宋_GB2312" w:hAnsi="宋体" w:eastAsia="仿宋_GB2312" w:cs="宋体"/>
          <w:sz w:val="32"/>
          <w:szCs w:val="32"/>
        </w:rPr>
        <w:t>严格预算支出管理。在支出预算编制上，人员经费按照配置定额，逐人核定编制，公用经费分类分档，按定额编制；根据“总量控制、计划管理”的要求从严控制行政经费，压缩公务费开支，严格控制“三公”经费，资产的配置严格政府采购，按照预算科目和项目资金的规定使用财政资金，保障部门整体支出的规范化、制度化。</w:t>
      </w:r>
    </w:p>
    <w:p>
      <w:pPr>
        <w:tabs>
          <w:tab w:val="center" w:pos="4153"/>
        </w:tabs>
        <w:spacing w:line="540" w:lineRule="exact"/>
        <w:ind w:firstLine="636" w:firstLineChars="200"/>
        <w:jc w:val="left"/>
        <w:rPr>
          <w:rFonts w:hint="eastAsia" w:ascii="仿宋_GB2312" w:hAnsi="宋体" w:eastAsia="仿宋_GB2312" w:cs="宋体"/>
          <w:sz w:val="32"/>
          <w:szCs w:val="32"/>
        </w:rPr>
      </w:pPr>
      <w:r>
        <w:rPr>
          <w:rFonts w:hint="eastAsia" w:ascii="仿宋_GB2312" w:hAnsi="宋体" w:eastAsia="仿宋_GB2312" w:cs="宋体"/>
          <w:b/>
          <w:bCs/>
          <w:sz w:val="32"/>
          <w:szCs w:val="32"/>
        </w:rPr>
        <w:t>2.</w:t>
      </w:r>
      <w:r>
        <w:rPr>
          <w:rFonts w:hint="eastAsia" w:ascii="仿宋_GB2312" w:hAnsi="宋体" w:eastAsia="仿宋_GB2312" w:cs="宋体"/>
          <w:sz w:val="32"/>
          <w:szCs w:val="32"/>
        </w:rPr>
        <w:t>财务管理上，按照国家相关法律法规，制定了机关财务、公物购置使用、接待、会务、因公出国、车辆使用等管理制度，并严格按照制度管理和执行，防范风险，保证财政资金的安全和高效运行。</w:t>
      </w:r>
    </w:p>
    <w:p>
      <w:pPr>
        <w:tabs>
          <w:tab w:val="center" w:pos="4153"/>
        </w:tabs>
        <w:spacing w:line="540" w:lineRule="exact"/>
        <w:ind w:firstLine="636" w:firstLineChars="200"/>
        <w:rPr>
          <w:rFonts w:hint="eastAsia" w:ascii="黑体" w:hAnsi="宋体" w:eastAsia="黑体" w:cs="宋体"/>
          <w:b/>
          <w:sz w:val="32"/>
          <w:szCs w:val="32"/>
        </w:rPr>
      </w:pPr>
      <w:r>
        <w:rPr>
          <w:rFonts w:hint="eastAsia" w:ascii="黑体" w:hAnsi="宋体" w:eastAsia="黑体" w:cs="宋体"/>
          <w:b/>
          <w:sz w:val="32"/>
          <w:szCs w:val="32"/>
          <w:lang w:eastAsia="zh-CN"/>
        </w:rPr>
        <w:t>四</w:t>
      </w:r>
      <w:r>
        <w:rPr>
          <w:rFonts w:hint="eastAsia" w:ascii="黑体" w:hAnsi="宋体" w:eastAsia="黑体" w:cs="宋体"/>
          <w:b/>
          <w:sz w:val="32"/>
          <w:szCs w:val="32"/>
        </w:rPr>
        <w:t>、综合评价及结论</w:t>
      </w:r>
    </w:p>
    <w:p>
      <w:pPr>
        <w:tabs>
          <w:tab w:val="center" w:pos="4153"/>
        </w:tabs>
        <w:spacing w:line="540" w:lineRule="exact"/>
        <w:ind w:firstLine="636"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lang w:eastAsia="zh-CN"/>
        </w:rPr>
        <w:t>根据考核考评分细则，考评组认为区政协</w:t>
      </w:r>
      <w:r>
        <w:rPr>
          <w:rFonts w:hint="eastAsia" w:ascii="仿宋_GB2312" w:hAnsi="宋体" w:eastAsia="仿宋_GB2312" w:cs="宋体"/>
          <w:sz w:val="32"/>
          <w:szCs w:val="32"/>
          <w:lang w:val="en-US" w:eastAsia="zh-CN"/>
        </w:rPr>
        <w:t>2015年整体支出，严格按照国家的相信关财务管理制度规定，财务制度健全、会计核算规范，依照计划管理使用，</w:t>
      </w:r>
      <w:r>
        <w:rPr>
          <w:rFonts w:hint="eastAsia" w:ascii="仿宋_GB2312" w:hAnsi="宋体" w:eastAsia="仿宋_GB2312" w:cs="宋体"/>
          <w:sz w:val="32"/>
          <w:szCs w:val="32"/>
        </w:rPr>
        <w:t>贯彻执行国家和省办方针、政策、法律法规，发挥了重要作用，强化部门的责任，</w:t>
      </w:r>
      <w:r>
        <w:rPr>
          <w:rFonts w:hint="eastAsia" w:ascii="仿宋_GB2312" w:hAnsi="宋体" w:eastAsia="仿宋_GB2312" w:cs="宋体"/>
          <w:sz w:val="32"/>
          <w:szCs w:val="32"/>
          <w:lang w:eastAsia="zh-CN"/>
        </w:rPr>
        <w:t>工作取得了</w:t>
      </w:r>
      <w:r>
        <w:rPr>
          <w:rFonts w:hint="eastAsia" w:ascii="仿宋_GB2312" w:hAnsi="宋体" w:eastAsia="仿宋_GB2312" w:cs="宋体"/>
          <w:sz w:val="32"/>
          <w:szCs w:val="32"/>
        </w:rPr>
        <w:t>设取得了一定的成绩，确保全</w:t>
      </w:r>
      <w:r>
        <w:rPr>
          <w:rFonts w:hint="eastAsia" w:ascii="仿宋_GB2312" w:hAnsi="宋体" w:eastAsia="仿宋_GB2312" w:cs="宋体"/>
          <w:sz w:val="32"/>
          <w:szCs w:val="32"/>
          <w:lang w:eastAsia="zh-CN"/>
        </w:rPr>
        <w:t>区</w:t>
      </w:r>
      <w:r>
        <w:rPr>
          <w:rFonts w:hint="eastAsia" w:ascii="仿宋_GB2312" w:hAnsi="宋体" w:eastAsia="仿宋_GB2312" w:cs="宋体"/>
          <w:sz w:val="32"/>
          <w:szCs w:val="32"/>
        </w:rPr>
        <w:t>各项社会稳定，为科学发展城市重要经济目标的提供了优质的政务环境保障。</w:t>
      </w:r>
    </w:p>
    <w:p>
      <w:pPr>
        <w:tabs>
          <w:tab w:val="center" w:pos="4153"/>
        </w:tabs>
        <w:spacing w:line="540" w:lineRule="exact"/>
        <w:ind w:firstLine="636" w:firstLineChars="200"/>
        <w:rPr>
          <w:rFonts w:hint="eastAsia" w:ascii="仿宋_GB2312" w:hAnsi="宋体" w:eastAsia="仿宋_GB2312" w:cs="宋体"/>
          <w:b/>
          <w:sz w:val="32"/>
          <w:szCs w:val="32"/>
        </w:rPr>
      </w:pPr>
      <w:r>
        <w:rPr>
          <w:rFonts w:hint="eastAsia" w:ascii="黑体" w:hAnsi="宋体" w:eastAsia="黑体" w:cs="宋体"/>
          <w:b/>
          <w:sz w:val="32"/>
          <w:szCs w:val="32"/>
          <w:lang w:eastAsia="zh-CN"/>
        </w:rPr>
        <w:t>五</w:t>
      </w:r>
      <w:r>
        <w:rPr>
          <w:rFonts w:hint="eastAsia" w:ascii="黑体" w:hAnsi="宋体" w:eastAsia="黑体" w:cs="宋体"/>
          <w:b/>
          <w:sz w:val="32"/>
          <w:szCs w:val="32"/>
        </w:rPr>
        <w:t>、存在的问题</w:t>
      </w:r>
    </w:p>
    <w:p>
      <w:pPr>
        <w:tabs>
          <w:tab w:val="center" w:pos="4153"/>
        </w:tabs>
        <w:spacing w:line="600" w:lineRule="exact"/>
        <w:ind w:firstLine="636" w:firstLineChars="200"/>
        <w:jc w:val="left"/>
        <w:rPr>
          <w:rFonts w:hint="eastAsia" w:ascii="仿宋_GB2312" w:hAnsi="宋体" w:eastAsia="仿宋_GB2312" w:cs="宋体"/>
          <w:bCs/>
          <w:sz w:val="32"/>
          <w:szCs w:val="32"/>
        </w:rPr>
      </w:pPr>
      <w:r>
        <w:rPr>
          <w:rFonts w:hint="eastAsia" w:ascii="仿宋_GB2312" w:hAnsi="宋体" w:eastAsia="仿宋_GB2312" w:cs="宋体"/>
          <w:bCs/>
          <w:sz w:val="32"/>
          <w:szCs w:val="32"/>
          <w:lang w:eastAsia="zh-CN"/>
        </w:rPr>
        <w:t>一</w:t>
      </w:r>
      <w:r>
        <w:rPr>
          <w:rFonts w:hint="eastAsia" w:ascii="仿宋_GB2312" w:hAnsi="宋体" w:eastAsia="仿宋_GB2312" w:cs="宋体"/>
          <w:bCs/>
          <w:sz w:val="32"/>
          <w:szCs w:val="32"/>
        </w:rPr>
        <w:t>预算编制有待更严格执行。预算编制与实际支出项目有的存在差异。</w:t>
      </w:r>
    </w:p>
    <w:p>
      <w:pPr>
        <w:tabs>
          <w:tab w:val="center" w:pos="4153"/>
        </w:tabs>
        <w:spacing w:line="540" w:lineRule="exact"/>
        <w:ind w:firstLine="636" w:firstLineChars="200"/>
        <w:rPr>
          <w:rFonts w:hint="eastAsia" w:ascii="黑体" w:hAnsi="宋体" w:eastAsia="黑体" w:cs="宋体"/>
          <w:b/>
          <w:sz w:val="32"/>
          <w:szCs w:val="32"/>
        </w:rPr>
      </w:pPr>
      <w:r>
        <w:rPr>
          <w:rFonts w:hint="eastAsia" w:ascii="黑体" w:hAnsi="宋体" w:eastAsia="黑体" w:cs="宋体"/>
          <w:b/>
          <w:sz w:val="32"/>
          <w:szCs w:val="32"/>
          <w:lang w:eastAsia="zh-CN"/>
        </w:rPr>
        <w:t>六</w:t>
      </w:r>
      <w:r>
        <w:rPr>
          <w:rFonts w:hint="eastAsia" w:ascii="黑体" w:hAnsi="宋体" w:eastAsia="黑体" w:cs="宋体"/>
          <w:b/>
          <w:sz w:val="32"/>
          <w:szCs w:val="32"/>
        </w:rPr>
        <w:t>、工作建议</w:t>
      </w:r>
    </w:p>
    <w:p>
      <w:pPr>
        <w:tabs>
          <w:tab w:val="center" w:pos="4153"/>
        </w:tabs>
        <w:spacing w:line="540" w:lineRule="exact"/>
        <w:ind w:firstLine="630"/>
        <w:jc w:val="left"/>
        <w:rPr>
          <w:rFonts w:hint="eastAsia" w:ascii="仿宋_GB2312" w:hAnsi="宋体" w:eastAsia="仿宋_GB2312" w:cs="宋体"/>
          <w:b/>
          <w:sz w:val="32"/>
          <w:szCs w:val="32"/>
        </w:rPr>
      </w:pPr>
      <w:r>
        <w:rPr>
          <w:rFonts w:hint="eastAsia" w:ascii="仿宋_GB2312" w:hAnsi="宋体" w:eastAsia="仿宋_GB2312" w:cs="宋体"/>
          <w:b/>
          <w:bCs/>
          <w:sz w:val="32"/>
          <w:szCs w:val="32"/>
        </w:rPr>
        <w:t>一是</w:t>
      </w:r>
      <w:r>
        <w:rPr>
          <w:rFonts w:hint="eastAsia" w:ascii="仿宋_GB2312" w:hAnsi="宋体" w:eastAsia="仿宋_GB2312" w:cs="宋体"/>
          <w:sz w:val="32"/>
          <w:szCs w:val="32"/>
        </w:rPr>
        <w:t>按照预算规定的项目和用途严格财务审核，经费支出严格按预算规定项目的财务支出内容进行财务核算，在预算金额内严格控制费用的支出。</w:t>
      </w:r>
    </w:p>
    <w:p>
      <w:pPr>
        <w:tabs>
          <w:tab w:val="center" w:pos="4153"/>
        </w:tabs>
        <w:spacing w:line="540" w:lineRule="exact"/>
        <w:ind w:firstLine="645"/>
        <w:jc w:val="left"/>
        <w:rPr>
          <w:rFonts w:hint="eastAsia" w:ascii="仿宋_GB2312" w:hAnsi="宋体" w:eastAsia="仿宋_GB2312" w:cs="宋体"/>
          <w:b/>
          <w:sz w:val="32"/>
          <w:szCs w:val="32"/>
          <w:shd w:val="clear" w:color="auto" w:fill="FFFFFF"/>
        </w:rPr>
      </w:pPr>
      <w:r>
        <w:rPr>
          <w:rFonts w:hint="eastAsia" w:ascii="仿宋_GB2312" w:hAnsi="宋体" w:eastAsia="仿宋_GB2312" w:cs="宋体"/>
          <w:b/>
          <w:sz w:val="32"/>
          <w:szCs w:val="32"/>
          <w:shd w:val="clear" w:color="auto" w:fill="FFFFFF"/>
        </w:rPr>
        <w:t>二是</w:t>
      </w:r>
      <w:r>
        <w:rPr>
          <w:rFonts w:hint="eastAsia" w:ascii="仿宋_GB2312" w:hAnsi="宋体" w:eastAsia="仿宋_GB2312" w:cs="宋体"/>
          <w:sz w:val="32"/>
          <w:szCs w:val="32"/>
          <w:shd w:val="clear" w:color="auto" w:fill="FFFFFF"/>
        </w:rPr>
        <w:t>严格控制“三公经费”支出，杜绝挪用和挤占其他预算资金；进一步细化“三公经费”管理，压缩“三公经费”支出。</w:t>
      </w:r>
    </w:p>
    <w:p>
      <w:pPr>
        <w:tabs>
          <w:tab w:val="center" w:pos="4153"/>
        </w:tabs>
        <w:spacing w:line="540" w:lineRule="exact"/>
        <w:ind w:firstLine="645"/>
        <w:jc w:val="left"/>
        <w:rPr>
          <w:rFonts w:hint="eastAsia" w:ascii="仿宋_GB2312" w:hAnsi="宋体" w:eastAsia="仿宋_GB2312" w:cs="宋体"/>
          <w:b/>
          <w:sz w:val="32"/>
          <w:szCs w:val="32"/>
          <w:shd w:val="clear" w:color="auto" w:fill="FFFFFF"/>
        </w:rPr>
      </w:pPr>
      <w:r>
        <w:rPr>
          <w:rFonts w:hint="eastAsia" w:ascii="仿宋_GB2312" w:hAnsi="宋体" w:eastAsia="仿宋_GB2312" w:cs="宋体"/>
          <w:b/>
          <w:bCs/>
          <w:sz w:val="32"/>
          <w:szCs w:val="32"/>
          <w:shd w:val="clear" w:color="auto" w:fill="FFFFFF"/>
        </w:rPr>
        <w:t>三是</w:t>
      </w:r>
      <w:r>
        <w:rPr>
          <w:rFonts w:hint="eastAsia" w:ascii="仿宋_GB2312" w:hAnsi="宋体" w:eastAsia="仿宋_GB2312" w:cs="宋体"/>
          <w:sz w:val="32"/>
          <w:szCs w:val="32"/>
          <w:shd w:val="clear" w:color="auto" w:fill="FFFFFF"/>
        </w:rPr>
        <w:t>预算财务分析常态化，定期做好预算支出财务分析，做好部门整体支出预算评价工作。</w:t>
      </w:r>
    </w:p>
    <w:p>
      <w:pPr>
        <w:tabs>
          <w:tab w:val="center" w:pos="4153"/>
        </w:tabs>
        <w:spacing w:line="540" w:lineRule="exact"/>
        <w:jc w:val="left"/>
        <w:rPr>
          <w:rFonts w:hint="eastAsia" w:ascii="仿宋_GB2312" w:hAnsi="宋体" w:eastAsia="仿宋_GB2312" w:cs="宋体"/>
          <w:sz w:val="32"/>
          <w:szCs w:val="32"/>
          <w:shd w:val="clear" w:color="auto" w:fill="FFFFFF"/>
        </w:rPr>
      </w:pPr>
    </w:p>
    <w:p>
      <w:pPr>
        <w:tabs>
          <w:tab w:val="center" w:pos="4153"/>
        </w:tabs>
        <w:spacing w:line="540" w:lineRule="exact"/>
        <w:jc w:val="left"/>
        <w:rPr>
          <w:rFonts w:hint="eastAsia" w:ascii="仿宋_GB2312" w:hAnsi="宋体" w:eastAsia="仿宋_GB2312" w:cs="宋体"/>
          <w:sz w:val="32"/>
          <w:szCs w:val="32"/>
          <w:shd w:val="clear" w:color="auto" w:fill="FFFFFF"/>
        </w:rPr>
      </w:pPr>
    </w:p>
    <w:p>
      <w:pPr>
        <w:tabs>
          <w:tab w:val="center" w:pos="4153"/>
        </w:tabs>
        <w:spacing w:line="540" w:lineRule="exact"/>
        <w:ind w:firstLine="645"/>
        <w:jc w:val="left"/>
        <w:rPr>
          <w:rFonts w:hint="eastAsia" w:ascii="仿宋_GB2312" w:hAnsi="宋体" w:eastAsia="仿宋_GB2312" w:cs="宋体"/>
          <w:sz w:val="32"/>
          <w:szCs w:val="32"/>
          <w:shd w:val="clear" w:color="auto" w:fill="FFFFFF"/>
        </w:rPr>
      </w:pPr>
    </w:p>
    <w:p>
      <w:pPr>
        <w:tabs>
          <w:tab w:val="center" w:pos="4153"/>
        </w:tabs>
        <w:spacing w:line="540" w:lineRule="exact"/>
        <w:ind w:firstLine="645"/>
        <w:jc w:val="center"/>
        <w:rPr>
          <w:rFonts w:hint="eastAsia" w:ascii="仿宋_GB2312" w:hAnsi="宋体" w:eastAsia="仿宋_GB2312" w:cs="宋体"/>
          <w:sz w:val="32"/>
          <w:szCs w:val="32"/>
          <w:shd w:val="clear" w:color="auto" w:fill="FFFFFF"/>
          <w:lang w:eastAsia="zh-CN"/>
        </w:rPr>
      </w:pPr>
      <w:r>
        <w:rPr>
          <w:rFonts w:hint="eastAsia" w:ascii="仿宋_GB2312" w:hAnsi="宋体" w:eastAsia="仿宋_GB2312" w:cs="宋体"/>
          <w:sz w:val="32"/>
          <w:szCs w:val="32"/>
          <w:shd w:val="clear" w:color="auto" w:fill="FFFFFF"/>
          <w:lang w:val="en-US" w:eastAsia="zh-CN"/>
        </w:rPr>
        <w:t xml:space="preserve">                                   </w:t>
      </w:r>
      <w:r>
        <w:rPr>
          <w:rFonts w:hint="eastAsia" w:ascii="仿宋_GB2312" w:hAnsi="宋体" w:eastAsia="仿宋_GB2312" w:cs="宋体"/>
          <w:sz w:val="32"/>
          <w:szCs w:val="32"/>
          <w:shd w:val="clear" w:color="auto" w:fill="FFFFFF"/>
          <w:lang w:eastAsia="zh-CN"/>
        </w:rPr>
        <w:t>君山区政协</w:t>
      </w:r>
    </w:p>
    <w:p>
      <w:pPr>
        <w:tabs>
          <w:tab w:val="center" w:pos="4153"/>
        </w:tabs>
        <w:spacing w:line="540" w:lineRule="exact"/>
        <w:ind w:firstLine="645"/>
        <w:jc w:val="right"/>
        <w:rPr>
          <w:rFonts w:hint="eastAsia" w:ascii="仿宋_GB2312" w:hAnsi="宋体" w:eastAsia="仿宋_GB2312" w:cs="宋体"/>
          <w:sz w:val="32"/>
          <w:szCs w:val="32"/>
          <w:shd w:val="clear" w:color="auto" w:fill="FFFFFF"/>
          <w:lang w:val="en-US" w:eastAsia="zh-CN"/>
        </w:rPr>
      </w:pPr>
      <w:r>
        <w:rPr>
          <w:rFonts w:hint="eastAsia" w:ascii="仿宋_GB2312" w:hAnsi="宋体" w:eastAsia="仿宋_GB2312" w:cs="宋体"/>
          <w:sz w:val="32"/>
          <w:szCs w:val="32"/>
          <w:shd w:val="clear" w:color="auto" w:fill="FFFFFF"/>
          <w:lang w:val="en-US" w:eastAsia="zh-CN"/>
        </w:rPr>
        <w:t>2016年6月19日</w:t>
      </w:r>
    </w:p>
    <w:p>
      <w:pPr>
        <w:tabs>
          <w:tab w:val="center" w:pos="4153"/>
        </w:tabs>
        <w:spacing w:line="540" w:lineRule="exact"/>
        <w:ind w:firstLine="645"/>
        <w:jc w:val="left"/>
        <w:rPr>
          <w:rFonts w:hint="eastAsia" w:ascii="仿宋_GB2312" w:hAnsi="宋体" w:eastAsia="仿宋_GB2312" w:cs="宋体"/>
          <w:sz w:val="32"/>
          <w:szCs w:val="32"/>
          <w:shd w:val="clear" w:color="auto" w:fill="FFFFFF"/>
          <w:lang w:val="en-US" w:eastAsia="zh-CN"/>
        </w:rPr>
      </w:pPr>
    </w:p>
    <w:p/>
    <w:sectPr>
      <w:footerReference r:id="rId3" w:type="default"/>
      <w:pgSz w:w="11906" w:h="16838"/>
      <w:pgMar w:top="1587" w:right="1587" w:bottom="1587" w:left="1587" w:header="851" w:footer="850" w:gutter="0"/>
      <w:pgNumType w:fmt="numberInDash" w:start="8"/>
      <w:cols w:space="720" w:num="1"/>
      <w:rtlGutter w:val="0"/>
      <w:docGrid w:type="linesAndChars" w:linePitch="602" w:charSpace="-4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A46659"/>
    <w:rsid w:val="08CF1961"/>
    <w:rsid w:val="099A3FF7"/>
    <w:rsid w:val="4C943FDB"/>
    <w:rsid w:val="60754B33"/>
    <w:rsid w:val="63595374"/>
    <w:rsid w:val="76A466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2017-11-01T01:57:00Z</dcterms:created>
  <dc:creator>Administrator</dc:creator>
  <cp:lastModifiedBy>admin</cp:lastModifiedBy>
  <cp:lastPrinted>2017-11-01T02:30:00Z</cp:lastPrinted>
  <dcterms:modified xsi:type="dcterms:W3CDTF">2017-11-10T02:37:13Z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