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</w:pPr>
      <w:r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  <w:t>君山区委</w:t>
      </w:r>
      <w:r>
        <w:rPr>
          <w:rFonts w:hint="eastAsia" w:ascii="方正小标宋简体" w:hAnsi="方正小标" w:eastAsia="方正小标宋简体" w:cs="方正小标"/>
          <w:b/>
          <w:bCs/>
          <w:sz w:val="44"/>
          <w:szCs w:val="44"/>
          <w:lang w:eastAsia="zh-CN"/>
        </w:rPr>
        <w:t>老干部局</w:t>
      </w:r>
      <w:r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  <w:t>2016年</w:t>
      </w:r>
    </w:p>
    <w:p>
      <w:pPr>
        <w:spacing w:line="600" w:lineRule="exact"/>
        <w:jc w:val="center"/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</w:pPr>
      <w:r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  <w:t>整体支出绩效评价报告</w:t>
      </w:r>
    </w:p>
    <w:p>
      <w:pPr>
        <w:spacing w:line="600" w:lineRule="exact"/>
        <w:jc w:val="center"/>
        <w:rPr>
          <w:rFonts w:hint="eastAsia" w:ascii="方正小标宋简体" w:hAnsi="方正小标" w:eastAsia="方正小标宋简体" w:cs="方正小标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根据《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岳阳</w:t>
      </w:r>
      <w:r>
        <w:rPr>
          <w:rFonts w:hint="eastAsia" w:ascii="仿宋_GB2312" w:hAnsi="仿宋_GB2312" w:eastAsia="仿宋_GB2312" w:cs="仿宋_GB2312"/>
          <w:sz w:val="32"/>
          <w:szCs w:val="28"/>
        </w:rPr>
        <w:t>市财政局关于开展201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年度部门整体支出绩效自评工作通知》要求，现对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君山区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委老干部局</w:t>
      </w:r>
      <w:r>
        <w:rPr>
          <w:rFonts w:hint="eastAsia" w:ascii="仿宋_GB2312" w:hAnsi="仿宋_GB2312" w:eastAsia="仿宋_GB2312" w:cs="仿宋_GB2312"/>
          <w:sz w:val="32"/>
          <w:szCs w:val="28"/>
        </w:rPr>
        <w:t>2016年度的部门整体支出开展绩效自评，现将情况汇报如下：</w:t>
      </w:r>
    </w:p>
    <w:p>
      <w:pPr>
        <w:spacing w:line="600" w:lineRule="exact"/>
        <w:ind w:firstLine="472" w:firstLineChars="147"/>
        <w:jc w:val="left"/>
        <w:rPr>
          <w:rFonts w:hint="eastAsia" w:ascii="楷体_GB2312" w:hAnsi="楷体_GB2312" w:eastAsia="楷体_GB2312" w:cs="楷体_GB2312"/>
          <w:b/>
          <w:bCs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8"/>
        </w:rPr>
        <w:t>（一）单位概况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1、基本情况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区委老干部局系正科级</w:t>
      </w:r>
      <w:r>
        <w:rPr>
          <w:rFonts w:hint="eastAsia" w:ascii="仿宋_GB2312" w:hAnsi="仿宋_GB2312" w:eastAsia="仿宋_GB2312" w:cs="仿宋_GB2312"/>
          <w:sz w:val="32"/>
        </w:rPr>
        <w:t>全额预算拨款单位。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核定行政编制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4名，事业编制5名，截止2016年12月31日，实有8人，</w:t>
      </w:r>
      <w:r>
        <w:rPr>
          <w:rFonts w:hint="eastAsia" w:ascii="仿宋_GB2312" w:hAnsi="仿宋_GB2312" w:eastAsia="仿宋_GB2312" w:cs="仿宋_GB2312"/>
          <w:sz w:val="32"/>
        </w:rPr>
        <w:t>其中机关本级行政编制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4名，老干部活动中心事业编制人员4名，离退休14人。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部门职能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宣传、贯彻、落实党的老干部工作的政策和规定，进一步加强老干部的思想政治工作、离退休党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工委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建设；落实离休干部的“两个待遇”；研究和解决老干部工作中出现的新情况和新问题；负责离休干部重大节日期间的慰问活动；负责离休干部住院探望和善后处理工作；负责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老干部活动中心工作，办好老年大学，组织老干部开展门球、健身等娱乐活动；协助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区委区政府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抓好全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关心下一代工作；做好机关党建工作，积极开展党组织活动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  <w:t>引导老干部发挥余热。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3、重点工作计划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一是老干部生活待遇落实到位；二是老干部政治待遇基本落实；三是承办好全市第23届门球赛，老干部参观、门球等活动顺利开展；四是老干部余热得到较好发挥。</w:t>
      </w:r>
    </w:p>
    <w:p>
      <w:pPr>
        <w:numPr>
          <w:ilvl w:val="0"/>
          <w:numId w:val="2"/>
        </w:numPr>
        <w:spacing w:line="600" w:lineRule="exact"/>
        <w:ind w:firstLine="472" w:firstLineChars="147"/>
        <w:jc w:val="left"/>
        <w:rPr>
          <w:rFonts w:hint="eastAsia" w:ascii="楷体_GB2312" w:hAnsi="楷体_GB2312" w:eastAsia="楷体_GB2312" w:cs="楷体_GB2312"/>
          <w:b/>
          <w:bCs/>
          <w:sz w:val="32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8"/>
        </w:rPr>
        <w:t>单位</w:t>
      </w:r>
      <w:r>
        <w:rPr>
          <w:rFonts w:hint="eastAsia" w:ascii="楷体_GB2312" w:hAnsi="楷体_GB2312" w:eastAsia="楷体_GB2312" w:cs="楷体_GB2312"/>
          <w:b/>
          <w:bCs/>
          <w:sz w:val="32"/>
          <w:szCs w:val="28"/>
          <w:lang w:eastAsia="zh-CN"/>
        </w:rPr>
        <w:t>整体</w:t>
      </w:r>
      <w:r>
        <w:rPr>
          <w:rFonts w:hint="eastAsia" w:ascii="楷体_GB2312" w:hAnsi="楷体_GB2312" w:eastAsia="楷体_GB2312" w:cs="楷体_GB2312"/>
          <w:b/>
          <w:bCs/>
          <w:sz w:val="32"/>
          <w:szCs w:val="28"/>
        </w:rPr>
        <w:t>收支情况</w:t>
      </w:r>
    </w:p>
    <w:p>
      <w:pPr>
        <w:numPr>
          <w:ilvl w:val="0"/>
          <w:numId w:val="3"/>
        </w:numPr>
        <w:spacing w:line="600" w:lineRule="exact"/>
        <w:ind w:firstLine="642"/>
        <w:jc w:val="lef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8"/>
          <w:lang w:val="en-US" w:eastAsia="zh-CN"/>
        </w:rPr>
        <w:t>单位整体收支情况。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本年度收入总计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241.32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万元，其中：财政拨款收入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241.32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万元。年初结转和结余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11.59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万元。本年度支出总计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241.32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万元，其中：一般公共预算财政拨款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241.32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（1）本年度基本支出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209.59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万元，系保障单位日常公用支出和人员支出，包括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办公、维修、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水电、邮电、差旅费及工资津补贴等。其中：人员经费支出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133.98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万元，公用经费支出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75.61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464"/>
        <w:jc w:val="left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（2）本年度项目支出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32.34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其中，一般公共服务支出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32.34万元，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是我局为做好全区老干部工作而发生的支出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32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sz w:val="32"/>
          <w:szCs w:val="28"/>
        </w:rPr>
        <w:t>2</w:t>
      </w:r>
      <w:r>
        <w:rPr>
          <w:rFonts w:hint="eastAsia" w:ascii="仿宋_GB2312" w:hAnsi="宋体" w:eastAsia="仿宋_GB2312" w:cs="宋体"/>
          <w:sz w:val="32"/>
          <w:szCs w:val="28"/>
        </w:rPr>
        <w:t>.</w:t>
      </w:r>
      <w:r>
        <w:rPr>
          <w:rFonts w:hint="eastAsia" w:ascii="仿宋_GB2312" w:hAnsi="宋体" w:eastAsia="仿宋_GB2312" w:cs="宋体"/>
          <w:b/>
          <w:bCs/>
          <w:sz w:val="32"/>
          <w:szCs w:val="28"/>
        </w:rPr>
        <w:t>三公经费支出情况</w:t>
      </w:r>
      <w:r>
        <w:rPr>
          <w:rFonts w:hint="eastAsia" w:ascii="仿宋_GB2312" w:hAnsi="宋体" w:eastAsia="仿宋_GB2312" w:cs="宋体"/>
          <w:b/>
          <w:bCs/>
          <w:sz w:val="32"/>
          <w:szCs w:val="28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本年度“三公”经费支出合计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7.27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万元，比公开的部门预算数减少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0.3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万元，主要原因为单位严格执行中央、省、市有关厉行节约的规定，并制定了财务管理制度、公务接待制度等，严格控制三公经费的支出。具体项目为：因公出国(境)费支出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万元；公务接待费支出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2.52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万元，比预算减少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0.14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万元。公务用车运行维护费支出为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4.75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万元，比预算减少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0.16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万元。</w:t>
      </w:r>
    </w:p>
    <w:p>
      <w:pPr>
        <w:spacing w:line="620" w:lineRule="exact"/>
        <w:ind w:firstLine="640" w:firstLineChars="20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二、绩效评价工作情况</w:t>
      </w:r>
    </w:p>
    <w:p>
      <w:pPr>
        <w:spacing w:line="600" w:lineRule="exact"/>
        <w:ind w:firstLine="472" w:firstLineChars="147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部门整体支出绩效评价依据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《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岳阳市君山区</w:t>
      </w:r>
      <w:r>
        <w:rPr>
          <w:rFonts w:hint="eastAsia" w:ascii="仿宋_GB2312" w:hAnsi="仿宋_GB2312" w:eastAsia="仿宋_GB2312" w:cs="仿宋_GB2312"/>
          <w:sz w:val="32"/>
          <w:szCs w:val="28"/>
        </w:rPr>
        <w:t>财政局关于开展201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年度部门整体支出绩效自评工作通知》；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《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岳阳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市君山区财政局关于批复201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年市本级部门预算的通知》；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岳阳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市君山区委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老干局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201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年绩效评估实施办法和评估指标的通知》。</w:t>
      </w:r>
    </w:p>
    <w:p>
      <w:pPr>
        <w:spacing w:line="620" w:lineRule="exact"/>
        <w:ind w:firstLine="630" w:firstLineChars="196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部门整体支出绩效评价目的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通过对2016年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君山区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委老干部局</w:t>
      </w:r>
      <w:r>
        <w:rPr>
          <w:rFonts w:hint="eastAsia" w:ascii="仿宋_GB2312" w:hAnsi="宋体" w:eastAsia="仿宋_GB2312" w:cs="宋体"/>
          <w:sz w:val="32"/>
          <w:szCs w:val="32"/>
        </w:rPr>
        <w:t>的预算配置、预算管理、资产管理、职责履行、履职效益等内容的绩效考评，提高财政资金的使用效率，为财政部门预算管理提供决策依据。</w:t>
      </w:r>
    </w:p>
    <w:p>
      <w:pPr>
        <w:shd w:val="solid" w:color="FFFFFF" w:fill="auto"/>
        <w:autoSpaceDN w:val="0"/>
        <w:spacing w:line="620" w:lineRule="exact"/>
        <w:ind w:firstLine="472" w:firstLineChars="147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（三）部门整体支出评价原则、指标评价体系、评价方法</w:t>
      </w:r>
    </w:p>
    <w:p>
      <w:pPr>
        <w:shd w:val="solid" w:color="FFFFFF" w:fill="auto"/>
        <w:autoSpaceDN w:val="0"/>
        <w:spacing w:line="62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1.部门整体支出绩效评价原则：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遵循客观公正，操作简便高效，尊重客观实际，实事求是的原则。</w:t>
      </w:r>
    </w:p>
    <w:p>
      <w:pPr>
        <w:shd w:val="solid" w:color="FFFFFF" w:fill="auto"/>
        <w:autoSpaceDN w:val="0"/>
        <w:spacing w:line="620" w:lineRule="exact"/>
        <w:ind w:firstLine="643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  <w:t>.整体支出绩效评价体系：</w:t>
      </w:r>
      <w:r>
        <w:rPr>
          <w:rFonts w:hint="eastAsia" w:ascii="仿宋_GB2312" w:hAnsi="仿宋" w:eastAsia="仿宋_GB2312" w:cs="仿宋_GB2312"/>
          <w:sz w:val="32"/>
          <w:szCs w:val="32"/>
        </w:rPr>
        <w:t>指标体系包括共性指标和个性指标两部分，本次主要参照了财政部门制定的《部门整体支出绩效评价指标体系》的相关内容，根据部门具体情况对个性指标进行了调整细化，形成《</w:t>
      </w:r>
      <w:r>
        <w:rPr>
          <w:rFonts w:hint="eastAsia" w:ascii="仿宋_GB2312" w:hAnsi="方正小标" w:eastAsia="仿宋_GB2312" w:cs="方正小标"/>
          <w:bCs/>
          <w:sz w:val="32"/>
          <w:szCs w:val="32"/>
        </w:rPr>
        <w:t>岳阳市君山区</w:t>
      </w:r>
      <w:r>
        <w:rPr>
          <w:rFonts w:hint="eastAsia" w:ascii="仿宋_GB2312" w:hAnsi="仿宋" w:eastAsia="仿宋_GB2312" w:cs="仿宋_GB2312"/>
          <w:sz w:val="32"/>
          <w:szCs w:val="32"/>
        </w:rPr>
        <w:t>2016年度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区委老干部局</w:t>
      </w:r>
      <w:r>
        <w:rPr>
          <w:rFonts w:hint="eastAsia" w:ascii="仿宋_GB2312" w:hAnsi="仿宋" w:eastAsia="仿宋_GB2312" w:cs="仿宋_GB2312"/>
          <w:sz w:val="32"/>
          <w:szCs w:val="32"/>
        </w:rPr>
        <w:t>整体支出绩效评价指标体系》</w:t>
      </w:r>
    </w:p>
    <w:p>
      <w:pPr>
        <w:shd w:val="solid" w:color="FFFFFF" w:fill="auto"/>
        <w:autoSpaceDN w:val="0"/>
        <w:spacing w:line="62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3.整体支出绩效评价方法：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主要采用因素分析法、投入产出效益分析法，比较法，相关部门问卷调查等方法。</w:t>
      </w:r>
    </w:p>
    <w:p>
      <w:pPr>
        <w:shd w:val="solid" w:color="FFFFFF" w:fill="auto"/>
        <w:autoSpaceDN w:val="0"/>
        <w:spacing w:line="620" w:lineRule="exact"/>
        <w:ind w:firstLine="480" w:firstLineChars="150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四）整体支出绩效评价过程</w:t>
      </w:r>
    </w:p>
    <w:p>
      <w:pPr>
        <w:shd w:val="solid" w:color="FFFFFF" w:fill="auto"/>
        <w:autoSpaceDN w:val="0"/>
        <w:spacing w:line="600" w:lineRule="exact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  <w:t>.前期准备：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按照绩效自评工作要求，组成以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温小琪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同志为组长的绩效评价工作小组，对相关的国家法律法规进行了认真学习，掌握政策，根据部门整体收支情况制定了部门整体支出绩效评价实施方案，设计了绩效评价指标体系和问卷调查表。</w:t>
      </w:r>
    </w:p>
    <w:p>
      <w:pPr>
        <w:shd w:val="solid" w:color="FFFFFF" w:fill="auto"/>
        <w:autoSpaceDN w:val="0"/>
        <w:spacing w:line="600" w:lineRule="exact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2.</w:t>
      </w:r>
      <w:r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  <w:t>组织实施：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采用核查法核查2016年同级财政预算批复执行及部门整体支出情况，着重核查了“三公”经费及资产管理、内部控制制度情况，对内设机构，根据部门职能和年初制定的绩效考核目标，进行了实地绩效考评。</w:t>
      </w:r>
    </w:p>
    <w:p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  <w:t>分析评价：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对评价过程中收集资料进行归纳，汇总分析，依据设定的部门整体支出绩效评价指标体系进行了评分，形成了综合性书面报告。</w:t>
      </w:r>
    </w:p>
    <w:p>
      <w:pPr>
        <w:shd w:val="solid" w:color="FFFFFF" w:fill="auto"/>
        <w:autoSpaceDN w:val="0"/>
        <w:spacing w:line="620" w:lineRule="exact"/>
        <w:ind w:firstLine="643" w:firstLineChars="200"/>
        <w:rPr>
          <w:rFonts w:hint="eastAsia" w:ascii="黑体" w:hAnsi="宋体" w:eastAsia="黑体" w:cs="宋体"/>
          <w:b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b/>
          <w:sz w:val="32"/>
          <w:szCs w:val="32"/>
          <w:shd w:val="clear" w:color="auto" w:fill="FFFFFF"/>
        </w:rPr>
        <w:t>三、部门整体支出管理和使用情况分析</w:t>
      </w:r>
    </w:p>
    <w:p>
      <w:pPr>
        <w:shd w:val="solid" w:color="FFFFFF" w:fill="auto"/>
        <w:autoSpaceDN w:val="0"/>
        <w:spacing w:line="620" w:lineRule="exact"/>
        <w:ind w:firstLine="482" w:firstLineChars="15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部门整体支出情况分析</w:t>
      </w:r>
    </w:p>
    <w:p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1.部门整体支出情况分析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：2016年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区委老干局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整体支出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241.93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万元，其中基本支出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209.59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万元，占总支出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86.63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%，人员支出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133.98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占基本支出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63.92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%，公用支出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75.61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占基本支出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36.08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%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项目支出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32.34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万元，占总支出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13.37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%。</w:t>
      </w:r>
    </w:p>
    <w:p>
      <w:pPr>
        <w:tabs>
          <w:tab w:val="center" w:pos="4153"/>
        </w:tabs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“三公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经费”支出情况分析：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“三公经费”预算拨入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万元。超预算开支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万元，其中公务接待费超支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万元，公务用车运行维修费超支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tabs>
          <w:tab w:val="center" w:pos="4153"/>
        </w:tabs>
        <w:spacing w:line="60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.固定资产管理情况分析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：按照例行节约，物尽其用的原则，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区委老干部局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资产管理采取统一建账，统一核算管理，对每件固定资产使用明确保管职责，闲置的资产，由办公室统一调整，合理流动，发挥其效益；至2016年12月末固定资产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/>
        </w:rPr>
        <w:t>78.4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万元，保证了</w:t>
      </w:r>
      <w:r>
        <w:rPr>
          <w:rFonts w:hint="eastAsia" w:ascii="仿宋_GB2312" w:hAnsi="宋体" w:eastAsia="仿宋_GB2312" w:cs="宋体"/>
          <w:sz w:val="32"/>
          <w:szCs w:val="32"/>
        </w:rPr>
        <w:t>资产的安全高效，防止资产流失。</w:t>
      </w:r>
    </w:p>
    <w:p>
      <w:pPr>
        <w:tabs>
          <w:tab w:val="center" w:pos="4153"/>
        </w:tabs>
        <w:spacing w:line="540" w:lineRule="exact"/>
        <w:ind w:firstLine="630" w:firstLineChars="196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（二）部门整体支出管理情况分析</w:t>
      </w:r>
    </w:p>
    <w:p>
      <w:pPr>
        <w:tabs>
          <w:tab w:val="center" w:pos="4153"/>
        </w:tabs>
        <w:spacing w:line="54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>
      <w:pPr>
        <w:tabs>
          <w:tab w:val="center" w:pos="4153"/>
        </w:tabs>
        <w:spacing w:line="540" w:lineRule="exact"/>
        <w:ind w:firstLine="643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财务管理上，按照国家相关法律法规，制定了机关财务、公物购置使用、接待、会务、车辆使用等管理制度，并严格按照制度管理和执行，防范风险，保证财政资金的安全和高效运行。</w:t>
      </w:r>
    </w:p>
    <w:p>
      <w:pPr>
        <w:shd w:val="solid" w:color="FFFFFF" w:fill="auto"/>
        <w:autoSpaceDN w:val="0"/>
        <w:spacing w:line="540" w:lineRule="exact"/>
        <w:ind w:firstLine="630" w:firstLineChars="196"/>
        <w:jc w:val="left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四．整体支出绩效情况分析</w:t>
      </w:r>
    </w:p>
    <w:p>
      <w:pPr>
        <w:tabs>
          <w:tab w:val="center" w:pos="4153"/>
        </w:tabs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2016年，根据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sz w:val="32"/>
          <w:szCs w:val="32"/>
        </w:rPr>
        <w:t>年初工作规划和重点工作，围绕区委区政府的工作部署，积极履行职责，强化管理，较好地完成了年度工作目标，同时加强预算收支的管理，建立健全内部管理制度，严格内部管理流程，部门整体支出管理得到了提升。2016年度部门整体支出绩效情况如下：</w:t>
      </w:r>
    </w:p>
    <w:p>
      <w:pPr>
        <w:tabs>
          <w:tab w:val="center" w:pos="4153"/>
        </w:tabs>
        <w:spacing w:line="54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1.本年预算配置控制较好，“三公”经费支出总额较上年有减少。</w:t>
      </w:r>
    </w:p>
    <w:p>
      <w:pPr>
        <w:tabs>
          <w:tab w:val="center" w:pos="4153"/>
        </w:tabs>
        <w:spacing w:line="54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2.预算执行方面，支出总额控制在预算总额以内，较好的完成了当年任务目标，财政拨款支出总体控制较好。</w:t>
      </w:r>
    </w:p>
    <w:p>
      <w:pPr>
        <w:tabs>
          <w:tab w:val="center" w:pos="4153"/>
        </w:tabs>
        <w:spacing w:line="54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3.预算管理方面，制定了切实有效的内部财务、车辆、资产内部管理制度，执行总体较为有效。</w:t>
      </w:r>
    </w:p>
    <w:p>
      <w:pPr>
        <w:tabs>
          <w:tab w:val="center" w:pos="4153"/>
        </w:tabs>
        <w:spacing w:line="540" w:lineRule="exact"/>
        <w:ind w:firstLine="643" w:firstLineChars="200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五、整体支出综合评价及结论</w:t>
      </w:r>
    </w:p>
    <w:p>
      <w:pPr>
        <w:tabs>
          <w:tab w:val="center" w:pos="4153"/>
        </w:tabs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根据考核评分细则，考评组认为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eastAsia="zh-CN"/>
        </w:rPr>
        <w:t>区委老干部局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2016</w:t>
      </w:r>
      <w:r>
        <w:rPr>
          <w:rFonts w:hint="eastAsia" w:ascii="仿宋_GB2312" w:hAnsi="宋体" w:eastAsia="仿宋_GB2312" w:cs="宋体"/>
          <w:sz w:val="32"/>
          <w:szCs w:val="32"/>
        </w:rPr>
        <w:t>年整体支出，严格按照国家的相关财务管理制度规定，财务制度健全、会计核算规范，依照计划管理使用，整体支出对保障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eastAsia="zh-CN"/>
        </w:rPr>
        <w:t>区委老干部局</w:t>
      </w:r>
      <w:r>
        <w:rPr>
          <w:rFonts w:hint="eastAsia" w:ascii="仿宋_GB2312" w:hAnsi="宋体" w:eastAsia="仿宋_GB2312" w:cs="宋体"/>
          <w:sz w:val="32"/>
          <w:szCs w:val="32"/>
        </w:rPr>
        <w:t>的正常运行发挥了重要作用，强化部门的责任，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eastAsia="zh-CN"/>
        </w:rPr>
        <w:t>老干部</w:t>
      </w:r>
      <w:r>
        <w:rPr>
          <w:rFonts w:hint="eastAsia" w:ascii="仿宋_GB2312" w:hAnsi="宋体" w:eastAsia="仿宋_GB2312" w:cs="宋体"/>
          <w:sz w:val="32"/>
          <w:szCs w:val="32"/>
        </w:rPr>
        <w:t>工作取得了一定的成绩。按照部门整体支出绩效评价指标体系对照打分得出结果为</w:t>
      </w:r>
      <w:r>
        <w:rPr>
          <w:rFonts w:hint="eastAsia" w:ascii="仿宋_GB2312" w:hAnsi="楷体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分，等级为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eastAsia="zh-CN"/>
        </w:rPr>
        <w:t>优秀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tabs>
          <w:tab w:val="center" w:pos="4153"/>
        </w:tabs>
        <w:spacing w:line="540" w:lineRule="exact"/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六、存在的问题</w:t>
      </w:r>
    </w:p>
    <w:p>
      <w:pPr>
        <w:tabs>
          <w:tab w:val="center" w:pos="4153"/>
        </w:tabs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“三公经费”有待更严格控制。201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年区委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老干部局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“三公经费”可以本着节约的原则进行进一步的压缩。 </w:t>
      </w:r>
    </w:p>
    <w:p>
      <w:pPr>
        <w:tabs>
          <w:tab w:val="center" w:pos="4153"/>
        </w:tabs>
        <w:spacing w:line="540" w:lineRule="exact"/>
        <w:ind w:firstLine="643" w:firstLineChars="200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七、工作建议</w:t>
      </w:r>
    </w:p>
    <w:p>
      <w:pPr>
        <w:tabs>
          <w:tab w:val="center" w:pos="4153"/>
        </w:tabs>
        <w:spacing w:line="540" w:lineRule="exact"/>
        <w:ind w:firstLine="645"/>
        <w:jc w:val="left"/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严格控制“三公经费”支出，杜绝挪用和挤占其他预算资金；进一步细化“三公经费”管理，压缩“三公经费”支出。</w:t>
      </w:r>
    </w:p>
    <w:p>
      <w:pPr>
        <w:tabs>
          <w:tab w:val="center" w:pos="4153"/>
        </w:tabs>
        <w:spacing w:line="540" w:lineRule="exact"/>
        <w:ind w:firstLine="645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tabs>
          <w:tab w:val="center" w:pos="4153"/>
        </w:tabs>
        <w:spacing w:line="540" w:lineRule="exact"/>
        <w:rPr>
          <w:rFonts w:hint="eastAsia" w:ascii="仿宋_GB2312" w:hAnsi="仿宋_GB2312" w:eastAsia="仿宋_GB2312"/>
          <w:bCs/>
          <w:spacing w:val="-26"/>
          <w:sz w:val="32"/>
          <w:szCs w:val="32"/>
        </w:rPr>
      </w:pPr>
      <w:r>
        <w:rPr>
          <w:rFonts w:hint="eastAsia"/>
          <w:shd w:val="clear" w:color="auto" w:fill="FFFFFF"/>
        </w:rPr>
        <w:t xml:space="preserve">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bCs/>
          <w:spacing w:val="-26"/>
          <w:sz w:val="32"/>
          <w:szCs w:val="32"/>
        </w:rPr>
        <w:t>区委</w:t>
      </w:r>
      <w:r>
        <w:rPr>
          <w:rFonts w:hint="eastAsia" w:ascii="仿宋_GB2312" w:hAnsi="仿宋_GB2312" w:eastAsia="仿宋_GB2312"/>
          <w:bCs/>
          <w:spacing w:val="-26"/>
          <w:sz w:val="32"/>
          <w:szCs w:val="32"/>
          <w:lang w:eastAsia="zh-CN"/>
        </w:rPr>
        <w:t>老干部局</w:t>
      </w:r>
    </w:p>
    <w:p>
      <w:pPr>
        <w:tabs>
          <w:tab w:val="center" w:pos="4153"/>
        </w:tabs>
        <w:spacing w:line="540" w:lineRule="exact"/>
        <w:ind w:firstLine="5896" w:firstLineChars="2200"/>
        <w:rPr>
          <w:rFonts w:hint="eastAsia"/>
          <w:shd w:val="clear" w:color="auto" w:fill="FFFFFF"/>
        </w:rPr>
      </w:pPr>
      <w:r>
        <w:rPr>
          <w:rFonts w:hint="eastAsia" w:ascii="仿宋_GB2312" w:hAnsi="仿宋_GB2312" w:eastAsia="仿宋_GB2312"/>
          <w:bCs/>
          <w:spacing w:val="-26"/>
          <w:sz w:val="32"/>
          <w:szCs w:val="32"/>
        </w:rPr>
        <w:t>2017年</w:t>
      </w:r>
      <w:r>
        <w:rPr>
          <w:rFonts w:hint="eastAsia" w:ascii="仿宋_GB2312" w:hAnsi="仿宋_GB2312" w:eastAsia="仿宋_GB2312"/>
          <w:bCs/>
          <w:spacing w:val="-26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pacing w:val="-26"/>
          <w:sz w:val="32"/>
          <w:szCs w:val="32"/>
        </w:rPr>
        <w:t>月</w:t>
      </w:r>
      <w:r>
        <w:rPr>
          <w:rFonts w:hint="eastAsia" w:ascii="仿宋_GB2312" w:hAnsi="仿宋_GB2312" w:eastAsia="仿宋_GB2312"/>
          <w:bCs/>
          <w:spacing w:val="-26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/>
          <w:bCs/>
          <w:spacing w:val="-26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7688"/>
    <w:multiLevelType w:val="singleLevel"/>
    <w:tmpl w:val="5A017688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0176A4"/>
    <w:multiLevelType w:val="singleLevel"/>
    <w:tmpl w:val="5A0176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0177AE"/>
    <w:multiLevelType w:val="singleLevel"/>
    <w:tmpl w:val="5A0177A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15370"/>
    <w:rsid w:val="14F94E47"/>
    <w:rsid w:val="20860D8F"/>
    <w:rsid w:val="23C67A9D"/>
    <w:rsid w:val="50A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