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936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
      <w:tblGrid>
        <w:gridCol w:w="9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0" w:type="dxa"/>
            <w:right w:w="108" w:type="dxa"/>
          </w:tblCellMar>
        </w:tblPrEx>
        <w:trPr>
          <w:trHeight w:val="12477" w:hRule="atLeast"/>
        </w:trPr>
        <w:tc>
          <w:tcPr>
            <w:tcW w:w="9360" w:type="dxa"/>
          </w:tcPr>
          <w:p>
            <w:pPr>
              <w:widowControl/>
              <w:spacing w:line="520" w:lineRule="exact"/>
              <w:rPr>
                <w:rFonts w:ascii="Times New Roman" w:hAnsi="Times New Roman" w:eastAsia="仿宋_GB2312" w:cs="仿宋"/>
                <w:color w:val="FF0000"/>
                <w:sz w:val="28"/>
                <w:szCs w:val="28"/>
              </w:rPr>
            </w:pPr>
            <w:bookmarkStart w:id="0" w:name="_GoBack"/>
            <w:r>
              <w:rPr>
                <w:rFonts w:ascii="Times New Roman" w:hAnsi="Times New Roman" w:eastAsia="仿宋_GB2312" w:cs="仿宋"/>
                <w:b/>
                <w:bCs/>
                <w:sz w:val="28"/>
                <w:szCs w:val="28"/>
              </w:rPr>
              <w:t xml:space="preserve"> </w:t>
            </w:r>
            <w:r>
              <w:rPr>
                <w:rFonts w:hint="eastAsia" w:ascii="Times New Roman" w:hAnsi="Times New Roman" w:eastAsia="仿宋_GB2312" w:cs="仿宋"/>
                <w:b/>
                <w:bCs/>
                <w:sz w:val="30"/>
                <w:szCs w:val="28"/>
              </w:rPr>
              <w:t>审批意见：</w:t>
            </w:r>
            <w:r>
              <w:rPr>
                <w:rFonts w:ascii="Times New Roman" w:hAnsi="Times New Roman" w:eastAsia="仿宋_GB2312" w:cs="仿宋"/>
                <w:sz w:val="30"/>
                <w:szCs w:val="28"/>
              </w:rPr>
              <w:t xml:space="preserve"> </w:t>
            </w:r>
            <w:r>
              <w:rPr>
                <w:rFonts w:ascii="Times New Roman" w:hAnsi="Times New Roman" w:eastAsia="仿宋_GB2312" w:cs="仿宋"/>
                <w:sz w:val="28"/>
                <w:szCs w:val="28"/>
              </w:rPr>
              <w:t xml:space="preserve">                           </w:t>
            </w:r>
            <w:r>
              <w:rPr>
                <w:rFonts w:hint="eastAsia" w:ascii="Times New Roman" w:hAnsi="仿宋" w:eastAsia="仿宋_GB2312" w:cs="仿宋"/>
                <w:b/>
                <w:sz w:val="28"/>
                <w:szCs w:val="28"/>
              </w:rPr>
              <w:t>岳环君分环评</w:t>
            </w:r>
            <w:r>
              <w:rPr>
                <w:rFonts w:hint="eastAsia" w:ascii="Times New Roman" w:hAnsi="仿宋" w:eastAsia="仿宋_GB2312" w:cs="仿宋"/>
                <w:b/>
                <w:sz w:val="28"/>
                <w:szCs w:val="28"/>
                <w:lang w:eastAsia="zh-CN"/>
              </w:rPr>
              <w:t>批</w:t>
            </w:r>
            <w:r>
              <w:rPr>
                <w:rFonts w:hint="eastAsia" w:ascii="Times New Roman" w:hAnsi="仿宋" w:eastAsia="仿宋_GB2312" w:cs="仿宋"/>
                <w:b/>
                <w:sz w:val="28"/>
                <w:szCs w:val="28"/>
              </w:rPr>
              <w:t>［</w:t>
            </w:r>
            <w:r>
              <w:rPr>
                <w:rFonts w:ascii="Times New Roman" w:hAnsi="Times New Roman" w:eastAsia="仿宋_GB2312" w:cs="仿宋"/>
                <w:b/>
                <w:sz w:val="28"/>
                <w:szCs w:val="28"/>
              </w:rPr>
              <w:t>201</w:t>
            </w:r>
            <w:r>
              <w:rPr>
                <w:rFonts w:hint="eastAsia" w:ascii="Times New Roman" w:hAnsi="Times New Roman" w:eastAsia="仿宋_GB2312" w:cs="仿宋"/>
                <w:b/>
                <w:sz w:val="28"/>
                <w:szCs w:val="28"/>
                <w:lang w:val="en-US" w:eastAsia="zh-CN"/>
              </w:rPr>
              <w:t>7</w:t>
            </w:r>
            <w:r>
              <w:rPr>
                <w:rFonts w:hint="eastAsia" w:ascii="Times New Roman" w:hAnsi="仿宋" w:eastAsia="仿宋_GB2312" w:cs="仿宋"/>
                <w:b/>
                <w:sz w:val="28"/>
                <w:szCs w:val="28"/>
              </w:rPr>
              <w:t>］</w:t>
            </w:r>
            <w:r>
              <w:rPr>
                <w:rFonts w:hint="eastAsia" w:ascii="Times New Roman" w:hAnsi="Times New Roman" w:eastAsia="仿宋_GB2312" w:cs="仿宋"/>
                <w:b/>
                <w:sz w:val="28"/>
                <w:szCs w:val="28"/>
                <w:lang w:val="en-US" w:eastAsia="zh-CN"/>
              </w:rPr>
              <w:t>3</w:t>
            </w:r>
            <w:r>
              <w:rPr>
                <w:rFonts w:hint="eastAsia" w:ascii="Times New Roman" w:hAnsi="仿宋" w:eastAsia="仿宋_GB2312" w:cs="仿宋"/>
                <w:b/>
                <w:sz w:val="28"/>
                <w:szCs w:val="28"/>
              </w:rPr>
              <w:t>号</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湖南众厨乐食品有限公司拟在岳阳市君山工业集中区荆江门片区建设年产肉制品90吨、豆制品30吨、蔬菜制品20吨、鱼制品10吨项目，总投资518万元，其中环保投资40万元。项目租用君山工业集中区荆江门片区标准厂房4栋第1层，</w:t>
            </w:r>
            <w:r>
              <w:rPr>
                <w:rFonts w:hint="eastAsia" w:ascii="仿宋_GB2312" w:hAnsi="仿宋_GB2312" w:eastAsia="仿宋_GB2312" w:cs="仿宋_GB2312"/>
                <w:sz w:val="28"/>
                <w:lang w:eastAsia="zh-CN"/>
              </w:rPr>
              <w:t>无需新建其他建筑物，施工期主要为设备安装产生的噪声。该项目租用厂房面积</w:t>
            </w:r>
            <w:r>
              <w:rPr>
                <w:rFonts w:hint="eastAsia" w:ascii="仿宋_GB2312" w:hAnsi="仿宋_GB2312" w:eastAsia="仿宋_GB2312" w:cs="仿宋_GB2312"/>
                <w:sz w:val="28"/>
              </w:rPr>
              <w:t>1876m</w:t>
            </w:r>
            <w:r>
              <w:rPr>
                <w:rFonts w:hint="eastAsia" w:ascii="仿宋_GB2312" w:hAnsi="仿宋_GB2312" w:eastAsia="仿宋_GB2312" w:cs="仿宋_GB2312"/>
                <w:sz w:val="28"/>
                <w:vertAlign w:val="superscript"/>
              </w:rPr>
              <w:t>2</w:t>
            </w:r>
            <w:r>
              <w:rPr>
                <w:rFonts w:hint="eastAsia" w:ascii="仿宋_GB2312" w:hAnsi="仿宋_GB2312" w:eastAsia="仿宋_GB2312" w:cs="仿宋_GB2312"/>
                <w:sz w:val="28"/>
              </w:rPr>
              <w:t>，主要建设内容为主体工程（卤制车间、拌料车间、灌装车间、杀菌车间），辅助工程、环保工程等。原辅材料主要有鸭脖、鸭翅、鸭掌、大豆拉丝蛋白、藕、鳜鱼、各种调料。根据湖南</w:t>
            </w:r>
            <w:r>
              <w:rPr>
                <w:rFonts w:hint="eastAsia" w:ascii="仿宋_GB2312" w:hAnsi="仿宋_GB2312" w:eastAsia="仿宋_GB2312" w:cs="仿宋_GB2312"/>
                <w:sz w:val="28"/>
                <w:lang w:eastAsia="zh-CN"/>
              </w:rPr>
              <w:t>美景环保科技咨询服务有限</w:t>
            </w:r>
            <w:r>
              <w:rPr>
                <w:rFonts w:hint="eastAsia" w:ascii="仿宋_GB2312" w:hAnsi="仿宋_GB2312" w:eastAsia="仿宋_GB2312" w:cs="仿宋_GB2312"/>
                <w:sz w:val="28"/>
              </w:rPr>
              <w:t>公司编制的环境影响报告表基本内容、结论和专家审查意见，从环境保护角度考虑，同意本项目的建设。</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一、建设单位须逐项落实环评报告表提出的各项环保措施，严格执行环保“三同时”制度，配套建设污染防治设施，加强环境管理，确保外排污染物长期稳定达标排放。在工程设计、建设和管理中，应着重注意以下问题：</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1、废水污染防治。按照“雨污分流、污污分流”的原则，合理布设</w:t>
            </w:r>
            <w:r>
              <w:rPr>
                <w:rFonts w:hint="eastAsia" w:ascii="仿宋_GB2312" w:hAnsi="仿宋_GB2312" w:eastAsia="仿宋_GB2312" w:cs="仿宋_GB2312"/>
                <w:sz w:val="28"/>
                <w:lang w:eastAsia="zh-CN"/>
              </w:rPr>
              <w:t>厂区内</w:t>
            </w:r>
            <w:r>
              <w:rPr>
                <w:rFonts w:hint="eastAsia" w:ascii="仿宋_GB2312" w:hAnsi="仿宋_GB2312" w:eastAsia="仿宋_GB2312" w:cs="仿宋_GB2312"/>
                <w:sz w:val="28"/>
              </w:rPr>
              <w:t>雨水、污水管网</w:t>
            </w:r>
            <w:r>
              <w:rPr>
                <w:rFonts w:hint="eastAsia" w:ascii="仿宋_GB2312" w:hAnsi="仿宋_GB2312" w:eastAsia="仿宋_GB2312" w:cs="仿宋_GB2312"/>
                <w:sz w:val="28"/>
                <w:lang w:eastAsia="zh-CN"/>
              </w:rPr>
              <w:t>并与园区已有管网进行合理对接</w:t>
            </w:r>
            <w:r>
              <w:rPr>
                <w:rFonts w:hint="eastAsia" w:ascii="仿宋_GB2312" w:hAnsi="仿宋_GB2312" w:eastAsia="仿宋_GB2312" w:cs="仿宋_GB2312"/>
                <w:sz w:val="28"/>
              </w:rPr>
              <w:t>。项目产生的废水有清洗废水，生活污水。产生的废水进入企业自建污水处理站，由隔油池、格栅池、调节池预处理后，通过UASB+接触氧化处理设施处理满足君山区（第二）污水处理厂接纳标准后通过市政污水管网进入该厂处理</w:t>
            </w:r>
            <w:r>
              <w:rPr>
                <w:rFonts w:hint="eastAsia" w:ascii="仿宋_GB2312" w:hAnsi="仿宋_GB2312" w:eastAsia="仿宋_GB2312" w:cs="仿宋_GB2312"/>
                <w:sz w:val="28"/>
                <w:lang w:eastAsia="zh-CN"/>
              </w:rPr>
              <w:t>。</w:t>
            </w:r>
            <w:r>
              <w:rPr>
                <w:rFonts w:hint="eastAsia" w:ascii="仿宋_GB2312" w:hAnsi="仿宋_GB2312" w:eastAsia="仿宋_GB2312" w:cs="仿宋_GB2312"/>
                <w:sz w:val="28"/>
              </w:rPr>
              <w:t>在</w:t>
            </w:r>
            <w:r>
              <w:rPr>
                <w:rFonts w:hint="eastAsia" w:ascii="仿宋_GB2312" w:hAnsi="仿宋_GB2312" w:eastAsia="仿宋_GB2312" w:cs="仿宋_GB2312"/>
                <w:sz w:val="28"/>
                <w:lang w:eastAsia="zh-CN"/>
              </w:rPr>
              <w:t>君山区第二</w:t>
            </w:r>
            <w:r>
              <w:rPr>
                <w:rFonts w:hint="eastAsia" w:ascii="仿宋_GB2312" w:hAnsi="仿宋_GB2312" w:eastAsia="仿宋_GB2312" w:cs="仿宋_GB2312"/>
                <w:sz w:val="28"/>
              </w:rPr>
              <w:t>污水处理厂</w:t>
            </w:r>
            <w:r>
              <w:rPr>
                <w:rFonts w:hint="eastAsia" w:ascii="仿宋_GB2312" w:hAnsi="仿宋_GB2312" w:eastAsia="仿宋_GB2312" w:cs="仿宋_GB2312"/>
                <w:sz w:val="28"/>
                <w:lang w:eastAsia="zh-CN"/>
              </w:rPr>
              <w:t>投运前</w:t>
            </w:r>
            <w:r>
              <w:rPr>
                <w:rFonts w:hint="eastAsia" w:ascii="仿宋_GB2312" w:hAnsi="仿宋_GB2312" w:eastAsia="仿宋_GB2312" w:cs="仿宋_GB2312"/>
                <w:sz w:val="28"/>
              </w:rPr>
              <w:t>，项目不得投入生产。</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2、废气污染防治。产生的大气污染物主要为蒸煮卤制异味、油炸油烟废气。蒸煮卤制异味通过车间</w:t>
            </w:r>
            <w:r>
              <w:rPr>
                <w:rFonts w:hint="eastAsia" w:ascii="仿宋_GB2312" w:hAnsi="仿宋_GB2312" w:eastAsia="仿宋_GB2312" w:cs="仿宋_GB2312"/>
                <w:sz w:val="28"/>
                <w:lang w:eastAsia="zh-CN"/>
              </w:rPr>
              <w:t>废气收集</w:t>
            </w:r>
            <w:r>
              <w:rPr>
                <w:rFonts w:hint="eastAsia" w:ascii="仿宋_GB2312" w:hAnsi="仿宋_GB2312" w:eastAsia="仿宋_GB2312" w:cs="仿宋_GB2312"/>
                <w:sz w:val="28"/>
              </w:rPr>
              <w:t>净化系统15m高排气筒进行排放，减少对周边环境的影响；油炸油烟废气通过抽排风设施及油烟净化器处理后达到《饮食业油烟排放标准》（GB18483-2001）要求后15m高排气筒进行排放。</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3、噪声污染防治。通过采取隔声、减震、绿化、合理布局等措施有效地降低噪声源强。项目厂区每天生产8小时，夜间不进行生产，高噪声设备在中午禁止使用。通过加强管理、定期维护保养设备，避免机械故障产生噪声。确保厂界噪声达到《工业企业厂界环境噪声排放标准》（GB12348-2008）中的3类标准要求。</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lang w:val="en-US" w:eastAsia="zh-CN"/>
              </w:rPr>
              <w:t>4</w:t>
            </w:r>
            <w:r>
              <w:rPr>
                <w:rFonts w:hint="eastAsia" w:ascii="仿宋_GB2312" w:hAnsi="仿宋_GB2312" w:eastAsia="仿宋_GB2312" w:cs="仿宋_GB2312"/>
                <w:sz w:val="28"/>
              </w:rPr>
              <w:t>、固体废物污染防治。落实固废分类收集、处置和综合利用措施。变质、不合格产品、废料收集后送饲料厂综合利用，生活垃圾、污水处理站污泥委托环卫部门处置，油炸产生的废植物油外售油脂公司利用。</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lang w:val="en-US" w:eastAsia="zh-CN"/>
              </w:rPr>
              <w:t>5</w:t>
            </w:r>
            <w:r>
              <w:rPr>
                <w:rFonts w:hint="eastAsia" w:ascii="仿宋_GB2312" w:hAnsi="仿宋_GB2312" w:eastAsia="仿宋_GB2312" w:cs="仿宋_GB2312"/>
                <w:sz w:val="28"/>
              </w:rPr>
              <w:t>、加强环境管理，配备专职环保管理人员，建立健全的环境管理制度，明确单位负责人和相关人员的责任，确保环保设施正常运行。</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lang w:val="en-US" w:eastAsia="zh-CN"/>
              </w:rPr>
              <w:t>6</w:t>
            </w:r>
            <w:r>
              <w:rPr>
                <w:rFonts w:hint="eastAsia" w:ascii="仿宋_GB2312" w:hAnsi="仿宋_GB2312" w:eastAsia="仿宋_GB2312" w:cs="仿宋_GB2312"/>
                <w:sz w:val="28"/>
              </w:rPr>
              <w:t>、强化厂容厂貌建设和生产现场管理，加强车间地面、设备的防尘保洁，保持整洁有序，美化绿化，积极推行清洁生产。</w:t>
            </w:r>
          </w:p>
          <w:p>
            <w:pPr>
              <w:keepNext w:val="0"/>
              <w:keepLines w:val="0"/>
              <w:pageBreakBefore w:val="0"/>
              <w:kinsoku/>
              <w:wordWrap/>
              <w:overflowPunct/>
              <w:topLinePunct w:val="0"/>
              <w:autoSpaceDE/>
              <w:autoSpaceDN/>
              <w:bidi w:val="0"/>
              <w:adjustRightInd w:val="0"/>
              <w:snapToGrid w:val="0"/>
              <w:spacing w:line="420" w:lineRule="exact"/>
              <w:ind w:left="0" w:leftChars="0" w:firstLine="560" w:firstLineChars="200"/>
              <w:rPr>
                <w:rFonts w:hint="eastAsia" w:ascii="仿宋_GB2312" w:hAnsi="仿宋_GB2312" w:eastAsia="仿宋_GB2312" w:cs="仿宋_GB2312"/>
                <w:sz w:val="28"/>
              </w:rPr>
            </w:pPr>
            <w:r>
              <w:rPr>
                <w:rFonts w:hint="eastAsia" w:ascii="仿宋" w:hAnsi="仿宋" w:eastAsia="仿宋" w:cs="仿宋"/>
                <w:color w:val="000000"/>
                <w:w w:val="100"/>
                <w:kern w:val="0"/>
                <w:sz w:val="28"/>
                <w:szCs w:val="28"/>
                <w:lang w:val="en-US" w:eastAsia="zh-CN" w:bidi="ar-SA"/>
              </w:rPr>
              <w:t>7、污染物排放总量控制为：COD：0.3t/a、NH</w:t>
            </w:r>
            <w:r>
              <w:rPr>
                <w:rFonts w:hint="default" w:ascii="仿宋" w:hAnsi="仿宋" w:eastAsia="仿宋" w:cs="仿宋"/>
                <w:color w:val="000000"/>
                <w:w w:val="100"/>
                <w:kern w:val="0"/>
                <w:sz w:val="28"/>
                <w:szCs w:val="28"/>
                <w:lang w:val="en-US" w:eastAsia="zh-CN" w:bidi="ar-SA"/>
              </w:rPr>
              <w:t>3-N：0.</w:t>
            </w:r>
            <w:r>
              <w:rPr>
                <w:rFonts w:hint="eastAsia" w:ascii="仿宋" w:hAnsi="仿宋" w:eastAsia="仿宋" w:cs="仿宋"/>
                <w:color w:val="000000"/>
                <w:w w:val="100"/>
                <w:kern w:val="0"/>
                <w:sz w:val="28"/>
                <w:szCs w:val="28"/>
                <w:lang w:val="en-US" w:eastAsia="zh-CN" w:bidi="ar-SA"/>
              </w:rPr>
              <w:t>1</w:t>
            </w:r>
            <w:r>
              <w:rPr>
                <w:rFonts w:hint="default" w:ascii="仿宋" w:hAnsi="仿宋" w:eastAsia="仿宋" w:cs="仿宋"/>
                <w:color w:val="000000"/>
                <w:w w:val="100"/>
                <w:kern w:val="0"/>
                <w:sz w:val="28"/>
                <w:szCs w:val="28"/>
                <w:lang w:val="en-US" w:eastAsia="zh-CN" w:bidi="ar-SA"/>
              </w:rPr>
              <w:t>t/a。</w:t>
            </w:r>
          </w:p>
          <w:p>
            <w:pPr>
              <w:snapToGrid w:val="0"/>
              <w:ind w:firstLine="560" w:firstLineChars="200"/>
              <w:rPr>
                <w:rFonts w:ascii="仿宋_GB2312" w:hAnsi="仿宋_GB2312" w:eastAsia="仿宋_GB2312" w:cs="仿宋_GB2312"/>
                <w:sz w:val="28"/>
              </w:rPr>
            </w:pPr>
            <w:r>
              <w:rPr>
                <w:rFonts w:hint="eastAsia" w:ascii="仿宋_GB2312" w:hAnsi="仿宋_GB2312" w:eastAsia="仿宋_GB2312" w:cs="仿宋_GB2312"/>
                <w:sz w:val="28"/>
              </w:rPr>
              <w:t>二、你单位应在收到本批复后</w:t>
            </w:r>
            <w:r>
              <w:rPr>
                <w:rFonts w:ascii="仿宋_GB2312" w:hAnsi="仿宋_GB2312" w:eastAsia="仿宋_GB2312" w:cs="仿宋_GB2312"/>
                <w:sz w:val="28"/>
              </w:rPr>
              <w:t>15</w:t>
            </w:r>
            <w:r>
              <w:rPr>
                <w:rFonts w:hint="eastAsia" w:ascii="仿宋_GB2312" w:hAnsi="仿宋_GB2312" w:eastAsia="仿宋_GB2312" w:cs="仿宋_GB2312"/>
                <w:sz w:val="28"/>
              </w:rPr>
              <w:t>个工作日内，将批复及</w:t>
            </w:r>
            <w:r>
              <w:rPr>
                <w:rFonts w:hint="eastAsia" w:ascii="仿宋_GB2312" w:hAnsi="仿宋_GB2312" w:eastAsia="仿宋_GB2312" w:cs="仿宋_GB2312"/>
                <w:sz w:val="28"/>
                <w:lang w:eastAsia="zh-CN"/>
              </w:rPr>
              <w:t>该项目环评报批文本稿</w:t>
            </w:r>
            <w:r>
              <w:rPr>
                <w:rFonts w:hint="eastAsia" w:ascii="仿宋_GB2312" w:hAnsi="仿宋_GB2312" w:eastAsia="仿宋_GB2312" w:cs="仿宋_GB2312"/>
                <w:sz w:val="28"/>
              </w:rPr>
              <w:t>送至岳阳市环境保护局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监察大队</w:t>
            </w:r>
            <w:r>
              <w:rPr>
                <w:rFonts w:hint="eastAsia" w:ascii="仿宋_GB2312" w:hAnsi="仿宋_GB2312" w:eastAsia="仿宋_GB2312" w:cs="仿宋_GB2312"/>
                <w:sz w:val="28"/>
              </w:rPr>
              <w:t>、湖南</w:t>
            </w:r>
            <w:r>
              <w:rPr>
                <w:rFonts w:hint="eastAsia" w:ascii="仿宋_GB2312" w:hAnsi="仿宋_GB2312" w:eastAsia="仿宋_GB2312" w:cs="仿宋_GB2312"/>
                <w:sz w:val="28"/>
                <w:lang w:eastAsia="zh-CN"/>
              </w:rPr>
              <w:t>美景环保</w:t>
            </w:r>
            <w:r>
              <w:rPr>
                <w:rFonts w:hint="eastAsia" w:ascii="仿宋_GB2312" w:hAnsi="仿宋_GB2312" w:eastAsia="仿宋_GB2312" w:cs="仿宋_GB2312"/>
                <w:sz w:val="28"/>
              </w:rPr>
              <w:t>科技</w:t>
            </w:r>
            <w:r>
              <w:rPr>
                <w:rFonts w:hint="eastAsia" w:ascii="仿宋_GB2312" w:hAnsi="仿宋_GB2312" w:eastAsia="仿宋_GB2312" w:cs="仿宋_GB2312"/>
                <w:sz w:val="28"/>
                <w:lang w:eastAsia="zh-CN"/>
              </w:rPr>
              <w:t>咨询服务</w:t>
            </w:r>
            <w:r>
              <w:rPr>
                <w:rFonts w:hint="eastAsia" w:ascii="仿宋_GB2312" w:hAnsi="仿宋_GB2312" w:eastAsia="仿宋_GB2312" w:cs="仿宋_GB2312"/>
                <w:sz w:val="28"/>
              </w:rPr>
              <w:t>有限责任公司。</w:t>
            </w:r>
            <w:r>
              <w:rPr>
                <w:rFonts w:ascii="仿宋_GB2312" w:hAnsi="仿宋_GB2312" w:eastAsia="仿宋_GB2312" w:cs="仿宋_GB2312"/>
                <w:sz w:val="28"/>
              </w:rPr>
              <w:t xml:space="preserve"> </w:t>
            </w:r>
          </w:p>
          <w:p>
            <w:pPr>
              <w:snapToGrid w:val="0"/>
              <w:ind w:firstLine="560" w:firstLineChars="200"/>
              <w:rPr>
                <w:rFonts w:hint="eastAsia" w:ascii="仿宋_GB2312" w:hAnsi="仿宋_GB2312" w:eastAsia="仿宋_GB2312" w:cs="仿宋_GB2312"/>
                <w:sz w:val="28"/>
              </w:rPr>
            </w:pPr>
            <w:r>
              <w:rPr>
                <w:rFonts w:hint="eastAsia" w:ascii="仿宋_GB2312" w:hAnsi="仿宋_GB2312" w:eastAsia="仿宋_GB2312" w:cs="仿宋_GB2312"/>
                <w:sz w:val="28"/>
              </w:rPr>
              <w:t>三、岳阳市环境保护局</w:t>
            </w:r>
            <w:r>
              <w:rPr>
                <w:rFonts w:hint="eastAsia" w:ascii="仿宋_GB2312" w:hAnsi="仿宋_GB2312" w:eastAsia="仿宋_GB2312" w:cs="仿宋_GB2312"/>
                <w:sz w:val="28"/>
                <w:lang w:eastAsia="zh-CN"/>
              </w:rPr>
              <w:t>君山</w:t>
            </w:r>
            <w:r>
              <w:rPr>
                <w:rFonts w:hint="eastAsia" w:ascii="仿宋_GB2312" w:hAnsi="仿宋_GB2312" w:eastAsia="仿宋_GB2312" w:cs="仿宋_GB2312"/>
                <w:sz w:val="28"/>
              </w:rPr>
              <w:t>区分局</w:t>
            </w:r>
            <w:r>
              <w:rPr>
                <w:rFonts w:hint="eastAsia" w:ascii="仿宋_GB2312" w:hAnsi="仿宋_GB2312" w:eastAsia="仿宋_GB2312" w:cs="仿宋_GB2312"/>
                <w:sz w:val="28"/>
                <w:lang w:eastAsia="zh-CN"/>
              </w:rPr>
              <w:t>环境监察大队</w:t>
            </w:r>
            <w:r>
              <w:rPr>
                <w:rFonts w:hint="eastAsia" w:ascii="仿宋_GB2312" w:hAnsi="仿宋_GB2312" w:eastAsia="仿宋_GB2312" w:cs="仿宋_GB2312"/>
                <w:sz w:val="28"/>
              </w:rPr>
              <w:t>负责项目建设期和营运期的日常环境监管。</w:t>
            </w: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ascii="仿宋_GB2312" w:hAnsi="Times New Roman" w:eastAsia="仿宋_GB2312"/>
                <w:sz w:val="28"/>
              </w:rPr>
            </w:pPr>
          </w:p>
          <w:p>
            <w:pPr>
              <w:snapToGrid w:val="0"/>
              <w:rPr>
                <w:rFonts w:hint="eastAsia" w:ascii="仿宋_GB2312" w:eastAsia="仿宋_GB2312"/>
                <w:w w:val="90"/>
                <w:sz w:val="28"/>
              </w:rPr>
            </w:pPr>
            <w:r>
              <w:rPr>
                <w:rFonts w:hint="eastAsia" w:ascii="仿宋_GB2312" w:eastAsia="仿宋_GB2312"/>
                <w:w w:val="90"/>
                <w:sz w:val="28"/>
              </w:rPr>
              <w:t>经办人：</w:t>
            </w:r>
            <w:r>
              <w:rPr>
                <w:rFonts w:hint="eastAsia" w:ascii="仿宋_GB2312" w:eastAsia="仿宋_GB2312"/>
                <w:w w:val="90"/>
                <w:sz w:val="28"/>
                <w:lang w:eastAsia="zh-CN"/>
              </w:rPr>
              <w:t>章鹏</w:t>
            </w:r>
          </w:p>
          <w:p>
            <w:pPr>
              <w:snapToGrid w:val="0"/>
              <w:rPr>
                <w:rFonts w:hint="eastAsia" w:ascii="仿宋_GB2312" w:eastAsia="仿宋_GB2312"/>
                <w:w w:val="90"/>
                <w:sz w:val="28"/>
              </w:rPr>
            </w:pPr>
          </w:p>
          <w:p>
            <w:pPr>
              <w:snapToGrid w:val="0"/>
              <w:rPr>
                <w:rFonts w:hint="eastAsia" w:ascii="仿宋_GB2312" w:eastAsia="仿宋_GB2312"/>
                <w:w w:val="90"/>
                <w:sz w:val="28"/>
              </w:rPr>
            </w:pPr>
          </w:p>
          <w:p>
            <w:pPr>
              <w:snapToGrid w:val="0"/>
              <w:rPr>
                <w:rFonts w:hint="eastAsia" w:ascii="仿宋_GB2312" w:hAnsi="Times New Roman" w:eastAsia="仿宋_GB2312"/>
                <w:sz w:val="28"/>
                <w:lang w:val="en-US" w:eastAsia="zh-CN"/>
              </w:rPr>
            </w:pPr>
            <w:r>
              <w:rPr>
                <w:rFonts w:hint="eastAsia" w:ascii="仿宋_GB2312" w:eastAsia="仿宋_GB2312"/>
                <w:w w:val="90"/>
                <w:sz w:val="28"/>
              </w:rPr>
              <w:t>审批人：</w:t>
            </w:r>
            <w:r>
              <w:rPr>
                <w:rFonts w:hint="eastAsia" w:ascii="仿宋_GB2312" w:eastAsia="仿宋_GB2312"/>
                <w:w w:val="90"/>
                <w:sz w:val="28"/>
                <w:lang w:eastAsia="zh-CN"/>
              </w:rPr>
              <w:t>李剑均</w:t>
            </w:r>
            <w:r>
              <w:rPr>
                <w:rFonts w:ascii="仿宋_GB2312" w:hAnsi="Times New Roman" w:eastAsia="仿宋_GB2312"/>
                <w:sz w:val="28"/>
              </w:rPr>
              <w:t xml:space="preserve">                                </w:t>
            </w:r>
            <w:r>
              <w:rPr>
                <w:rFonts w:hint="eastAsia" w:ascii="仿宋_GB2312" w:hAnsi="Times New Roman" w:eastAsia="仿宋_GB2312"/>
                <w:sz w:val="28"/>
                <w:lang w:val="en-US" w:eastAsia="zh-CN"/>
              </w:rPr>
              <w:t xml:space="preserve"> </w:t>
            </w:r>
          </w:p>
          <w:p>
            <w:pPr>
              <w:snapToGrid w:val="0"/>
              <w:rPr>
                <w:rFonts w:hint="eastAsia" w:ascii="仿宋_GB2312" w:hAnsi="Times New Roman" w:eastAsia="仿宋_GB2312"/>
                <w:sz w:val="28"/>
                <w:lang w:val="en-US" w:eastAsia="zh-CN"/>
              </w:rPr>
            </w:pPr>
          </w:p>
          <w:p>
            <w:pPr>
              <w:snapToGrid w:val="0"/>
              <w:ind w:firstLine="5600" w:firstLineChars="2000"/>
              <w:rPr>
                <w:rFonts w:ascii="仿宋_GB2312" w:hAnsi="Times New Roman" w:eastAsia="仿宋_GB2312"/>
                <w:sz w:val="28"/>
              </w:rPr>
            </w:pPr>
            <w:r>
              <w:rPr>
                <w:rFonts w:hint="eastAsia" w:ascii="仿宋_GB2312" w:hAnsi="Times New Roman" w:eastAsia="仿宋_GB2312"/>
                <w:sz w:val="28"/>
                <w:lang w:val="en-US" w:eastAsia="zh-CN"/>
              </w:rPr>
              <w:t xml:space="preserve">      </w:t>
            </w:r>
            <w:r>
              <w:rPr>
                <w:rFonts w:ascii="仿宋_GB2312" w:hAnsi="Times New Roman" w:eastAsia="仿宋_GB2312"/>
                <w:sz w:val="28"/>
              </w:rPr>
              <w:t xml:space="preserve"> </w:t>
            </w:r>
            <w:r>
              <w:rPr>
                <w:rFonts w:hint="eastAsia" w:ascii="仿宋_GB2312" w:eastAsia="仿宋_GB2312"/>
                <w:sz w:val="28"/>
              </w:rPr>
              <w:t>公</w:t>
            </w:r>
            <w:r>
              <w:rPr>
                <w:rFonts w:ascii="仿宋_GB2312" w:hAnsi="Times New Roman" w:eastAsia="仿宋_GB2312"/>
                <w:sz w:val="28"/>
              </w:rPr>
              <w:t xml:space="preserve">     </w:t>
            </w:r>
            <w:r>
              <w:rPr>
                <w:rFonts w:hint="eastAsia" w:ascii="仿宋_GB2312" w:eastAsia="仿宋_GB2312"/>
                <w:sz w:val="28"/>
              </w:rPr>
              <w:t>章</w:t>
            </w:r>
          </w:p>
          <w:p>
            <w:pPr>
              <w:snapToGrid w:val="0"/>
              <w:rPr>
                <w:rFonts w:ascii="仿宋_GB2312" w:eastAsia="仿宋_GB2312"/>
                <w:sz w:val="28"/>
              </w:rPr>
            </w:pPr>
            <w:r>
              <w:rPr>
                <w:rFonts w:ascii="仿宋_GB2312" w:hAnsi="Times New Roman" w:eastAsia="仿宋_GB2312"/>
                <w:sz w:val="28"/>
              </w:rPr>
              <w:t xml:space="preserve">                                            201</w:t>
            </w:r>
            <w:r>
              <w:rPr>
                <w:rFonts w:hint="eastAsia" w:ascii="仿宋_GB2312" w:hAnsi="Times New Roman" w:eastAsia="仿宋_GB2312"/>
                <w:sz w:val="28"/>
                <w:lang w:val="en-US" w:eastAsia="zh-CN"/>
              </w:rPr>
              <w:t>7</w:t>
            </w:r>
            <w:r>
              <w:rPr>
                <w:rFonts w:hint="eastAsia" w:ascii="仿宋_GB2312" w:eastAsia="仿宋_GB2312"/>
                <w:sz w:val="28"/>
              </w:rPr>
              <w:t>年</w:t>
            </w:r>
            <w:r>
              <w:rPr>
                <w:rFonts w:hint="eastAsia" w:ascii="仿宋_GB2312" w:hAnsi="Times New Roman" w:eastAsia="仿宋_GB2312"/>
                <w:sz w:val="28"/>
                <w:lang w:val="en-US" w:eastAsia="zh-CN"/>
              </w:rPr>
              <w:t>10</w:t>
            </w:r>
            <w:r>
              <w:rPr>
                <w:rFonts w:hint="eastAsia" w:ascii="仿宋_GB2312" w:eastAsia="仿宋_GB2312"/>
                <w:sz w:val="28"/>
              </w:rPr>
              <w:t>月</w:t>
            </w:r>
            <w:r>
              <w:rPr>
                <w:rFonts w:hint="eastAsia" w:ascii="仿宋_GB2312" w:hAnsi="Times New Roman" w:eastAsia="仿宋_GB2312"/>
                <w:sz w:val="28"/>
                <w:lang w:val="en-US" w:eastAsia="zh-CN"/>
              </w:rPr>
              <w:t>18</w:t>
            </w:r>
            <w:r>
              <w:rPr>
                <w:rFonts w:hint="eastAsia" w:ascii="仿宋_GB2312" w:eastAsia="仿宋_GB2312"/>
                <w:sz w:val="28"/>
              </w:rPr>
              <w:t>日</w:t>
            </w:r>
          </w:p>
          <w:p>
            <w:pPr>
              <w:snapToGrid w:val="0"/>
              <w:rPr>
                <w:rFonts w:ascii="仿宋_GB2312" w:eastAsia="仿宋_GB2312"/>
                <w:sz w:val="28"/>
              </w:rPr>
            </w:pPr>
          </w:p>
        </w:tc>
      </w:tr>
      <w:bookmarkEnd w:id="0"/>
    </w:tbl>
    <w:p>
      <w:pPr>
        <w:spacing w:line="480" w:lineRule="exact"/>
        <w:rPr>
          <w:rFonts w:eastAsia="仿宋_GB231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altName w:val="Palatino Linotype"/>
    <w:panose1 w:val="02040503050406030204"/>
    <w:charset w:val="00"/>
    <w:family w:val="roman"/>
    <w:pitch w:val="default"/>
    <w:sig w:usb0="00000000" w:usb1="00000000" w:usb2="00000000" w:usb3="00000000" w:csb0="0000019F" w:csb1="00000000"/>
  </w:font>
  <w:font w:name="Calibri">
    <w:altName w:val="Lucida Sans Unicode"/>
    <w:panose1 w:val="020F0502020204030204"/>
    <w:charset w:val="00"/>
    <w:family w:val="swiss"/>
    <w:pitch w:val="default"/>
    <w:sig w:usb0="00000000" w:usb1="00000000" w:usb2="00000001" w:usb3="00000000" w:csb0="0000019F" w:csb1="00000000"/>
  </w:font>
  <w:font w:name="Palatino Linotype">
    <w:panose1 w:val="02040502050505030304"/>
    <w:charset w:val="00"/>
    <w:family w:val="auto"/>
    <w:pitch w:val="default"/>
    <w:sig w:usb0="E0000387" w:usb1="40000013" w:usb2="00000000" w:usb3="00000000" w:csb0="2000019F" w:csb1="00000000"/>
  </w:font>
  <w:font w:name="Lucida Sans Unicode">
    <w:panose1 w:val="020B0602030504020204"/>
    <w:charset w:val="00"/>
    <w:family w:val="auto"/>
    <w:pitch w:val="default"/>
    <w:sig w:usb0="80001AFF" w:usb1="0000396B" w:usb2="00000000" w:usb3="00000000" w:csb0="0000003F" w:csb1="D7F70000"/>
  </w:font>
  <w:font w:name="仿宋_GB2312">
    <w:panose1 w:val="02010609030101010101"/>
    <w:charset w:val="86"/>
    <w:family w:val="modern"/>
    <w:pitch w:val="default"/>
    <w:sig w:usb0="00000001" w:usb1="080E0000" w:usb2="00000000" w:usb3="00000000" w:csb0="00040000" w:csb1="00000000"/>
  </w:font>
  <w:font w:name="仿宋">
    <w:altName w:val="宋体"/>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00000287" w:usb1="00000000" w:usb2="00000000" w:usb3="00000000" w:csb0="2000019F" w:csb1="00000000"/>
  </w:font>
  <w:font w:name="楷体_GB2312">
    <w:panose1 w:val="02010609030101010101"/>
    <w:charset w:val="86"/>
    <w:family w:val="modern"/>
    <w:pitch w:val="default"/>
    <w:sig w:usb0="00000001" w:usb1="080E0000" w:usb2="00000000" w:usb3="00000000" w:csb0="00040000" w:csb1="00000000"/>
  </w:font>
  <w:font w:name="微软雅黑">
    <w:altName w:val="黑体"/>
    <w:panose1 w:val="020B0503020204020204"/>
    <w:charset w:val="86"/>
    <w:family w:val="swiss"/>
    <w:pitch w:val="default"/>
    <w:sig w:usb0="00000000" w:usb1="00000000" w:usb2="00000016" w:usb3="00000000" w:csb0="0004001F" w:csb1="00000000"/>
  </w:font>
  <w:font w:name="Arial">
    <w:panose1 w:val="020B0604020202020204"/>
    <w:charset w:val="00"/>
    <w:family w:val="auto"/>
    <w:pitch w:val="default"/>
    <w:sig w:usb0="00007A87" w:usb1="80000000" w:usb2="00000008" w:usb3="00000000" w:csb0="400001FF" w:csb1="FFFF0000"/>
  </w:font>
  <w:font w:name="楷体">
    <w:altName w:val="楷体_GB2312"/>
    <w:panose1 w:val="02010609060101010101"/>
    <w:charset w:val="86"/>
    <w:family w:val="auto"/>
    <w:pitch w:val="default"/>
    <w:sig w:usb0="00000000" w:usb1="00000000" w:usb2="00000016" w:usb3="00000000" w:csb0="00040001" w:csb1="00000000"/>
  </w:font>
  <w:font w:name="穝灿砰">
    <w:altName w:val="宋体"/>
    <w:panose1 w:val="00000000000000000000"/>
    <w:charset w:val="01"/>
    <w:family w:val="auto"/>
    <w:pitch w:val="default"/>
    <w:sig w:usb0="00000000" w:usb1="00000000" w:usb2="00000000" w:usb3="00000000" w:csb0="00040001" w:csb1="00000000"/>
  </w:font>
  <w:font w:name="瀹嬩綋">
    <w:altName w:val="仿宋_GB2312"/>
    <w:panose1 w:val="00000000000000000000"/>
    <w:charset w:val="00"/>
    <w:family w:val="auto"/>
    <w:pitch w:val="default"/>
    <w:sig w:usb0="00000000" w:usb1="00000000" w:usb2="00000000" w:usb3="00000000" w:csb0="00040001" w:csb1="00000000"/>
  </w:font>
  <w:font w:name="Segoe Print">
    <w:altName w:val="Verdana"/>
    <w:panose1 w:val="02000600000000000000"/>
    <w:charset w:val="00"/>
    <w:family w:val="auto"/>
    <w:pitch w:val="default"/>
    <w:sig w:usb0="00000000" w:usb1="00000000" w:usb2="00000000" w:usb3="00000000" w:csb0="2000009F" w:csb1="47010000"/>
  </w:font>
  <w:font w:name="Courier New">
    <w:panose1 w:val="02070309020205020404"/>
    <w:charset w:val="00"/>
    <w:family w:val="modern"/>
    <w:pitch w:val="default"/>
    <w:sig w:usb0="00007A87" w:usb1="80000000" w:usb2="00000008" w:usb3="00000000" w:csb0="400001FF" w:csb1="FFFF0000"/>
  </w:font>
  <w:font w:name="隶书">
    <w:altName w:val="宋体"/>
    <w:panose1 w:val="02010509060101010101"/>
    <w:charset w:val="86"/>
    <w:family w:val="auto"/>
    <w:pitch w:val="default"/>
    <w:sig w:usb0="00000000" w:usb1="00000000" w:usb2="00000000" w:usb3="00000000" w:csb0="00040000" w:csb1="00000000"/>
  </w:font>
  <w:font w:name="BankGothic Lt BT">
    <w:altName w:val="MS UI Gothic"/>
    <w:panose1 w:val="020B0607020203060204"/>
    <w:charset w:val="00"/>
    <w:family w:val="swiss"/>
    <w:pitch w:val="default"/>
    <w:sig w:usb0="00000000" w:usb1="00000000" w:usb2="00000000" w:usb3="00000000" w:csb0="0000001B" w:csb1="00000000"/>
  </w:font>
  <w:font w:name="Tahoma">
    <w:panose1 w:val="020B0604030504040204"/>
    <w:charset w:val="00"/>
    <w:family w:val="swiss"/>
    <w:pitch w:val="default"/>
    <w:sig w:usb0="61007A87" w:usb1="80000000" w:usb2="00000008" w:usb3="00000000" w:csb0="200101FF" w:csb1="20280000"/>
  </w:font>
  <w:font w:name="MingLiU">
    <w:panose1 w:val="02020309000000000000"/>
    <w:charset w:val="88"/>
    <w:family w:val="modern"/>
    <w:pitch w:val="default"/>
    <w:sig w:usb0="00000003" w:usb1="082E0000" w:usb2="00000016" w:usb3="00000000" w:csb0="00100001" w:csb1="00000000"/>
  </w:font>
  <w:font w:name="Arial Black">
    <w:panose1 w:val="020B0A04020102020204"/>
    <w:charset w:val="00"/>
    <w:family w:val="swiss"/>
    <w:pitch w:val="default"/>
    <w:sig w:usb0="00000287" w:usb1="00000000" w:usb2="00000000" w:usb3="00000000" w:csb0="2000009F" w:csb1="DFD70000"/>
  </w:font>
  <w:font w:name="新宋体">
    <w:panose1 w:val="02010609030101010101"/>
    <w:charset w:val="86"/>
    <w:family w:val="modern"/>
    <w:pitch w:val="default"/>
    <w:sig w:usb0="00000003" w:usb1="080E0000" w:usb2="00000000" w:usb3="00000000" w:csb0="00040001" w:csb1="00000000"/>
  </w:font>
  <w:font w:name="宋?">
    <w:altName w:val="宋体"/>
    <w:panose1 w:val="00000000000000000000"/>
    <w:charset w:val="00"/>
    <w:family w:val="auto"/>
    <w:pitch w:val="default"/>
    <w:sig w:usb0="00000000" w:usb1="00000000" w:usb2="00000000" w:usb3="00000000" w:csb0="00000001" w:csb1="00000000"/>
  </w:font>
  <w:font w:name="TimesNewRomanPSMT">
    <w:altName w:val="Times New Roman"/>
    <w:panose1 w:val="00000000000000000000"/>
    <w:charset w:val="00"/>
    <w:family w:val="roman"/>
    <w:pitch w:val="default"/>
    <w:sig w:usb0="00000000" w:usb1="00000000" w:usb2="00000000" w:usb3="00000000" w:csb0="00000001" w:csb1="00000000"/>
  </w:font>
  <w:font w:name="行书体">
    <w:altName w:val="宋体"/>
    <w:panose1 w:val="02010609000101010101"/>
    <w:charset w:val="86"/>
    <w:family w:val="modern"/>
    <w:pitch w:val="default"/>
    <w:sig w:usb0="00000000" w:usb1="00000000" w:usb2="00000010" w:usb3="00000000" w:csb0="00040000" w:csb1="00000000"/>
  </w:font>
  <w:font w:name="Calibri Light">
    <w:altName w:val="PMingLiU"/>
    <w:panose1 w:val="020F0302020204030204"/>
    <w:charset w:val="00"/>
    <w:family w:val="auto"/>
    <w:pitch w:val="default"/>
    <w:sig w:usb0="00000000" w:usb1="00000000" w:usb2="00000000" w:usb3="00000000" w:csb0="2000019F" w:csb1="00000000"/>
  </w:font>
  <w:font w:name="穝灿砰">
    <w:altName w:val="Times New Roman"/>
    <w:panose1 w:val="00000000000000000000"/>
    <w:charset w:val="00"/>
    <w:family w:val="auto"/>
    <w:pitch w:val="default"/>
    <w:sig w:usb0="00000000" w:usb1="00000000" w:usb2="00000000" w:usb3="00000000" w:csb0="00040001" w:csb1="00000000"/>
  </w:font>
  <w:font w:name="_4eff_5b8b">
    <w:altName w:val="Courier New"/>
    <w:panose1 w:val="00000000000000000000"/>
    <w:charset w:val="00"/>
    <w:family w:val="auto"/>
    <w:pitch w:val="default"/>
    <w:sig w:usb0="00000000" w:usb1="00000000" w:usb2="00000000" w:usb3="00000000" w:csb0="00000000" w:csb1="00000000"/>
  </w:font>
  <w:font w:name="???">
    <w:altName w:val="Courier New"/>
    <w:panose1 w:val="00000000000000000000"/>
    <w:charset w:val="00"/>
    <w:family w:val="auto"/>
    <w:pitch w:val="default"/>
    <w:sig w:usb0="00000000" w:usb1="00000000" w:usb2="00000000" w:usb3="00000000" w:csb0="00000001" w:csb1="00000000"/>
  </w:font>
  <w:font w:name="MS UI Gothic">
    <w:panose1 w:val="020B0600070205080204"/>
    <w:charset w:val="80"/>
    <w:family w:val="auto"/>
    <w:pitch w:val="default"/>
    <w:sig w:usb0="A00002BF" w:usb1="68C7FCFB" w:usb2="00000010" w:usb3="00000000" w:csb0="4002009F" w:csb1="DFD70000"/>
  </w:font>
  <w:font w:name="PMingLiU">
    <w:panose1 w:val="02020300000000000000"/>
    <w:charset w:val="88"/>
    <w:family w:val="auto"/>
    <w:pitch w:val="default"/>
    <w:sig w:usb0="00000003" w:usb1="082E0000" w:usb2="00000016" w:usb3="00000000" w:csb0="001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C6A"/>
    <w:rsid w:val="0012026D"/>
    <w:rsid w:val="002A2489"/>
    <w:rsid w:val="005A017E"/>
    <w:rsid w:val="00610954"/>
    <w:rsid w:val="00A06C6A"/>
    <w:rsid w:val="00A80E69"/>
    <w:rsid w:val="00EE55F9"/>
    <w:rsid w:val="00F5106F"/>
    <w:rsid w:val="07604B5E"/>
    <w:rsid w:val="09B61525"/>
    <w:rsid w:val="09BA7346"/>
    <w:rsid w:val="09D76A62"/>
    <w:rsid w:val="0C78000C"/>
    <w:rsid w:val="0F785FFA"/>
    <w:rsid w:val="1A9501CB"/>
    <w:rsid w:val="1AFB290C"/>
    <w:rsid w:val="1B2F2A2C"/>
    <w:rsid w:val="1E265FEE"/>
    <w:rsid w:val="1E293E75"/>
    <w:rsid w:val="20715C02"/>
    <w:rsid w:val="20884185"/>
    <w:rsid w:val="223E6D13"/>
    <w:rsid w:val="224B3D9F"/>
    <w:rsid w:val="23605A40"/>
    <w:rsid w:val="270B0B41"/>
    <w:rsid w:val="3414110C"/>
    <w:rsid w:val="3A626005"/>
    <w:rsid w:val="3A7B06D5"/>
    <w:rsid w:val="3E1210F4"/>
    <w:rsid w:val="41FD68FE"/>
    <w:rsid w:val="45BB05A9"/>
    <w:rsid w:val="462D6297"/>
    <w:rsid w:val="4F8C03E6"/>
    <w:rsid w:val="50A91980"/>
    <w:rsid w:val="583017FF"/>
    <w:rsid w:val="5EE308E7"/>
    <w:rsid w:val="61980384"/>
    <w:rsid w:val="70A37142"/>
    <w:rsid w:val="70C723EE"/>
    <w:rsid w:val="71007ECC"/>
    <w:rsid w:val="76C560FE"/>
    <w:rsid w:val="7CE31B5D"/>
    <w:rsid w:val="7DEC61B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qFormat/>
    <w:uiPriority w:val="99"/>
  </w:style>
  <w:style w:type="table" w:default="1" w:styleId="4">
    <w:name w:val="Normal Table"/>
    <w:unhideWhenUsed/>
    <w:qFormat/>
    <w:uiPriority w:val="99"/>
    <w:tblPr>
      <w:tblLayout w:type="fixed"/>
      <w:tblCellMar>
        <w:top w:w="0" w:type="dxa"/>
        <w:left w:w="108" w:type="dxa"/>
        <w:bottom w:w="0" w:type="dxa"/>
        <w:right w:w="108" w:type="dxa"/>
      </w:tblCellMar>
    </w:tblPr>
  </w:style>
  <w:style w:type="paragraph" w:styleId="2">
    <w:name w:val="Normal (Web)"/>
    <w:basedOn w:val="1"/>
    <w:qFormat/>
    <w:uiPriority w:val="99"/>
    <w:pPr>
      <w:spacing w:before="100" w:beforeAutospacing="1" w:after="100" w:afterAutospacing="1"/>
      <w:jc w:val="left"/>
    </w:pPr>
    <w:rPr>
      <w:kern w:val="0"/>
      <w:sz w:val="24"/>
    </w:rPr>
  </w:style>
  <w:style w:type="paragraph" w:customStyle="1" w:styleId="5">
    <w:name w:val="WPS Plain"/>
    <w:qFormat/>
    <w:uiPriority w:val="99"/>
    <w:rPr>
      <w:rFonts w:ascii="Calibri" w:hAnsi="Calibri" w:eastAsia="宋体" w:cs="Times New Roman"/>
      <w:kern w:val="0"/>
      <w:sz w:val="21"/>
      <w:szCs w:val="22"/>
      <w:lang w:val="en-US" w:eastAsia="zh-CN" w:bidi="ar-SA"/>
    </w:rPr>
  </w:style>
  <w:style w:type="paragraph" w:customStyle="1" w:styleId="6">
    <w:name w:val="0"/>
    <w:basedOn w:val="1"/>
    <w:qFormat/>
    <w:uiPriority w:val="99"/>
    <w:pPr>
      <w:widowControl/>
      <w:snapToGrid w:val="0"/>
      <w:spacing w:line="365" w:lineRule="atLeast"/>
      <w:ind w:left="1"/>
      <w:textAlignment w:val="bottom"/>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2</Pages>
  <Words>235</Words>
  <Characters>1345</Characters>
  <Lines>0</Lines>
  <Paragraphs>0</Paragraphs>
  <ScaleCrop>false</ScaleCrop>
  <LinksUpToDate>false</LinksUpToDate>
  <CharactersWithSpaces>0</CharactersWithSpaces>
  <Application>WPS Office_10.1.0.6876_F1E327BC-269C-435d-A152-05C5408002CA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hp</dc:creator>
  <cp:lastModifiedBy>Administrator</cp:lastModifiedBy>
  <cp:lastPrinted>2017-10-18T01:50:00Z</cp:lastPrinted>
  <dcterms:modified xsi:type="dcterms:W3CDTF">2017-10-18T01:51:32Z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2052-10.1.0.6876</vt:lpwstr>
  </property>
</Properties>
</file>