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君山区财政支出项目绩效评价自评报告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□</w:t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>城乡居民医疗保险基金</w:t>
      </w:r>
    </w:p>
    <w:p>
      <w:pPr>
        <w:spacing w:before="156" w:beforeLines="50" w:line="760" w:lineRule="exact"/>
        <w:ind w:firstLine="480" w:firstLineChars="150"/>
        <w:rPr>
          <w:rFonts w:eastAsia="仿宋_GB2312"/>
          <w:b/>
          <w:bCs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>岳阳市君山区医疗保障事务中心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>岳阳市君山区医疗保障局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 xml:space="preserve"> 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11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君山区财政局（制）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党志勤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18627305518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岳阳市君山区医疗保障事务中心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414005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2022 </w:t>
            </w:r>
            <w:r>
              <w:rPr>
                <w:rFonts w:hint="eastAsia" w:eastAsia="仿宋_GB2312"/>
                <w:sz w:val="24"/>
              </w:rPr>
              <w:t xml:space="preserve">年   </w:t>
            </w:r>
            <w:r>
              <w:rPr>
                <w:rFonts w:hint="eastAsia" w:eastAsia="仿宋_GB2312"/>
                <w:sz w:val="24"/>
                <w:lang w:val="en-US" w:eastAsia="zh-CN"/>
              </w:rPr>
              <w:t>01</w:t>
            </w:r>
            <w:r>
              <w:rPr>
                <w:rFonts w:hint="eastAsia" w:eastAsia="仿宋_GB2312"/>
                <w:sz w:val="24"/>
              </w:rPr>
              <w:t xml:space="preserve">    月起至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17510.24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17510.24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15710.40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1799.84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6903.73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6903.73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6903.73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1881.22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1881.22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1881.22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1276.14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1276.14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1276.14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1469.70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1469.70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1469.7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5979.45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5979.45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4179.61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1799.84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1-3月份城乡居民医疗费用补助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1982.76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4-6月份城乡居民医疗费用补助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7731.54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7-9月份城乡居民医疗费用补助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2757.11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10-12月份城乡居民医疗费用补助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3238.99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15710.40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参保率达到95%，待遇保障受益面达到100%，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财政补贴按参保人数每人</w:t>
            </w:r>
            <w:r>
              <w:rPr>
                <w:rFonts w:hint="eastAsia" w:eastAsia="仿宋_GB2312"/>
                <w:sz w:val="24"/>
                <w:lang w:val="en-US" w:eastAsia="zh-CN"/>
              </w:rPr>
              <w:t>610</w:t>
            </w:r>
            <w:r>
              <w:rPr>
                <w:rFonts w:hint="eastAsia" w:eastAsia="仿宋_GB2312"/>
                <w:sz w:val="24"/>
              </w:rPr>
              <w:t>元标准补贴，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医疗待遇保障按规定标准及时支付到位。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1、参保率达到</w:t>
            </w:r>
            <w:r>
              <w:rPr>
                <w:rFonts w:hint="eastAsia" w:eastAsia="仿宋_GB2312"/>
                <w:sz w:val="24"/>
                <w:lang w:val="en-US" w:eastAsia="zh-CN"/>
              </w:rPr>
              <w:t>98.3</w:t>
            </w:r>
            <w:r>
              <w:rPr>
                <w:rFonts w:hint="eastAsia" w:eastAsia="仿宋_GB2312"/>
                <w:sz w:val="24"/>
              </w:rPr>
              <w:t>%，待遇保障受益面达到100%</w:t>
            </w:r>
            <w:r>
              <w:rPr>
                <w:rFonts w:hint="eastAsia" w:eastAsiaTheme="minorEastAsia"/>
                <w:sz w:val="24"/>
              </w:rPr>
              <w:t>；</w:t>
            </w:r>
          </w:p>
          <w:p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2、财政补贴按参保人数每人</w:t>
            </w:r>
            <w:r>
              <w:rPr>
                <w:rFonts w:hint="eastAsia" w:eastAsia="仿宋_GB2312"/>
                <w:sz w:val="24"/>
                <w:lang w:val="en-US" w:eastAsia="zh-CN"/>
              </w:rPr>
              <w:t>610</w:t>
            </w:r>
            <w:r>
              <w:rPr>
                <w:rFonts w:hint="eastAsia" w:eastAsia="仿宋_GB2312"/>
                <w:sz w:val="24"/>
              </w:rPr>
              <w:t>元标准补贴到位</w:t>
            </w:r>
            <w:r>
              <w:rPr>
                <w:rFonts w:hint="eastAsia" w:eastAsiaTheme="minorEastAsia"/>
                <w:sz w:val="24"/>
              </w:rPr>
              <w:t>；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3、医疗待遇保障按规定标准及时支付到位</w:t>
            </w:r>
            <w:r>
              <w:rPr>
                <w:rFonts w:hint="eastAsia" w:eastAsia="仿宋_GB2312"/>
                <w:sz w:val="24"/>
                <w:lang w:val="en-US" w:eastAsia="zh-CN"/>
              </w:rPr>
              <w:t>15710.4</w:t>
            </w:r>
            <w:r>
              <w:rPr>
                <w:rFonts w:hint="eastAsia" w:eastAsia="仿宋_GB2312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参保率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95%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98.3</w:t>
            </w:r>
            <w:r>
              <w:rPr>
                <w:rFonts w:hint="eastAsia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15"/>
                <w:szCs w:val="15"/>
              </w:rPr>
              <w:t>医疗保险待遇保障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sz w:val="15"/>
                <w:szCs w:val="15"/>
              </w:rPr>
              <w:t>每月按时完成任务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5"/>
                <w:szCs w:val="15"/>
              </w:rPr>
              <w:t>全年任务在年底完成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sz w:val="15"/>
                <w:szCs w:val="15"/>
              </w:rPr>
              <w:t>按规定标准补助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610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610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sz w:val="15"/>
                <w:szCs w:val="15"/>
              </w:rPr>
              <w:t>控制支出在预算内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封顶住院补偿金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</w:t>
            </w:r>
            <w:r>
              <w:rPr>
                <w:rFonts w:hint="eastAsia" w:eastAsia="仿宋_GB2312"/>
                <w:sz w:val="24"/>
              </w:rPr>
              <w:t>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</w:t>
            </w:r>
            <w:r>
              <w:rPr>
                <w:rFonts w:hint="eastAsia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15"/>
                <w:szCs w:val="15"/>
                <w:lang w:val="en-US" w:eastAsia="zh-CN"/>
              </w:rPr>
            </w:pPr>
            <w:r>
              <w:rPr>
                <w:rFonts w:hint="eastAsia" w:eastAsia="仿宋_GB2312"/>
                <w:sz w:val="15"/>
                <w:szCs w:val="15"/>
              </w:rPr>
              <w:t>控制支出在预算内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医疗保险问题得到保障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Cs w:val="21"/>
              </w:rPr>
              <w:t>服务满意度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92%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/>
              </w:rPr>
              <w:t>党志勤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/>
              </w:rPr>
              <w:t>中心主任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</w:t>
            </w:r>
            <w:r>
              <w:rPr>
                <w:rFonts w:hint="eastAsia" w:eastAsia="仿宋_GB2312"/>
                <w:sz w:val="24"/>
              </w:rPr>
              <w:t>君山区医疗保障事务中心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/>
              </w:rPr>
              <w:t>万琼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财务</w:t>
            </w: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</w:t>
            </w:r>
            <w:r>
              <w:rPr>
                <w:rFonts w:hint="eastAsia" w:eastAsia="仿宋_GB2312"/>
                <w:sz w:val="24"/>
              </w:rPr>
              <w:t>君山区医疗保障事务中心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/>
              </w:rPr>
              <w:t>朱丽辉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/>
              </w:rPr>
              <w:t>审核股长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</w:t>
            </w:r>
            <w:r>
              <w:rPr>
                <w:rFonts w:hint="eastAsia" w:eastAsia="仿宋_GB2312"/>
                <w:sz w:val="24"/>
              </w:rPr>
              <w:t>君山区医疗保障事务中心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财政部门归口业务股室负责人（签章）：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填报人（签名）：左瑶                          联系电话：8175108</w:t>
      </w:r>
    </w:p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eastAsia="方正大标宋简体"/>
                <w:color w:val="000000"/>
                <w:sz w:val="36"/>
                <w:szCs w:val="36"/>
              </w:rPr>
            </w:pPr>
            <w:r>
              <w:rPr>
                <w:rFonts w:hint="eastAsia" w:eastAsia="方正大标宋简体"/>
                <w:color w:val="000000"/>
                <w:sz w:val="36"/>
                <w:szCs w:val="36"/>
              </w:rPr>
              <w:t>君山区202</w:t>
            </w:r>
            <w:r>
              <w:rPr>
                <w:rFonts w:hint="eastAsia" w:eastAsia="方正大标宋简体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eastAsia="方正大标宋简体"/>
                <w:color w:val="000000"/>
                <w:sz w:val="36"/>
                <w:szCs w:val="36"/>
              </w:rPr>
              <w:t>年度</w:t>
            </w:r>
            <w:r>
              <w:rPr>
                <w:rFonts w:hint="eastAsia" w:eastAsia="方正大标宋简体"/>
                <w:color w:val="000000"/>
                <w:sz w:val="36"/>
                <w:szCs w:val="36"/>
              </w:rPr>
              <w:t>城乡居民医疗保险基金</w:t>
            </w:r>
          </w:p>
          <w:p>
            <w:pPr>
              <w:adjustRightInd w:val="0"/>
              <w:snapToGrid w:val="0"/>
              <w:spacing w:line="600" w:lineRule="atLeast"/>
              <w:jc w:val="center"/>
              <w:rPr>
                <w:rFonts w:eastAsia="楷体_GB2312"/>
                <w:color w:val="000000"/>
                <w:sz w:val="44"/>
                <w:szCs w:val="44"/>
              </w:rPr>
            </w:pPr>
            <w:r>
              <w:rPr>
                <w:rFonts w:hint="eastAsia" w:eastAsia="方正大标宋简体"/>
                <w:color w:val="000000"/>
                <w:sz w:val="36"/>
                <w:szCs w:val="36"/>
              </w:rPr>
              <w:t>支出项目</w:t>
            </w:r>
            <w:r>
              <w:rPr>
                <w:rFonts w:eastAsia="方正大标宋简体"/>
                <w:color w:val="000000"/>
                <w:sz w:val="36"/>
                <w:szCs w:val="36"/>
              </w:rPr>
              <w:t>绩效</w:t>
            </w:r>
            <w:r>
              <w:rPr>
                <w:rFonts w:hint="eastAsia" w:eastAsia="方正大标宋简体"/>
                <w:color w:val="000000"/>
                <w:sz w:val="36"/>
                <w:szCs w:val="36"/>
              </w:rPr>
              <w:t>评价自评报告综述</w:t>
            </w:r>
          </w:p>
          <w:p>
            <w:pPr>
              <w:adjustRightInd w:val="0"/>
              <w:snapToGrid w:val="0"/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一、项目基本概况</w:t>
            </w:r>
          </w:p>
          <w:p>
            <w:pPr>
              <w:spacing w:line="592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年度城乡居民医保筹集资金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17510.24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万元。资金来源：个人和部门资助参保资金为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5979.45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万元；各级配套资金为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11530.79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包含2021年中央、省、市级新冠疫苗及接种费用补助225.63万元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，其中：中央财政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6903.73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万元、省级财政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1881.22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万元、市级财政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1276.14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、区级财政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1469.7万元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的资金直接划入市级统筹基金专户（君山区和岳阳楼区等4个区列入市本级后，自201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年起，取消了城乡居民医保基金财政专户，故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中央、省市财政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数据可能有点差异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二、项目资金使用及管理情况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全年待遇支付住院统筹基金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11211.94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门诊大病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1142.51万元，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门诊统筹基金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1666.54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万元，大病保险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1412.4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新冠接种费用147.71万元，新冠检测费用129.3万元，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共计支付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基金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待遇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15710.4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年基金结余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1799.84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万元，基金累计结余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16364.81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万元（含家庭账户基金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2025.46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万元）。纳入市级统筹后，我区每季度根据基金使用进度分批向市医疗保障局申请预拨资金，同时提交申请报告和上月基金支出户银行余额回单。严格执行和落实省、市医疗保障局制定的城乡居民基本医疗保险政策兑现补助基金。按医保基金财务管理制度要求设立支出户，严格按照基金管理制度管理医保基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使用、支付，到区医疗保障事务中心执行报账的机构和个人一律实行集中会审和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系统线上转账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。按月、按季度和协议医疗机构审核、清算和结算，及时将医院垫付的兑付款拨付到位。</w:t>
            </w:r>
          </w:p>
          <w:p>
            <w:pPr>
              <w:adjustRightInd w:val="0"/>
              <w:snapToGrid w:val="0"/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三、项目组织实施情况</w:t>
            </w:r>
          </w:p>
          <w:p>
            <w:pPr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1、党委、政府高度重视，参保率创历年新高。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区委、区政府始终把城乡居民参保工作作为惠及广大群众的实事来抓，各镇（办）场党委、政府更是积极响应、高度重视，通过悬挂横幅、张贴标语、制作宣传窗、以村为单位公示年度补助情况等多种形式进行宣传，使群众真正认识到城乡居民医保的好处，进一步提高了广大城乡居民参加医保的积极性。</w:t>
            </w:r>
          </w:p>
          <w:p>
            <w:pPr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2、做好基金征缴，确保待遇支付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们主要做了一下工作：一是抓催缴落实医保全覆盖，通过政策宣传增强群众参保缴费意识，在规定时间内缴费并享受各级财政补助。二是巩固完善城乡居民医保待遇，严格执行医疗保障支付范围和标准，充分发挥医保的综合保障功能，进一步巩固和稳定住院待遇保障水平，完善门诊慢性病、特殊疾病待遇保障和普通门诊统筹，做好待遇衔接。</w:t>
            </w:r>
          </w:p>
          <w:p>
            <w:pPr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 xml:space="preserve">3、切实规范基金财务管理 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一是牢筑思想防线。认真执行医疗保险基金内部控制和财务制度。二是筑牢制度防线。我中心严格按照内部控制规定，逐项排查岗位风险点，严格执行岗位责任制和财务管理内控制度。三是筑牢监管防线。加强对医疗保险基金收、拨、支、存各主要环节的监督控制，坚持医疗费用“初审、复审、审批、支付”四级审批制度。四是筑牢风险预警防线。认真做好基金预决算工作，扎实开展基金自查工作，健全基金运行分析和风险预警机制，确保了基金安全稳健运行。 </w:t>
            </w:r>
          </w:p>
          <w:p>
            <w:pPr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4、严抓管理，打造群众满意窗口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一是规范了档案管理。</w:t>
            </w:r>
            <w:r>
              <w:rPr>
                <w:rFonts w:hint="eastAsia" w:ascii="仿宋_GB2312" w:hAnsi="仿宋" w:eastAsia="仿宋_GB2312" w:cs="仿宋"/>
                <w:sz w:val="24"/>
              </w:rPr>
              <w:t>按照省、市档案检查标准，已做到整档标准化、统一化，按标准完成归档、装订和编码工作。二是规范了政务公开。所有的收费项目、收费标准、政策依据能上墙的上墙，能在大厅电子屏显示的显示。三是规范了窗口设置。根据工作需要，在原有窗口的基础上，在服务大厅增设了服务咨询台。通过规范管理、用心服务，赢得了广大参保单位和人员的一致好评。</w:t>
            </w:r>
          </w:p>
          <w:p>
            <w:pPr>
              <w:spacing w:line="560" w:lineRule="exac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四、综合评价情况及评价结论</w:t>
            </w:r>
          </w:p>
          <w:p>
            <w:pPr>
              <w:spacing w:line="592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本年度执行情况自评分为</w:t>
            </w:r>
            <w:bookmarkStart w:id="0" w:name="_GoBack"/>
            <w:r>
              <w:rPr>
                <w:rFonts w:hint="eastAsia" w:eastAsia="仿宋_GB2312"/>
                <w:color w:val="auto"/>
                <w:sz w:val="24"/>
              </w:rPr>
              <w:t>99</w:t>
            </w:r>
            <w:bookmarkEnd w:id="0"/>
            <w:r>
              <w:rPr>
                <w:rFonts w:hint="eastAsia" w:eastAsia="仿宋_GB2312"/>
                <w:sz w:val="24"/>
              </w:rPr>
              <w:t>分，评价结论为优秀。</w:t>
            </w:r>
          </w:p>
          <w:p>
            <w:pPr>
              <w:adjustRightInd w:val="0"/>
              <w:snapToGrid w:val="0"/>
              <w:spacing w:line="53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五、项目主要绩效情况分析</w:t>
            </w:r>
          </w:p>
          <w:p>
            <w:pPr>
              <w:spacing w:line="592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1、质量指标完成情况: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（1）以户籍人口为基础计算的基本医保综合参保率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80.41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%；202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年君山区户籍人口为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246516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人，基本医保参保人员为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198215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其中职工医保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12885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人，城乡居民医保参保为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185330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人。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（2）以常住人口为基础计算的基本医保综合参保率为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98.3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%；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年君山区常住人口为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201634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人，基本医保参保人员为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231058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人，其中职工医保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12128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人，城乡居民医保参保为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218930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人。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（3）本区不存在重复参保人数。本区一直在省、市医保局的指导下开展参保数据信息清洗工作。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（4）本区不存在虚报参保人数。全部参保数据真实有效。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）按病种（组）、按人头付费等支付方式改革落实。如认真按照省市文件落实106个单病种政策。对协议医疗机构实行次均住院费用最高限定，并纳入协议管理。</w:t>
            </w:r>
          </w:p>
          <w:p>
            <w:pPr>
              <w:spacing w:line="53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）普遍开展门诊统筹，实现个人账户向门诊统筹的过渡。2019年11月，本区制定了《君山区城乡居民基本医疗保险门诊统筹实施细则》（君医保发〔2019〕13号）文件，自2020年1月起正式实施。</w:t>
            </w:r>
          </w:p>
          <w:p>
            <w:pPr>
              <w:spacing w:line="530" w:lineRule="exact"/>
              <w:ind w:firstLine="480" w:firstLineChars="200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DIP支付方式改革。按照市局统一安排，组织区人民医院、中医医院、区妇幼共三家二级医疗机构完成DIP支付方式改革数据上传和培训工作。</w:t>
            </w:r>
          </w:p>
          <w:p>
            <w:pPr>
              <w:spacing w:line="592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2、时效指标完成情况:</w:t>
            </w:r>
          </w:p>
          <w:p>
            <w:pPr>
              <w:spacing w:line="530" w:lineRule="exact"/>
              <w:ind w:firstLine="456" w:firstLineChars="19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各级财政配套资金均在规定时间内拨付到位。</w:t>
            </w:r>
          </w:p>
          <w:p>
            <w:pPr>
              <w:spacing w:line="592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cs="仿宋_GB2312" w:eastAsiaTheme="minor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3、效益指标完成情况分析</w:t>
            </w:r>
          </w:p>
          <w:p>
            <w:pPr>
              <w:spacing w:line="592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 w:eastAsiaTheme="minorEastAsia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 w:eastAsiaTheme="minorEastAsia"/>
                <w:color w:val="C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年保障住院补助金额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11211.94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，其中意外伤害补充保险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138.75万元，市级统一提取的意外伤害保险753.28万元；门诊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补助金额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2809.06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，其中享受“两病”待遇人次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13999，门诊慢特病待遇人次2929；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购买大病保险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185330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人，补助资金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1412.4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；新冠疫苗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接种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费用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147.71万元，接种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147711剂次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城居基本医疗保险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大幅减轻参保居民的医疗费用负担。</w:t>
            </w:r>
          </w:p>
          <w:p>
            <w:pPr>
              <w:spacing w:line="592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 xml:space="preserve">   4、满意度指标完成情况分析</w:t>
            </w:r>
          </w:p>
          <w:p>
            <w:pPr>
              <w:spacing w:line="592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 w:eastAsiaTheme="minorEastAsia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一是印发202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年城乡居民基本医疗保险待遇手册8万份、参保须知宣传单7万份送至千家万户；二是在君山手机报、微信等转发医保政策、医保报销流程、特殊病种门诊办理；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是在会议、培训班上宣讲医保待遇政策。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四是制作普法短视频为群众答疑医保政策。</w:t>
            </w:r>
          </w:p>
          <w:p>
            <w:pPr>
              <w:spacing w:line="560" w:lineRule="exac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六、主要经验及做法、存在问题</w:t>
            </w:r>
          </w:p>
          <w:p>
            <w:pPr>
              <w:spacing w:line="592" w:lineRule="exac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1、主要经验</w:t>
            </w:r>
            <w:r>
              <w:rPr>
                <w:rFonts w:hint="eastAsia" w:eastAsia="仿宋_GB2312"/>
                <w:b/>
                <w:bCs/>
                <w:sz w:val="24"/>
              </w:rPr>
              <w:t>和做法</w:t>
            </w:r>
          </w:p>
          <w:p>
            <w:pPr>
              <w:spacing w:line="592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）加强对定点医疗机构监管，充分发挥基金效益。一是年初与各定点医疗机构签订服务协议及责任状，明确界定各医院住院率、次均费用、可报比例、平均住院日等指标，要求定点医疗机构必须坚持因病施治、合理检查、合理治疗、合理用药的原则，积极主动地控制次均住院费用和住院率。二是我中心联合卫健局分别针对各定点医疗机构医疗收费、服务态度、服务质量、城乡居民基金安全管理等相关情况展开督查，及时发现问题，及时书面反馈，并要求其限期整改。三是与村医务室签订了服务协议。通过这一系列的措施，为城乡居民就医营造一个良好的医疗氛围，让广大群众真正得到优质、高效、便捷、价廉的医疗服务。</w:t>
            </w:r>
          </w:p>
          <w:p>
            <w:pPr>
              <w:spacing w:line="592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（2）创新稽查方式，杜绝违规行为。一是加强对意外伤害的现场查勘核实力度，凡因意外伤害在区外医疗机构住院的患者，必须先到我办登记备案，经调查核实无责任方后，方可补偿兑付。二是加强了网上稽查的力度，实时监控各医疗机构住院情况，及时对违规医疗机构下发核查通报并处置。</w:t>
            </w:r>
          </w:p>
          <w:p>
            <w:pPr>
              <w:spacing w:line="592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 w:eastAsiaTheme="minorEastAsia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(3)积极完善系统信息，规范信息系统管理。一是通过与网络公司沟通，核查系统参保信息不全的人数，与乡镇配合、村组收集更正参保信息，减少了城乡居民因参保信息不全的往返奔波，提高了政府满意度。二是创新方法，简化参保信息修改手续。参保信息错误可通过网上发送身份证截图到指定邮箱或QQ，即可完成修改,大大方便了参保群众修改信息造成的不便。三是加大城乡居民系统中各个医院的项目对应不全的清理，确保每条项目匹配准确，保障了补偿程序的畅通和患者的切身利益。</w:t>
            </w:r>
          </w:p>
          <w:p>
            <w:pPr>
              <w:adjustRightInd w:val="0"/>
              <w:snapToGrid w:val="0"/>
              <w:spacing w:line="544" w:lineRule="exact"/>
              <w:ind w:firstLine="482" w:firstLineChars="20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2、存在的问题</w:t>
            </w:r>
          </w:p>
          <w:p>
            <w:pPr>
              <w:spacing w:line="592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医保经办机构和基金监管压力仍然繁重。区医疗保障局人员编制少，事多而杂，区医疗保障事务中心医学背景的技术人员少，行政执法能力不足，基金监管压力巨大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要为全区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万居民的基本医疗保障提供服务。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建议增加区医疗保障局行政编制，招聘招录医学、法律专业人才，加强医保执法能力建设，切实做好基金监管工作，保证基金运行安全。</w:t>
            </w:r>
          </w:p>
          <w:p>
            <w:pPr>
              <w:adjustRightInd w:val="0"/>
              <w:snapToGrid w:val="0"/>
              <w:spacing w:line="544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（2）政策宣传力度需要进一步加大。目前还有部分居民对医保政策不了解，不愿意参保，生病住院了才来办理参保。我们还要多角度、全方位地加大宣传力度，探索医保政策宣传新途径，清除政策宣传死角。</w:t>
            </w:r>
          </w:p>
          <w:p>
            <w:pPr>
              <w:adjustRightInd w:val="0"/>
              <w:snapToGrid w:val="0"/>
              <w:spacing w:line="544" w:lineRule="exact"/>
              <w:ind w:firstLine="240" w:firstLineChars="100"/>
              <w:rPr>
                <w:rFonts w:hint="eastAsia" w:ascii="仿宋_GB2312" w:hAnsi="仿宋_GB2312" w:cs="仿宋_GB2312" w:eastAsiaTheme="minorEastAsia"/>
                <w:color w:val="000000"/>
                <w:sz w:val="24"/>
              </w:rPr>
            </w:pPr>
            <w:r>
              <w:rPr>
                <w:rFonts w:hint="eastAsia" w:ascii="仿宋_GB2312" w:hAnsi="仿宋_GB2312" w:cs="仿宋_GB2312" w:eastAsiaTheme="minorEastAsia"/>
                <w:color w:val="000000"/>
                <w:sz w:val="24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医疗监管力度需要加大，定点医疗机构违规行为时有发生，处罚力度需要进一步加大。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p/>
    <w:p/>
    <w:p/>
    <w:p>
      <w:pPr>
        <w:spacing w:before="312" w:beforeLines="100" w:after="312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项目支出绩效评价指标体系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③需提供佐证资料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①需提供佐证资料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此项需提供相应的资金分配方案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①需提供佐证资料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①需提供佐证资料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99</w:t>
            </w:r>
          </w:p>
        </w:tc>
      </w:tr>
    </w:tbl>
    <w:p>
      <w:pPr>
        <w:adjustRightInd w:val="0"/>
        <w:snapToGrid w:val="0"/>
        <w:spacing w:before="156" w:beforeLines="5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spacing w:line="160" w:lineRule="exact"/>
        <w:jc w:val="both"/>
        <w:rPr>
          <w:rFonts w:eastAsia="仿宋_GB2312"/>
          <w:w w:val="90"/>
          <w:sz w:val="28"/>
        </w:rPr>
      </w:pPr>
    </w:p>
    <w:p>
      <w:pPr>
        <w:pBdr>
          <w:top w:val="single" w:color="auto" w:sz="6" w:space="4"/>
          <w:bottom w:val="single" w:color="auto" w:sz="6" w:space="1"/>
        </w:pBdr>
        <w:spacing w:before="62" w:beforeLines="20" w:line="44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0" w:lineRule="exact"/>
        <w:ind w:right="560"/>
        <w:rPr>
          <w:rFonts w:ascii="仿宋_GB2312"/>
          <w:sz w:val="28"/>
          <w:szCs w:val="28"/>
        </w:rPr>
      </w:pPr>
      <w:r>
        <w:rPr>
          <w:rFonts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110490</wp:posOffset>
                </wp:positionV>
                <wp:extent cx="560006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8.7pt;height:0pt;width:440.95pt;z-index:251659264;mso-width-relative:page;mso-height-relative:page;" filled="f" stroked="t" coordsize="21600,21600" o:gfxdata="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l4tFLWAAAACAEAAA8AAAAAAAAAAQAgAAAAIgAAAGRycy9kb3ducmV2LnhtbFBLAQIUABQA&#10;AAAIAIdO4kDe1Nxg8gEAAOQ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MwZTljMzQ2MGE3YTQ2NDY1NmVjNWU4YmYyMmIifQ=="/>
  </w:docVars>
  <w:rsids>
    <w:rsidRoot w:val="78FA6888"/>
    <w:rsid w:val="00D15EFB"/>
    <w:rsid w:val="08165F7B"/>
    <w:rsid w:val="08A370A8"/>
    <w:rsid w:val="106229A1"/>
    <w:rsid w:val="11213109"/>
    <w:rsid w:val="12006B5D"/>
    <w:rsid w:val="1ACE5653"/>
    <w:rsid w:val="21BB4034"/>
    <w:rsid w:val="227D3645"/>
    <w:rsid w:val="2652615D"/>
    <w:rsid w:val="29414786"/>
    <w:rsid w:val="38BA3338"/>
    <w:rsid w:val="3B6721B4"/>
    <w:rsid w:val="3BDB41A2"/>
    <w:rsid w:val="3C95420C"/>
    <w:rsid w:val="498A07C5"/>
    <w:rsid w:val="5A683577"/>
    <w:rsid w:val="60594642"/>
    <w:rsid w:val="6121732C"/>
    <w:rsid w:val="78FA6888"/>
    <w:rsid w:val="7A8644A0"/>
    <w:rsid w:val="7DB50496"/>
    <w:rsid w:val="7EC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5650</Words>
  <Characters>6245</Characters>
  <Lines>0</Lines>
  <Paragraphs>0</Paragraphs>
  <TotalTime>521</TotalTime>
  <ScaleCrop>false</ScaleCrop>
  <LinksUpToDate>false</LinksUpToDate>
  <CharactersWithSpaces>6762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2022-08-05T02:29:00Z</dcterms:created>
  <dc:creator>右摆</dc:creator>
  <cp:lastModifiedBy>Administrator</cp:lastModifiedBy>
  <cp:lastPrinted>2023-07-11T03:00:41Z</cp:lastPrinted>
  <dcterms:modified xsi:type="dcterms:W3CDTF">2023-07-11T06:40:28Z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373A8EBAAB344966AED113BC2A2E52EC</vt:lpwstr>
  </property>
</Properties>
</file>