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both"/>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君山区</w:t>
      </w:r>
      <w:r>
        <w:rPr>
          <w:rFonts w:hint="eastAsia" w:eastAsia="方正小标宋简体"/>
          <w:bCs/>
          <w:sz w:val="46"/>
          <w:szCs w:val="46"/>
        </w:rPr>
        <w:t>20</w:t>
      </w:r>
      <w:r>
        <w:rPr>
          <w:rFonts w:hint="eastAsia" w:eastAsia="方正小标宋简体"/>
          <w:bCs/>
          <w:sz w:val="46"/>
          <w:szCs w:val="46"/>
          <w:u w:val="single"/>
          <w:lang w:val="en-US" w:eastAsia="zh-CN"/>
        </w:rPr>
        <w:t>21</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default" w:eastAsia="仿宋_GB2312"/>
          <w:sz w:val="32"/>
          <w:szCs w:val="32"/>
          <w:u w:val="single"/>
          <w:lang w:val="en-US" w:eastAsia="zh-CN"/>
        </w:rPr>
      </w:pPr>
      <w:r>
        <w:rPr>
          <w:rFonts w:hint="eastAsia" w:eastAsia="仿宋_GB2312"/>
          <w:sz w:val="32"/>
          <w:szCs w:val="32"/>
        </w:rPr>
        <w:t>部门(单位)名称：</w:t>
      </w:r>
      <w:r>
        <w:rPr>
          <w:rFonts w:hint="eastAsia" w:eastAsia="仿宋_GB2312"/>
          <w:sz w:val="32"/>
          <w:szCs w:val="32"/>
          <w:u w:val="single"/>
          <w:lang w:val="en-US" w:eastAsia="zh-CN"/>
        </w:rPr>
        <w:t>岳阳市君山区应急管理局</w:t>
      </w:r>
    </w:p>
    <w:p>
      <w:pPr>
        <w:spacing w:before="301" w:beforeLines="50" w:line="348" w:lineRule="auto"/>
        <w:ind w:firstLine="476" w:firstLineChars="150"/>
        <w:rPr>
          <w:rFonts w:hint="eastAsia" w:eastAsia="仿宋_GB2312"/>
          <w:spacing w:val="20"/>
          <w:sz w:val="32"/>
          <w:szCs w:val="32"/>
          <w:u w:val="single"/>
          <w:lang w:val="en-US" w:eastAsia="zh-CN"/>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lang w:val="en-US" w:eastAsia="zh-CN"/>
        </w:rPr>
        <w:t>153</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8</w:t>
      </w:r>
      <w:r>
        <w:rPr>
          <w:rFonts w:hint="eastAsia" w:eastAsia="仿宋_GB2312"/>
          <w:sz w:val="32"/>
        </w:rPr>
        <w:t>月</w:t>
      </w:r>
      <w:r>
        <w:rPr>
          <w:rFonts w:hint="eastAsia" w:eastAsia="仿宋_GB2312"/>
          <w:sz w:val="32"/>
          <w:lang w:val="en-US" w:eastAsia="zh-CN"/>
        </w:rPr>
        <w:t>15</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Borders>
            <w:top w:val="none" w:sz="0" w:space="0"/>
            <w:left w:val="none" w:sz="0" w:space="0"/>
            <w:bottom w:val="none" w:sz="0" w:space="0"/>
            <w:right w:val="none" w:sz="0" w:space="0"/>
          </w:pgBorders>
          <w:pgNumType w:fmt="decimal" w:start="1"/>
          <w:cols w:space="720" w:num="1"/>
          <w:docGrid w:type="linesAndChars" w:linePitch="602" w:charSpace="-782"/>
        </w:sectPr>
      </w:pPr>
      <w:r>
        <w:rPr>
          <w:rFonts w:hint="eastAsia" w:eastAsia="仿宋_GB2312"/>
          <w:sz w:val="32"/>
          <w:lang w:eastAsia="zh-CN"/>
        </w:rPr>
        <w:t>君山区</w:t>
      </w:r>
      <w:r>
        <w:rPr>
          <w:rFonts w:hint="eastAsia" w:eastAsia="仿宋_GB2312"/>
          <w:sz w:val="32"/>
        </w:rPr>
        <w:t>财政</w:t>
      </w:r>
      <w:r>
        <w:rPr>
          <w:rFonts w:hint="eastAsia" w:eastAsia="仿宋_GB2312"/>
          <w:sz w:val="32"/>
          <w:szCs w:val="32"/>
        </w:rPr>
        <w:t>局（制）</w:t>
      </w:r>
    </w:p>
    <w:tbl>
      <w:tblPr>
        <w:tblStyle w:val="8"/>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137"/>
        <w:gridCol w:w="943"/>
        <w:gridCol w:w="1460"/>
        <w:gridCol w:w="19"/>
        <w:gridCol w:w="226"/>
        <w:gridCol w:w="196"/>
        <w:gridCol w:w="699"/>
        <w:gridCol w:w="1044"/>
        <w:gridCol w:w="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揭新颖</w:t>
            </w:r>
          </w:p>
        </w:tc>
        <w:tc>
          <w:tcPr>
            <w:tcW w:w="1479"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联络电话</w:t>
            </w:r>
          </w:p>
        </w:tc>
        <w:tc>
          <w:tcPr>
            <w:tcW w:w="3106"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0730-8173512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w:t>
            </w:r>
          </w:p>
        </w:tc>
        <w:tc>
          <w:tcPr>
            <w:tcW w:w="1479"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5"/>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364"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3"/>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1、贯彻执行国家和省市有关安全生产工作的方针、政策和安全生产法律、法规及规章，指导协调全区安全生产工作，分析和预测全区安全生产形势，发布全区安全生产信息。</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依法行使全区安全生产综合监督管理职权，指导协调、监督检查区政府有关部门和街道（乡镇）安全生产工作，拟订安全生产目标管理考核标准和控制指标分解方案，监督考核并通报安全生产控制指标执行情况。</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承担工矿商贸生产经营单位（煤矿除外，下同）安全生产监督管理责任，按照分级、属地原则，依法监督检查工矿商贸生产经营单位贯彻执行安全生产法律法规情况及其安全生产条件和有关设备（特种设备除外）、材料、劳动防护用品的安全生产管理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4、依法履行非煤矿矿山企业和危险化学品、烟花爆竹生产经营单位有关安全生产行政许可职责；负责危险化学品安全监督管理综合工作和烟花爆竹安全生产经营监督管理工作。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5、承担用人单位职业卫生监督检查工作，组织查处职业危害事故和违法违规行为。</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6、监督检查工矿商贸生产经营单位安全生产规章、标准和规程的落实情况，监督检查工矿商贸生产经营单位重大危险源监控、重大事故隐患排查治理工作，依法查处工矿商贸生产经营单位安全生产违法行为。</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7、负责组织区人民政府安全生产大检查和专项督查，根据区人民政府授权，依法组织职责范围内的事故的调查处理和办理结案工作，监督事故查处和责任追究落实情况。</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8、负责组织指挥和协调全区安全生产应急救援工作，综合管理全区生产安全伤亡事故、安全生产行政执法和作业场所职业危害统计分析工作。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9、负责监督检查职责范围内新建、改建、扩建工程项目的安全设施与主体工程同时设计、同时施工、同时投产使用情况。</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指导组织并监督特种作业人员（煤矿特种作业人员、特种设备作业人员除外）和工矿商贸生产经营单位（煤矿除外）主要负责人、安全生产管理人员的安全资格培训工作，监督检查工矿商贸生产经营单位安全生产和职业安全培训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05"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3"/>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任务1：坚持纵深到底，全面压实安全生产责任。</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任务2：坚持重点防范，全面化解安全风险隐患。</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任务3：坚持依法治安，全面推进安全监管执法。</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：坚持责任担当，全面强化防灾减灾救灾。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：坚持固本强基，全面夯实基层安全基础。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345"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3"/>
            <w:vAlign w:val="center"/>
          </w:tcPr>
          <w:p>
            <w:pPr>
              <w:numPr>
                <w:ilvl w:val="0"/>
                <w:numId w:val="0"/>
              </w:num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坚持源头防控，着力防范区域性、系统性安全风险。全面开展道路交通顽瘴痼疾整治行动，全区共摸排整改隐患95处，整改完成率达100%。一批马路市场、超限超载、“两客一危”等顽瘴痼疾得到有效整治。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1"/>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939"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941"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1101.79</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0.41</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1101.38</w:t>
            </w:r>
          </w:p>
        </w:tc>
        <w:tc>
          <w:tcPr>
            <w:tcW w:w="1705"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939"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1101.79</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0.41</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1101.38</w:t>
            </w:r>
          </w:p>
        </w:tc>
        <w:tc>
          <w:tcPr>
            <w:tcW w:w="1705"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939"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939"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03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985" w:type="dxa"/>
            <w:gridSpan w:val="2"/>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540" w:type="dxa"/>
            <w:gridSpan w:val="3"/>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40" w:type="dxa"/>
            <w:gridSpan w:val="4"/>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044" w:type="dxa"/>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941"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46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40" w:type="dxa"/>
            <w:gridSpan w:val="4"/>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44" w:type="dxa"/>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1101.79</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408.98</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282.04</w:t>
            </w:r>
          </w:p>
        </w:tc>
        <w:tc>
          <w:tcPr>
            <w:tcW w:w="146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126.94</w:t>
            </w:r>
          </w:p>
        </w:tc>
        <w:tc>
          <w:tcPr>
            <w:tcW w:w="114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692.81</w:t>
            </w:r>
          </w:p>
        </w:tc>
        <w:tc>
          <w:tcPr>
            <w:tcW w:w="1044"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941"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1101.79</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408.98</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282.04</w:t>
            </w:r>
          </w:p>
        </w:tc>
        <w:tc>
          <w:tcPr>
            <w:tcW w:w="1460"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126.94</w:t>
            </w:r>
          </w:p>
        </w:tc>
        <w:tc>
          <w:tcPr>
            <w:tcW w:w="114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692.81</w:t>
            </w:r>
          </w:p>
        </w:tc>
        <w:tc>
          <w:tcPr>
            <w:tcW w:w="1044" w:type="dxa"/>
            <w:tcBorders>
              <w:right w:val="single" w:color="auto" w:sz="4" w:space="0"/>
            </w:tcBorders>
            <w:vAlign w:val="center"/>
          </w:tcPr>
          <w:p>
            <w:pPr>
              <w:autoSpaceDN w:val="0"/>
              <w:spacing w:line="320" w:lineRule="exact"/>
              <w:jc w:val="both"/>
              <w:textAlignment w:val="center"/>
              <w:rPr>
                <w:rFonts w:hint="eastAsia" w:ascii="仿宋_GB2312" w:hAnsi="仿宋_GB2312" w:eastAsia="仿宋_GB2312" w:cs="仿宋_GB2312"/>
                <w:color w:val="000000"/>
                <w:sz w:val="24"/>
              </w:rPr>
            </w:pPr>
          </w:p>
        </w:tc>
        <w:tc>
          <w:tcPr>
            <w:tcW w:w="941" w:type="dxa"/>
            <w:tcBorders>
              <w:left w:val="single" w:color="auto" w:sz="4" w:space="0"/>
            </w:tcBorders>
            <w:vAlign w:val="center"/>
          </w:tcPr>
          <w:p>
            <w:pPr>
              <w:autoSpaceDN w:val="0"/>
              <w:spacing w:line="320" w:lineRule="exact"/>
              <w:jc w:val="both"/>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6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44"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、二级机构</w:t>
            </w:r>
            <w:r>
              <w:rPr>
                <w:rFonts w:hint="eastAsia" w:ascii="仿宋_GB2312" w:hAnsi="仿宋_GB2312" w:eastAsia="仿宋_GB2312" w:cs="仿宋_GB2312"/>
                <w:sz w:val="24"/>
                <w:lang w:val="en-US" w:eastAsia="zh-CN"/>
              </w:rPr>
              <w:t>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6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44"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1"/>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46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12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6.82</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3.35</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3.47</w:t>
            </w:r>
          </w:p>
        </w:tc>
        <w:tc>
          <w:tcPr>
            <w:tcW w:w="146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2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6.82</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3.35</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3.47</w:t>
            </w:r>
          </w:p>
        </w:tc>
        <w:tc>
          <w:tcPr>
            <w:tcW w:w="146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2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6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25"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0"/>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6"/>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FFFF00"/>
                <w:sz w:val="24"/>
                <w:highlight w:val="yellow"/>
                <w:lang w:val="en-US" w:eastAsia="zh-CN"/>
              </w:rPr>
            </w:pPr>
            <w:r>
              <w:rPr>
                <w:rFonts w:hint="eastAsia" w:ascii="仿宋_GB2312" w:hAnsi="仿宋_GB2312" w:eastAsia="仿宋_GB2312" w:cs="仿宋_GB2312"/>
                <w:color w:val="auto"/>
                <w:sz w:val="24"/>
                <w:highlight w:val="none"/>
                <w:lang w:val="en-US" w:eastAsia="zh-CN"/>
              </w:rPr>
              <w:t>129.08</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FFFF00"/>
                <w:sz w:val="24"/>
                <w:highlight w:val="yellow"/>
                <w:lang w:val="en-US" w:eastAsia="zh-CN"/>
              </w:rPr>
            </w:pPr>
            <w:r>
              <w:rPr>
                <w:rFonts w:hint="eastAsia" w:ascii="仿宋_GB2312" w:hAnsi="仿宋_GB2312" w:eastAsia="仿宋_GB2312" w:cs="仿宋_GB2312"/>
                <w:color w:val="auto"/>
                <w:sz w:val="24"/>
                <w:highlight w:val="none"/>
                <w:lang w:val="en-US" w:eastAsia="zh-CN"/>
              </w:rPr>
              <w:t>129.08</w:t>
            </w:r>
          </w:p>
        </w:tc>
        <w:tc>
          <w:tcPr>
            <w:tcW w:w="3644" w:type="dxa"/>
            <w:gridSpan w:val="6"/>
            <w:vAlign w:val="center"/>
          </w:tcPr>
          <w:p>
            <w:pPr>
              <w:autoSpaceDN w:val="0"/>
              <w:spacing w:line="320" w:lineRule="exact"/>
              <w:jc w:val="center"/>
              <w:textAlignment w:val="center"/>
              <w:rPr>
                <w:rFonts w:hint="eastAsia" w:ascii="仿宋_GB2312" w:hAnsi="仿宋_GB2312" w:eastAsia="仿宋_GB2312" w:cs="仿宋_GB2312"/>
                <w:color w:val="FFFF00"/>
                <w:sz w:val="24"/>
                <w:highlight w:val="yellow"/>
              </w:rPr>
            </w:pPr>
          </w:p>
        </w:tc>
        <w:tc>
          <w:tcPr>
            <w:tcW w:w="941"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FFFF00"/>
                <w:kern w:val="2"/>
                <w:sz w:val="24"/>
                <w:szCs w:val="24"/>
                <w:highlight w:val="yellow"/>
                <w:lang w:val="en-US" w:eastAsia="zh-CN" w:bidi="ar-SA"/>
              </w:rPr>
            </w:pPr>
            <w:r>
              <w:rPr>
                <w:rFonts w:hint="eastAsia" w:ascii="仿宋_GB2312" w:hAnsi="仿宋_GB2312" w:eastAsia="仿宋_GB2312" w:cs="仿宋_GB2312"/>
                <w:color w:val="auto"/>
                <w:sz w:val="24"/>
                <w:highlight w:val="none"/>
                <w:lang w:val="en-US" w:eastAsia="zh-CN"/>
              </w:rPr>
              <w:t>129.08</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FFFF00"/>
                <w:kern w:val="2"/>
                <w:sz w:val="24"/>
                <w:szCs w:val="24"/>
                <w:highlight w:val="yellow"/>
                <w:lang w:val="en-US" w:eastAsia="zh-CN" w:bidi="ar-SA"/>
              </w:rPr>
            </w:pPr>
            <w:r>
              <w:rPr>
                <w:rFonts w:hint="eastAsia" w:ascii="仿宋_GB2312" w:hAnsi="仿宋_GB2312" w:eastAsia="仿宋_GB2312" w:cs="仿宋_GB2312"/>
                <w:color w:val="auto"/>
                <w:sz w:val="24"/>
                <w:highlight w:val="none"/>
                <w:lang w:val="en-US" w:eastAsia="zh-CN"/>
              </w:rPr>
              <w:t>129.08</w:t>
            </w:r>
          </w:p>
        </w:tc>
        <w:tc>
          <w:tcPr>
            <w:tcW w:w="364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任务1：坚持纵深到底，全面压实安全生产责任。</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任务2：坚持重点防范，全面化解安全风险隐患。</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任务3：坚持依法治安，全面推进安全监管执法。</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：坚持责任担当，全面强化防灾减灾救灾。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：坚持固本强基，全面夯实基层安全基础。</w:t>
            </w:r>
          </w:p>
        </w:tc>
        <w:tc>
          <w:tcPr>
            <w:tcW w:w="4585"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1、全面开展道路交通顽瘴痼疾整治行动，全区共摸排整改隐患124处。开展隐患自查自改，对1</w:t>
            </w:r>
            <w:bookmarkStart w:id="0" w:name="_GoBack"/>
            <w:bookmarkEnd w:id="0"/>
            <w:r>
              <w:rPr>
                <w:rFonts w:hint="eastAsia" w:ascii="仿宋_GB2312" w:hAnsi="仿宋_GB2312" w:eastAsia="仿宋_GB2312" w:cs="仿宋_GB2312"/>
                <w:color w:val="000000"/>
                <w:sz w:val="24"/>
                <w:lang w:val="en-US" w:eastAsia="zh-CN"/>
              </w:rPr>
              <w:t>处重大交通安全隐患进行挂牌督办。特别是区政府每年投入150万元用于基层安全隐患的整治，今年通过各镇（街道）场排查上报各类安全隐患100余处，全部实行隐患整治“一单四制”。</w:t>
            </w:r>
          </w:p>
          <w:p>
            <w:pPr>
              <w:autoSpaceDN w:val="0"/>
              <w:spacing w:line="320" w:lineRule="exact"/>
              <w:jc w:val="left"/>
              <w:textAlignment w:val="center"/>
              <w:rPr>
                <w:rFonts w:hint="eastAsia"/>
              </w:rPr>
            </w:pPr>
            <w:r>
              <w:rPr>
                <w:rFonts w:hint="eastAsia" w:ascii="仿宋_GB2312" w:hAnsi="仿宋_GB2312" w:eastAsia="仿宋_GB2312" w:cs="仿宋_GB2312"/>
                <w:color w:val="000000"/>
                <w:sz w:val="24"/>
                <w:lang w:val="en-US" w:eastAsia="zh-CN"/>
              </w:rPr>
              <w:t>2、防汛抗灾、森林防火有序推进，实现了洪涝、地质灾害、森林火灾“零事故”，打赢了城镇防涝、农田防渍、水库防守、江湖防洪“四大”保卫战，取得了未垮一库一坝，未溃一堤一垸，未发生群死群伤的决定性胜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83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844"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val="en-US" w:eastAsia="zh-CN"/>
              </w:rPr>
              <w:t>区</w:t>
            </w:r>
            <w:r>
              <w:rPr>
                <w:rFonts w:hint="eastAsia" w:ascii="仿宋_GB2312" w:hAnsi="仿宋_GB2312" w:eastAsia="仿宋_GB2312" w:cs="仿宋_GB2312"/>
                <w:color w:val="000000"/>
                <w:sz w:val="24"/>
              </w:rPr>
              <w:t>委</w:t>
            </w:r>
            <w:r>
              <w:rPr>
                <w:rFonts w:hint="eastAsia" w:ascii="仿宋_GB2312" w:hAnsi="仿宋_GB2312" w:eastAsia="仿宋_GB2312" w:cs="仿宋_GB2312"/>
                <w:color w:val="000000"/>
                <w:sz w:val="24"/>
                <w:lang w:val="en-US" w:eastAsia="zh-CN"/>
              </w:rPr>
              <w:t>区</w:t>
            </w:r>
            <w:r>
              <w:rPr>
                <w:rFonts w:hint="eastAsia" w:ascii="仿宋_GB2312" w:hAnsi="仿宋_GB2312" w:eastAsia="仿宋_GB2312" w:cs="仿宋_GB2312"/>
                <w:color w:val="000000"/>
                <w:sz w:val="24"/>
              </w:rPr>
              <w:t>政府布置的重点工作、实事任务等，根据部门实际进行调整细化）</w:t>
            </w:r>
          </w:p>
        </w:tc>
        <w:tc>
          <w:tcPr>
            <w:tcW w:w="1282"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844"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指标1：高标准建设完成君山区应急指挥中心。</w:t>
            </w:r>
          </w:p>
        </w:tc>
        <w:tc>
          <w:tcPr>
            <w:tcW w:w="2684" w:type="dxa"/>
            <w:gridSpan w:val="3"/>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实现视频系统与水利部门和各镇（街道）的互联互通。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82" w:type="dxa"/>
            <w:gridSpan w:val="2"/>
            <w:vMerge w:val="continue"/>
            <w:vAlign w:val="center"/>
          </w:tcPr>
          <w:p>
            <w:pPr>
              <w:spacing w:line="320" w:lineRule="exact"/>
              <w:rPr>
                <w:rFonts w:hint="eastAsia" w:ascii="仿宋_GB2312" w:hAnsi="仿宋_GB2312" w:eastAsia="仿宋_GB2312" w:cs="仿宋_GB2312"/>
                <w:sz w:val="24"/>
              </w:rPr>
            </w:pPr>
          </w:p>
        </w:tc>
        <w:tc>
          <w:tcPr>
            <w:tcW w:w="2844"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将安全生产工作纳入了“小康君山”建设综合绩效考核的重要内容。</w:t>
            </w:r>
          </w:p>
        </w:tc>
        <w:tc>
          <w:tcPr>
            <w:tcW w:w="2684" w:type="dxa"/>
            <w:gridSpan w:val="3"/>
            <w:vAlign w:val="center"/>
          </w:tcPr>
          <w:p>
            <w:pPr>
              <w:autoSpaceDN w:val="0"/>
              <w:spacing w:line="320" w:lineRule="exact"/>
              <w:jc w:val="left"/>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为安全生产提供了组织保障。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82"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844"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开展道路交通顽瘴痼疾整治行动，整改隐患。</w:t>
            </w:r>
          </w:p>
        </w:tc>
        <w:tc>
          <w:tcPr>
            <w:tcW w:w="2684" w:type="dxa"/>
            <w:gridSpan w:val="3"/>
            <w:vAlign w:val="center"/>
          </w:tcPr>
          <w:p>
            <w:pPr>
              <w:autoSpaceDN w:val="0"/>
              <w:spacing w:line="320" w:lineRule="exact"/>
              <w:jc w:val="left"/>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全区共摸排整改隐患103处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82"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844"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指标2：城镇防涝、农田防渍、水库防守、江湖防洪“四大”保卫战。</w:t>
            </w:r>
          </w:p>
        </w:tc>
        <w:tc>
          <w:tcPr>
            <w:tcW w:w="2684" w:type="dxa"/>
            <w:gridSpan w:val="3"/>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未垮一库一坝，未溃一堤一垸，未发生群死群伤的决定性胜利。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82"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844"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按照工作计划落实安全保障工作。</w:t>
            </w:r>
          </w:p>
        </w:tc>
        <w:tc>
          <w:tcPr>
            <w:tcW w:w="2684" w:type="dxa"/>
            <w:gridSpan w:val="3"/>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已按计划落实。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82"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844"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按照工作计划落实安全生产宣传、教育活动。</w:t>
            </w:r>
          </w:p>
        </w:tc>
        <w:tc>
          <w:tcPr>
            <w:tcW w:w="2684" w:type="dxa"/>
            <w:gridSpan w:val="3"/>
            <w:vAlign w:val="center"/>
          </w:tcPr>
          <w:p>
            <w:pPr>
              <w:autoSpaceDN w:val="0"/>
              <w:spacing w:line="320" w:lineRule="exact"/>
              <w:jc w:val="left"/>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已按工作计划完成。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82"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844"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严格控制专项资金的使用、审批。</w:t>
            </w:r>
          </w:p>
        </w:tc>
        <w:tc>
          <w:tcPr>
            <w:tcW w:w="2684" w:type="dxa"/>
            <w:gridSpan w:val="3"/>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专项资金使用范围、金额在控制在预算范围。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82"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844" w:type="dxa"/>
            <w:gridSpan w:val="5"/>
            <w:vAlign w:val="center"/>
          </w:tcPr>
          <w:p>
            <w:pPr>
              <w:autoSpaceDN w:val="0"/>
              <w:spacing w:line="320" w:lineRule="exact"/>
              <w:jc w:val="left"/>
              <w:textAlignment w:val="center"/>
              <w:rPr>
                <w:rFonts w:hint="default"/>
                <w:lang w:val="en-US" w:eastAsia="zh-CN"/>
              </w:rPr>
            </w:pPr>
            <w:r>
              <w:rPr>
                <w:rFonts w:hint="eastAsia" w:ascii="仿宋_GB2312" w:hAnsi="仿宋_GB2312" w:eastAsia="仿宋_GB2312" w:cs="仿宋_GB2312"/>
                <w:color w:val="000000"/>
                <w:sz w:val="24"/>
                <w:lang w:val="en-US" w:eastAsia="zh-CN"/>
              </w:rPr>
              <w:t>指标2：严控部门整体支出。</w:t>
            </w:r>
          </w:p>
        </w:tc>
        <w:tc>
          <w:tcPr>
            <w:tcW w:w="2684" w:type="dxa"/>
            <w:gridSpan w:val="3"/>
            <w:vAlign w:val="center"/>
          </w:tcPr>
          <w:p>
            <w:pPr>
              <w:autoSpaceDN w:val="0"/>
              <w:spacing w:line="320" w:lineRule="exact"/>
              <w:jc w:val="left"/>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2021年单位整体支出控制在预算范围。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282"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844"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防范洪涝、地质灾害、森林火灾。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指标2：组织</w:t>
            </w:r>
            <w:r>
              <w:rPr>
                <w:rFonts w:hint="eastAsia" w:ascii="仿宋_GB2312" w:hAnsi="仿宋_GB2312" w:eastAsia="仿宋_GB2312" w:cs="仿宋_GB2312"/>
                <w:color w:val="000000"/>
                <w:sz w:val="24"/>
              </w:rPr>
              <w:t>全国安全知识网络竞赛活动和第二届全国应急普法网络知识竞赛活动</w:t>
            </w:r>
            <w:r>
              <w:rPr>
                <w:rFonts w:hint="eastAsia" w:ascii="仿宋_GB2312" w:hAnsi="仿宋_GB2312" w:eastAsia="仿宋_GB2312" w:cs="仿宋_GB2312"/>
                <w:color w:val="000000"/>
                <w:sz w:val="24"/>
                <w:lang w:eastAsia="zh-CN"/>
              </w:rPr>
              <w:t>。</w:t>
            </w:r>
          </w:p>
        </w:tc>
        <w:tc>
          <w:tcPr>
            <w:tcW w:w="2684"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实现了洪涝、地质灾害、森林火灾“零事故”。</w:t>
            </w:r>
          </w:p>
          <w:p>
            <w:pPr>
              <w:autoSpaceDN w:val="0"/>
              <w:spacing w:line="320" w:lineRule="exact"/>
              <w:jc w:val="left"/>
              <w:textAlignment w:val="center"/>
              <w:rPr>
                <w:rFonts w:hint="default"/>
                <w:lang w:val="en-US" w:eastAsia="zh-CN"/>
              </w:rPr>
            </w:pPr>
            <w:r>
              <w:rPr>
                <w:rFonts w:hint="eastAsia" w:ascii="仿宋_GB2312" w:hAnsi="仿宋_GB2312" w:eastAsia="仿宋_GB2312" w:cs="仿宋_GB2312"/>
                <w:color w:val="000000"/>
                <w:sz w:val="24"/>
                <w:lang w:val="en-US" w:eastAsia="zh-CN"/>
              </w:rPr>
              <w:t>分别获得全市第一和全市第三的好成</w:t>
            </w:r>
            <w:r>
              <w:rPr>
                <w:rFonts w:hint="eastAsia" w:ascii="Times New Roman" w:hAnsi="Times New Roman" w:eastAsia="宋体" w:cs="Times New Roman"/>
                <w:kern w:val="2"/>
                <w:sz w:val="21"/>
                <w:szCs w:val="24"/>
                <w:lang w:val="en-US" w:eastAsia="zh-CN" w:bidi="ar-SA"/>
              </w:rPr>
              <w:t>绩</w:t>
            </w:r>
            <w:r>
              <w:rPr>
                <w:rFonts w:hint="eastAsia" w:cs="Times New Roman"/>
                <w:kern w:val="2"/>
                <w:sz w:val="21"/>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82"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844"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排查隐患，防患于未然。</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打好四大保卫战，促进社会经济发展。</w:t>
            </w:r>
          </w:p>
        </w:tc>
        <w:tc>
          <w:tcPr>
            <w:tcW w:w="2684"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实现了零事故，保障了人民的生命、财产安全。</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打好了四大保卫战，人们安居乐业。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82"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844"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做好森林防火，保护我区植被。</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防有害气体泄漏，保护我区生态。</w:t>
            </w:r>
          </w:p>
        </w:tc>
        <w:tc>
          <w:tcPr>
            <w:tcW w:w="2684" w:type="dxa"/>
            <w:gridSpan w:val="3"/>
            <w:vAlign w:val="center"/>
          </w:tcPr>
          <w:p>
            <w:pPr>
              <w:autoSpaceDN w:val="0"/>
              <w:spacing w:line="320" w:lineRule="exact"/>
              <w:jc w:val="left"/>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2021年森林火灾零事故，影响空气质量零事故。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282"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844"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服务对象总体满意。</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社会公众总体满意。</w:t>
            </w:r>
          </w:p>
        </w:tc>
        <w:tc>
          <w:tcPr>
            <w:tcW w:w="2684"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服务对象满意度98%。</w:t>
            </w:r>
          </w:p>
          <w:p>
            <w:pPr>
              <w:autoSpaceDN w:val="0"/>
              <w:spacing w:line="320" w:lineRule="exact"/>
              <w:jc w:val="left"/>
              <w:textAlignment w:val="center"/>
              <w:rPr>
                <w:rFonts w:hint="default"/>
                <w:lang w:val="en-US" w:eastAsia="zh-CN"/>
              </w:rPr>
            </w:pPr>
            <w:r>
              <w:rPr>
                <w:rFonts w:hint="eastAsia" w:ascii="仿宋_GB2312" w:hAnsi="仿宋_GB2312" w:eastAsia="仿宋_GB2312" w:cs="仿宋_GB2312"/>
                <w:color w:val="000000"/>
                <w:sz w:val="24"/>
                <w:lang w:val="en-US" w:eastAsia="zh-CN"/>
              </w:rPr>
              <w:t>社会公众满意度96%。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唐宝塔</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党委书记、局长</w:t>
            </w:r>
          </w:p>
        </w:tc>
        <w:tc>
          <w:tcPr>
            <w:tcW w:w="1479"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应急管理局</w:t>
            </w:r>
          </w:p>
        </w:tc>
        <w:tc>
          <w:tcPr>
            <w:tcW w:w="3106"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高波</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党委委员、副局长</w:t>
            </w:r>
          </w:p>
        </w:tc>
        <w:tc>
          <w:tcPr>
            <w:tcW w:w="1479"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应急管理局</w:t>
            </w:r>
          </w:p>
        </w:tc>
        <w:tc>
          <w:tcPr>
            <w:tcW w:w="3106"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柴劲</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总工程师</w:t>
            </w:r>
          </w:p>
        </w:tc>
        <w:tc>
          <w:tcPr>
            <w:tcW w:w="1479"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应急管理局</w:t>
            </w:r>
          </w:p>
        </w:tc>
        <w:tc>
          <w:tcPr>
            <w:tcW w:w="3106"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曹清</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人事计财股</w:t>
            </w:r>
          </w:p>
        </w:tc>
        <w:tc>
          <w:tcPr>
            <w:tcW w:w="1479"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应急管理局</w:t>
            </w:r>
          </w:p>
        </w:tc>
        <w:tc>
          <w:tcPr>
            <w:tcW w:w="3106"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5"/>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w:t>
            </w:r>
            <w:r>
              <w:rPr>
                <w:rFonts w:hint="eastAsia" w:eastAsia="仿宋_GB2312"/>
                <w:sz w:val="24"/>
                <w:lang w:eastAsia="zh-CN"/>
              </w:rPr>
              <w:t>股</w:t>
            </w:r>
            <w:r>
              <w:rPr>
                <w:rFonts w:hint="eastAsia" w:eastAsia="仿宋_GB2312"/>
                <w:sz w:val="24"/>
              </w:rPr>
              <w:t>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p>
      <w:pPr>
        <w:spacing w:line="348" w:lineRule="auto"/>
        <w:rPr>
          <w:rFonts w:eastAsia="楷体_GB2312"/>
          <w:bCs/>
          <w:sz w:val="28"/>
          <w:szCs w:val="28"/>
        </w:rPr>
      </w:pPr>
      <w:r>
        <w:rPr>
          <w:rFonts w:eastAsia="楷体_GB2312"/>
          <w:bCs/>
          <w:sz w:val="28"/>
          <w:szCs w:val="28"/>
        </w:rPr>
        <w:br w:type="page"/>
      </w:r>
    </w:p>
    <w:p>
      <w:pPr>
        <w:spacing w:line="440" w:lineRule="exact"/>
        <w:ind w:firstLine="723" w:firstLineChars="200"/>
        <w:jc w:val="center"/>
        <w:rPr>
          <w:rFonts w:hint="eastAsia" w:ascii="黑体" w:hAnsi="黑体" w:eastAsia="黑体" w:cs="黑体"/>
          <w:b/>
          <w:bCs/>
          <w:sz w:val="36"/>
          <w:szCs w:val="36"/>
          <w:u w:val="none"/>
          <w:lang w:val="en-US" w:eastAsia="zh-CN"/>
        </w:rPr>
      </w:pPr>
      <w:r>
        <w:rPr>
          <w:rFonts w:hint="eastAsia" w:ascii="黑体" w:hAnsi="黑体" w:eastAsia="黑体" w:cs="黑体"/>
          <w:b/>
          <w:bCs/>
          <w:sz w:val="36"/>
          <w:szCs w:val="36"/>
          <w:u w:val="none"/>
          <w:lang w:val="en-US" w:eastAsia="zh-CN"/>
        </w:rPr>
        <w:t>岳阳市君山区应急管理局</w:t>
      </w:r>
    </w:p>
    <w:p>
      <w:pPr>
        <w:spacing w:line="440" w:lineRule="exact"/>
        <w:ind w:firstLine="723" w:firstLineChars="200"/>
        <w:jc w:val="center"/>
        <w:rPr>
          <w:rFonts w:hint="eastAsia" w:ascii="黑体" w:hAnsi="黑体" w:eastAsia="黑体" w:cs="黑体"/>
          <w:b/>
          <w:bCs/>
          <w:sz w:val="36"/>
          <w:szCs w:val="36"/>
          <w:u w:val="none"/>
          <w:lang w:val="en-US" w:eastAsia="zh-CN"/>
        </w:rPr>
      </w:pPr>
      <w:r>
        <w:rPr>
          <w:rFonts w:hint="eastAsia" w:ascii="黑体" w:hAnsi="黑体" w:eastAsia="黑体" w:cs="黑体"/>
          <w:b/>
          <w:bCs/>
          <w:sz w:val="36"/>
          <w:szCs w:val="36"/>
          <w:u w:val="none"/>
          <w:lang w:val="en-US" w:eastAsia="zh-CN"/>
        </w:rPr>
        <w:t>2021年整体支出绩效评价报告</w:t>
      </w:r>
    </w:p>
    <w:p>
      <w:pPr>
        <w:spacing w:line="560" w:lineRule="exact"/>
        <w:ind w:firstLine="560" w:firstLineChars="200"/>
        <w:rPr>
          <w:rFonts w:hint="eastAsia" w:ascii="仿宋_GB2312" w:hAnsi="仿宋_GB2312" w:eastAsia="仿宋_GB2312" w:cs="仿宋_GB2312"/>
          <w:bCs/>
          <w:sz w:val="28"/>
          <w:szCs w:val="28"/>
        </w:rPr>
      </w:pPr>
    </w:p>
    <w:p>
      <w:pPr>
        <w:spacing w:line="560" w:lineRule="exact"/>
        <w:ind w:firstLine="560" w:firstLineChars="200"/>
        <w:rPr>
          <w:rFonts w:hint="eastAsia" w:ascii="黑体" w:hAnsi="黑体" w:eastAsia="黑体" w:cs="黑体"/>
          <w:bCs/>
          <w:sz w:val="28"/>
          <w:szCs w:val="28"/>
        </w:rPr>
      </w:pPr>
      <w:r>
        <w:rPr>
          <w:rFonts w:hint="eastAsia" w:ascii="仿宋_GB2312" w:hAnsi="仿宋_GB2312" w:eastAsia="仿宋_GB2312" w:cs="仿宋_GB2312"/>
          <w:bCs/>
          <w:sz w:val="28"/>
          <w:szCs w:val="28"/>
        </w:rPr>
        <w:t>根据《</w:t>
      </w:r>
      <w:r>
        <w:rPr>
          <w:rFonts w:hint="eastAsia" w:ascii="仿宋_GB2312" w:hAnsi="仿宋_GB2312" w:eastAsia="仿宋_GB2312" w:cs="仿宋_GB2312"/>
          <w:bCs/>
          <w:sz w:val="28"/>
          <w:szCs w:val="28"/>
          <w:lang w:eastAsia="zh-CN"/>
        </w:rPr>
        <w:t>君山区</w:t>
      </w:r>
      <w:r>
        <w:rPr>
          <w:rFonts w:hint="eastAsia" w:ascii="仿宋_GB2312" w:hAnsi="仿宋_GB2312" w:eastAsia="仿宋_GB2312" w:cs="仿宋_GB2312"/>
          <w:bCs/>
          <w:sz w:val="28"/>
          <w:szCs w:val="28"/>
        </w:rPr>
        <w:t>财政局关于开展20</w:t>
      </w:r>
      <w:r>
        <w:rPr>
          <w:rFonts w:hint="eastAsia" w:ascii="仿宋_GB2312" w:hAnsi="仿宋_GB2312" w:eastAsia="仿宋_GB2312" w:cs="仿宋_GB2312"/>
          <w:bCs/>
          <w:sz w:val="28"/>
          <w:szCs w:val="28"/>
          <w:lang w:val="en-US" w:eastAsia="zh-CN"/>
        </w:rPr>
        <w:t>22</w:t>
      </w:r>
      <w:r>
        <w:rPr>
          <w:rFonts w:hint="eastAsia" w:ascii="仿宋_GB2312" w:hAnsi="仿宋_GB2312" w:eastAsia="仿宋_GB2312" w:cs="仿宋_GB2312"/>
          <w:bCs/>
          <w:sz w:val="28"/>
          <w:szCs w:val="28"/>
        </w:rPr>
        <w:t>年度财政支出绩效自评工作的通知》（</w:t>
      </w:r>
      <w:r>
        <w:rPr>
          <w:rFonts w:hint="eastAsia" w:ascii="仿宋_GB2312" w:hAnsi="仿宋_GB2312" w:eastAsia="仿宋_GB2312" w:cs="仿宋_GB2312"/>
          <w:bCs/>
          <w:sz w:val="28"/>
          <w:szCs w:val="28"/>
          <w:lang w:eastAsia="zh-CN"/>
        </w:rPr>
        <w:t>岳君财发</w:t>
      </w: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10</w:t>
      </w:r>
      <w:r>
        <w:rPr>
          <w:rFonts w:hint="eastAsia" w:ascii="仿宋_GB2312" w:hAnsi="仿宋_GB2312" w:eastAsia="仿宋_GB2312" w:cs="仿宋_GB2312"/>
          <w:bCs/>
          <w:sz w:val="28"/>
          <w:szCs w:val="28"/>
        </w:rPr>
        <w:t>号）文件精神，为全面推进部门整体绩效目标的实现，提升财政资金的使用效率，强化预算支出的责任和效率，我</w:t>
      </w:r>
      <w:r>
        <w:rPr>
          <w:rFonts w:hint="eastAsia" w:ascii="仿宋_GB2312" w:hAnsi="仿宋_GB2312" w:eastAsia="仿宋_GB2312" w:cs="仿宋_GB2312"/>
          <w:bCs/>
          <w:sz w:val="28"/>
          <w:szCs w:val="28"/>
          <w:lang w:val="en-US" w:eastAsia="zh-CN"/>
        </w:rPr>
        <w:t>局</w:t>
      </w:r>
      <w:r>
        <w:rPr>
          <w:rFonts w:hint="eastAsia" w:ascii="仿宋_GB2312" w:hAnsi="仿宋_GB2312" w:eastAsia="仿宋_GB2312" w:cs="仿宋_GB2312"/>
          <w:bCs/>
          <w:sz w:val="28"/>
          <w:szCs w:val="28"/>
        </w:rPr>
        <w:t>对20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年部门整体支出开展了绩效自评。现将具体情况报告如下：</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君山区应急管理局</w:t>
      </w:r>
      <w:r>
        <w:rPr>
          <w:rFonts w:hint="eastAsia" w:ascii="仿宋_GB2312" w:hAnsi="仿宋_GB2312" w:eastAsia="仿宋_GB2312" w:cs="仿宋_GB2312"/>
          <w:bCs/>
          <w:sz w:val="28"/>
          <w:szCs w:val="28"/>
        </w:rPr>
        <w:t>内设</w:t>
      </w:r>
      <w:r>
        <w:rPr>
          <w:rFonts w:hint="eastAsia" w:ascii="仿宋_GB2312" w:hAnsi="仿宋_GB2312" w:eastAsia="仿宋_GB2312" w:cs="仿宋_GB2312"/>
          <w:bCs/>
          <w:sz w:val="28"/>
          <w:szCs w:val="28"/>
          <w:lang w:val="en-US" w:eastAsia="zh-CN"/>
        </w:rPr>
        <w:t>6</w:t>
      </w:r>
      <w:r>
        <w:rPr>
          <w:rFonts w:hint="eastAsia" w:ascii="仿宋_GB2312" w:hAnsi="仿宋_GB2312" w:eastAsia="仿宋_GB2312" w:cs="仿宋_GB2312"/>
          <w:bCs/>
          <w:sz w:val="28"/>
          <w:szCs w:val="28"/>
        </w:rPr>
        <w:t>个职能股室：办公室、人事计财股、工贸行业安全监管股、火灾防治管理股、安全监督管理股、防汛抗旱股；2个二级机构分别是安全生产监督执法大队、安全生产应急救援服务中心。核定编制</w:t>
      </w:r>
      <w:r>
        <w:rPr>
          <w:rFonts w:hint="eastAsia" w:ascii="仿宋_GB2312" w:hAnsi="仿宋_GB2312" w:eastAsia="仿宋_GB2312" w:cs="仿宋_GB2312"/>
          <w:bCs/>
          <w:sz w:val="28"/>
          <w:szCs w:val="28"/>
          <w:lang w:val="en-US" w:eastAsia="zh-CN"/>
        </w:rPr>
        <w:t>23</w:t>
      </w:r>
      <w:r>
        <w:rPr>
          <w:rFonts w:hint="eastAsia" w:ascii="仿宋_GB2312" w:hAnsi="仿宋_GB2312" w:eastAsia="仿宋_GB2312" w:cs="仿宋_GB2312"/>
          <w:bCs/>
          <w:sz w:val="28"/>
          <w:szCs w:val="28"/>
        </w:rPr>
        <w:t>名，</w:t>
      </w:r>
      <w:r>
        <w:rPr>
          <w:rFonts w:hint="eastAsia" w:ascii="仿宋_GB2312" w:hAnsi="仿宋_GB2312" w:eastAsia="仿宋_GB2312" w:cs="仿宋_GB2312"/>
          <w:bCs/>
          <w:sz w:val="28"/>
          <w:szCs w:val="28"/>
          <w:lang w:val="en-US" w:eastAsia="zh-CN"/>
        </w:rPr>
        <w:t>实有23人</w:t>
      </w:r>
      <w:r>
        <w:rPr>
          <w:rFonts w:hint="eastAsia" w:ascii="仿宋_GB2312" w:hAnsi="仿宋_GB2312" w:eastAsia="仿宋_GB2312" w:cs="仿宋_GB2312"/>
          <w:bCs/>
          <w:sz w:val="28"/>
          <w:szCs w:val="28"/>
        </w:rPr>
        <w:t>。</w:t>
      </w:r>
    </w:p>
    <w:p>
      <w:pPr>
        <w:widowControl/>
        <w:spacing w:line="480" w:lineRule="auto"/>
        <w:ind w:firstLine="480"/>
        <w:rPr>
          <w:rFonts w:ascii="宋体" w:cs="Times New Roman"/>
          <w:kern w:val="0"/>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二</w:t>
      </w:r>
      <w:r>
        <w:rPr>
          <w:rFonts w:hint="eastAsia" w:ascii="仿宋_GB2312" w:hAnsi="仿宋_GB2312" w:eastAsia="仿宋_GB2312" w:cs="仿宋_GB2312"/>
          <w:bCs/>
          <w:sz w:val="28"/>
          <w:szCs w:val="28"/>
        </w:rPr>
        <w:t>）部门</w:t>
      </w:r>
      <w:r>
        <w:rPr>
          <w:rFonts w:hint="eastAsia" w:ascii="宋体" w:hAnsi="宋体" w:eastAsia="仿宋_GB2312" w:cs="宋体"/>
          <w:kern w:val="0"/>
          <w:sz w:val="28"/>
          <w:szCs w:val="28"/>
          <w:lang w:val="en-US" w:eastAsia="zh-CN"/>
        </w:rPr>
        <w:t>主要</w:t>
      </w:r>
      <w:r>
        <w:rPr>
          <w:rFonts w:hint="eastAsia" w:ascii="宋体" w:hAnsi="宋体" w:cs="宋体"/>
          <w:kern w:val="0"/>
          <w:sz w:val="28"/>
          <w:szCs w:val="28"/>
        </w:rPr>
        <w:t>职责</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1、贯彻执行国家和省市有关安全生产工作的方针、政策和安全生产法律、法规及规章，指导协调全区安全生产工作，分析和预测全区安全生产形势，发布全区安全生产信息。</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依法行使全区安全生产综合监督管理职权，指导协调、监督检查区政府有关部门和街道（乡镇）安全生产工作，拟订安全生产目标管理考核标准和控制指标分解方案，监督考核并通报安全生产控制指标执行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承担工矿商贸生产经营单位（煤矿除外，下同）安全生产监督管理责任，按照分级、属地原则，依法监督检查工矿商贸生产经营单位贯彻执行安全生产法律法规情况及其安全生产条件和有关设备（特种设备除外）、材料、劳动防护用品的安全生产管理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4、依法履行非煤矿矿山企业和危险化学品、烟花爆竹生产经营单位有关安全生产行政许可职责；负责危险化学品安全监督管理综合工作和烟花爆竹安全生产经营监督管理工作。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5、承担用人单位职业卫生监督检查工作，组织查处职业危害事故和违法违规行为。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6、监督检查工矿商贸生产经营单位安全生产规章、标准和规程的落实情况，监督检查工矿商贸生产经营单位重大危险源监控、重大事故隐患排查治理工作，依法查处工矿商贸生产经营单位安全生产违法行为。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7、负责组织区人民政府安全生产大检查和专项督查，根据区人民政府授权，依法组织职责范围内的事故的调查处理和办理结案工作，监督事故查处和责任追究落实情况。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8、负责组织指挥和协调全区安全生产应急救援工作，综合管理全区生产安全伤亡事故、安全生产行政执法和作业场所职业危害统计分析工作。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9、负责监督检查职责范围内新建、改建、扩建工程项目的安全设施与主体工程同时设计、同时施工、同时投产使用情况。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10、指导组织并监督特种作业人员（煤矿特种作业人员、特种设备作业人员除外）和工矿商贸生产经营单位（煤矿除外）主要负责人、安全生产管理人员的安全资格培训工作，监督检查工矿商贸生产经营单位安全生产和职业安全培训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11、组织指导协调和监督全区安全生产行政执法工作。</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三</w:t>
      </w:r>
      <w:r>
        <w:rPr>
          <w:rFonts w:hint="eastAsia" w:ascii="仿宋_GB2312" w:hAnsi="仿宋_GB2312" w:eastAsia="仿宋_GB2312" w:cs="仿宋_GB2312"/>
          <w:bCs/>
          <w:sz w:val="28"/>
          <w:szCs w:val="28"/>
        </w:rPr>
        <w:t>）部门（单位）整体支出规模、使用方向和主要内容、涉及范围等</w:t>
      </w:r>
      <w:r>
        <w:rPr>
          <w:rFonts w:hint="eastAsia" w:ascii="仿宋_GB2312" w:hAnsi="仿宋_GB2312" w:eastAsia="仿宋_GB2312" w:cs="仿宋_GB2312"/>
          <w:bCs/>
          <w:sz w:val="28"/>
          <w:szCs w:val="28"/>
          <w:lang w:eastAsia="zh-CN"/>
        </w:rPr>
        <w:t>。</w:t>
      </w:r>
    </w:p>
    <w:p>
      <w:pPr>
        <w:spacing w:line="560" w:lineRule="exact"/>
        <w:ind w:firstLine="560" w:firstLineChars="200"/>
        <w:rPr>
          <w:rFonts w:hint="default"/>
          <w:lang w:val="en-US" w:eastAsia="zh-CN"/>
        </w:rPr>
      </w:pPr>
      <w:r>
        <w:rPr>
          <w:rFonts w:hint="eastAsia" w:ascii="仿宋_GB2312" w:hAnsi="仿宋_GB2312" w:eastAsia="仿宋_GB2312" w:cs="仿宋_GB2312"/>
          <w:bCs/>
          <w:sz w:val="28"/>
          <w:szCs w:val="28"/>
          <w:lang w:val="en-US" w:eastAsia="zh-CN"/>
        </w:rPr>
        <w:t>2021年君山区应急管理局整体支出为1101.79万元，其中：基本支出408.98万元，占总支出的37.12%，主要是确保机关运行所发生的支出，其中：工资福利支出282.04万元，公用经费126.94万元，对个人和家庭的补助0万元；项目支出692.81万元，主要用于森林防火、安全执法及应急管理、防汛抗旱及自然灾害救助等支出，占总支出的62.88%。</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（一）管理情况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君山区应急管理局根据《会计法》、《预算法》、《政府会计准则》、《政府会计制度》等法律法规和省财政厅及市财政局有关财务规章的规定，制订了君山区应急管理机关财务管理办法，明确了经费审批权限及程序，预算编制与管理、财务管理、资产购置与处置、财务监督等制度。同时我局还制订了公车管理制度，公务接待管理制度，政府采购内部控制制度等规章制度，明确了相应的原则和要求，全面、严格执行上述制度。</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（二）整体支出使用情况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基本支出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基本支出主要用于为保障机构正常运转、完成日常工作任务而发生的支出，包括人员经费和公用经费。2021年基本支出108.98万元，其中工资福利支出282.04万元，公用经费126.94万元，对个人和家庭的补助支出0万元。</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2021年“三公”经费支出6.82万元，财政下达控制数为7.5万元，完成财政下达控制数的90.93%，其中：公务车购置和运行费维护费3.47万元（其中公务车购置0万元，公务车运行维护费3.47万元），使用当年财政拨款支出3.47万元；公务接待费3.35万元；出国出境费0万元。</w:t>
      </w:r>
    </w:p>
    <w:p>
      <w:pPr>
        <w:numPr>
          <w:ilvl w:val="0"/>
          <w:numId w:val="0"/>
        </w:numPr>
        <w:spacing w:line="560" w:lineRule="exact"/>
        <w:ind w:left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专项支出</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项目支出是在基本支出之外为完成其特定工作任务而发生的支出，主要用于森林防火、防汛抗旱等专项支出。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default" w:ascii="仿宋_GB2312" w:hAnsi="仿宋_GB2312" w:eastAsia="仿宋_GB2312" w:cs="仿宋_GB2312"/>
          <w:bCs/>
          <w:sz w:val="28"/>
          <w:szCs w:val="28"/>
          <w:lang w:val="en-US" w:eastAsia="zh-CN"/>
        </w:rPr>
        <w:t>①</w:t>
      </w:r>
      <w:r>
        <w:rPr>
          <w:rFonts w:hint="eastAsia" w:ascii="仿宋_GB2312" w:hAnsi="仿宋_GB2312" w:eastAsia="仿宋_GB2312" w:cs="仿宋_GB2312"/>
          <w:bCs/>
          <w:sz w:val="28"/>
          <w:szCs w:val="28"/>
          <w:lang w:val="en-US" w:eastAsia="zh-CN"/>
        </w:rPr>
        <w:t>专项资金安排落实、总投入等情况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2021年我局专项资金年初结余0.41万元，本年财政拨款692.4万元，全部为本级财政安排，已全部到位共发生支出692.81万元，结余0万元。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default" w:ascii="仿宋_GB2312" w:hAnsi="仿宋_GB2312" w:eastAsia="仿宋_GB2312" w:cs="仿宋_GB2312"/>
          <w:bCs/>
          <w:sz w:val="28"/>
          <w:szCs w:val="28"/>
          <w:lang w:val="en-US" w:eastAsia="zh-CN"/>
        </w:rPr>
        <w:t>②</w:t>
      </w:r>
      <w:r>
        <w:rPr>
          <w:rFonts w:hint="eastAsia" w:ascii="仿宋_GB2312" w:hAnsi="仿宋_GB2312" w:eastAsia="仿宋_GB2312" w:cs="仿宋_GB2312"/>
          <w:bCs/>
          <w:sz w:val="28"/>
          <w:szCs w:val="28"/>
          <w:lang w:val="en-US" w:eastAsia="zh-CN"/>
        </w:rPr>
        <w:t>专项资金实际使用情况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本级财政安排专项资金692.81万元（含年初结余），专项资金支出692.81万元，其中：安全隐患资金支出208.47万元，森林防火14万元，冬苗临时生活补助200.34万元，民房重建补助145万元,其他灾害防治及应急管理支出125万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default" w:ascii="仿宋_GB2312" w:hAnsi="仿宋_GB2312" w:eastAsia="仿宋_GB2312" w:cs="仿宋_GB2312"/>
          <w:bCs/>
          <w:sz w:val="28"/>
          <w:szCs w:val="28"/>
          <w:lang w:val="en-US" w:eastAsia="zh-CN"/>
        </w:rPr>
        <w:t>③</w:t>
      </w:r>
      <w:r>
        <w:rPr>
          <w:rFonts w:hint="eastAsia" w:ascii="仿宋_GB2312" w:hAnsi="仿宋_GB2312" w:eastAsia="仿宋_GB2312" w:cs="仿宋_GB2312"/>
          <w:bCs/>
          <w:sz w:val="28"/>
          <w:szCs w:val="28"/>
          <w:lang w:val="en-US" w:eastAsia="zh-CN"/>
        </w:rPr>
        <w:t>专项资金管理情况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我局项目资金全部按财政国库集中支付制度要求使用和拨付，通过财政直接支付方式拨给项目实施单位。在拨付过程中严把监督审核关，建立健全内部审批制度，财务做好项目专帐，严格实行专款专用，保证资金及时足额用到项目中。</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（一）专项组织情况分析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我局2021年项目资金管理采取以项目实施单位为主体，应急管理局监管的管理体制，项目建设严格按照区财政局的要求，对于没有达到财评的项目采取议价的方式进行实施，达到财评标准的建设项目严格按财评的要求，进行财评和公开招标程序办理，其他项目由于投资较小，均未达到招投标金额标准，因此由项目实施单位自行组织实施。项目按照申报方案实施，有变更的按照项目管理制度经审批后再作调整实施。年终组织专业技术人员对项目进行了验收，项目任务全部完成，质量全部达标。</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（二）专项管理情况分析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我局按照项目资金管理制度要求，对项目实施和资金使用分配方案坚持我局党组会集体决策。对各类专项资金的支出制订工作方案，明确完成的具体时间，开展项目规划设计、部署工作，认真落实项目执行进度。</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2021年我局认真落实中央、省市区有关安全生产和应急管理决策部署，坚持“人民至上、生命至上”，牢固树立安全发展理念，以开展安全生产专项整治三年行动为抓手，加强监管执法，健全完善责任体系，为决胜全面建成小康社会、“守护好一江碧水，建设好精致君山”提供了坚实的安全保障。至目前为止，全区安全生产形势总体平稳，没有发生较大及以上安全事故，大部分行业领域稳定向好。我区连续五年被市委市政府评为全市安全生产优胜单位。2021年已推荐为全市优胜单位。</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（一）坚持纵深到底，全面压实安全生产责任。</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认真贯彻落实《地方党政领导干部安全生产责任制规定》《湖南省党政领导干部安全生产责任实施细则》，分别在区委常委会、区政府常务会议上专题学习传达，推动了君山区实施细则落实落地。</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（二）坚持重点防范，全面化解安全风险隐患。</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坚持源头防控，着力防范区域性、系统性安全风险。全面开展道路交通顽瘴痼疾整治行动，全区共摸排整改隐患95处，整改完成率达100%。开展隐患自查自改。</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（三）坚持依法治安，全面推进安全监管执法。</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国务院、省市部署，认真组织开展安全生产专项整治三年行动，区、镇两级安委和各重点行业领域迅速制定出台实施计划或实施方案，组建工作专班集中办公，迅速研究制定问题隐患和责任措施“两个清单”，制定调度会商、督导检查、通报交办等30余项工作制度。国庆中秋双节前，区三年行动专班联合区委、区政府督查室开展安全生产专项督查检查，对4个乡镇、1个办事处、14个区级部门、6个生产经营单位，下达督办函20份，下发督查通报2期，移交立案2起，督查整改隐患和问题167个，推动了乡镇属地责任、部门监管责任、企业主体责任的落实。</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（四）坚持责任担当，全面强化防灾减灾救灾。</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积极发挥区防汛办、区森防办、区减灾办作用，应急管理、水利、林业、农业农村等部门主动作为，密切配合、无缝对接、形成合力。今年来，防汛抗灾、森林防火有序推进，实现了洪涝、地质灾害、森林火灾“零事故”，打赢了城镇防涝、农田防渍、水库防守、江湖防洪“四大”保卫战，取得了未垮一库一坝，未溃一堤一垸，未发生群死群伤的决定性胜利。</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（五）坚持固本强基，全面夯实基层安全基础。</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广泛动员参与全国安全知识网络竞赛活动和第二届全国应急普法网络知识竞赛活动，分别获得全市第一和全市第三的好成绩。加强面向社会、面向群众的宣传教育和预警发布机制，全民安全防范能力进一步提升。</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1、安全生产长期性、复杂性、颠覆性丝毫不容懈怠，给我区安全工作敲响警钟。</w:t>
      </w:r>
    </w:p>
    <w:p>
      <w:pPr>
        <w:keepNext w:val="0"/>
        <w:keepLines w:val="0"/>
        <w:pageBreakBefore w:val="0"/>
        <w:widowControl w:val="0"/>
        <w:kinsoku/>
        <w:wordWrap/>
        <w:overflowPunct/>
        <w:topLinePunct w:val="0"/>
        <w:autoSpaceDE/>
        <w:autoSpaceDN/>
        <w:bidi w:val="0"/>
        <w:adjustRightInd/>
        <w:snapToGrid/>
        <w:spacing w:line="610" w:lineRule="exact"/>
        <w:ind w:firstLine="560" w:firstLineChars="200"/>
        <w:jc w:val="both"/>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2、自然灾害，防汛抗旱无法准确预测，预算无法准确把握。</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keepNext w:val="0"/>
        <w:keepLines w:val="0"/>
        <w:pageBreakBefore w:val="0"/>
        <w:widowControl w:val="0"/>
        <w:kinsoku/>
        <w:wordWrap/>
        <w:overflowPunct/>
        <w:topLinePunct w:val="0"/>
        <w:autoSpaceDE/>
        <w:autoSpaceDN/>
        <w:bidi w:val="0"/>
        <w:adjustRightInd/>
        <w:snapToGrid/>
        <w:spacing w:line="610" w:lineRule="exact"/>
        <w:ind w:firstLine="560" w:firstLineChars="200"/>
        <w:jc w:val="both"/>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1、加强事故防控。</w:t>
      </w:r>
    </w:p>
    <w:p>
      <w:pPr>
        <w:keepNext w:val="0"/>
        <w:keepLines w:val="0"/>
        <w:pageBreakBefore w:val="0"/>
        <w:widowControl w:val="0"/>
        <w:kinsoku/>
        <w:wordWrap/>
        <w:overflowPunct/>
        <w:topLinePunct w:val="0"/>
        <w:autoSpaceDE/>
        <w:autoSpaceDN/>
        <w:bidi w:val="0"/>
        <w:adjustRightInd/>
        <w:snapToGrid/>
        <w:spacing w:line="610" w:lineRule="exact"/>
        <w:ind w:firstLine="560" w:firstLineChars="200"/>
        <w:jc w:val="both"/>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2、加强乡镇应急能力建设。</w:t>
      </w:r>
    </w:p>
    <w:p>
      <w:pPr>
        <w:keepNext w:val="0"/>
        <w:keepLines w:val="0"/>
        <w:pageBreakBefore w:val="0"/>
        <w:widowControl w:val="0"/>
        <w:kinsoku/>
        <w:wordWrap/>
        <w:overflowPunct/>
        <w:topLinePunct w:val="0"/>
        <w:autoSpaceDE/>
        <w:autoSpaceDN/>
        <w:bidi w:val="0"/>
        <w:adjustRightInd/>
        <w:snapToGrid/>
        <w:spacing w:line="610" w:lineRule="exact"/>
        <w:ind w:firstLine="560" w:firstLineChars="200"/>
        <w:jc w:val="both"/>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3、开展安全生产“三年行动”。</w:t>
      </w:r>
    </w:p>
    <w:p>
      <w:pPr>
        <w:pStyle w:val="2"/>
        <w:rPr>
          <w:rFonts w:hint="eastAsia" w:ascii="仿宋_GB2312" w:hAnsi="仿宋_GB2312" w:eastAsia="仿宋_GB2312" w:cs="仿宋_GB2312"/>
          <w:bCs/>
          <w:sz w:val="28"/>
          <w:szCs w:val="28"/>
          <w:lang w:val="en-US" w:eastAsia="zh-CN"/>
        </w:rPr>
      </w:pPr>
    </w:p>
    <w:p>
      <w:pPr>
        <w:pStyle w:val="2"/>
        <w:rPr>
          <w:rFonts w:hint="eastAsia" w:ascii="仿宋_GB2312" w:hAnsi="仿宋_GB2312" w:eastAsia="仿宋_GB2312" w:cs="仿宋_GB2312"/>
          <w:bCs/>
          <w:sz w:val="28"/>
          <w:szCs w:val="28"/>
          <w:lang w:val="en-US" w:eastAsia="zh-CN"/>
        </w:rPr>
      </w:pPr>
    </w:p>
    <w:p>
      <w:pPr>
        <w:pStyle w:val="2"/>
        <w:rPr>
          <w:rFonts w:hint="eastAsia" w:ascii="仿宋_GB2312" w:hAnsi="仿宋_GB2312" w:eastAsia="仿宋_GB2312" w:cs="仿宋_GB2312"/>
          <w:bCs/>
          <w:sz w:val="28"/>
          <w:szCs w:val="28"/>
          <w:lang w:val="en-US" w:eastAsia="zh-CN"/>
        </w:rPr>
      </w:pPr>
    </w:p>
    <w:p>
      <w:pPr>
        <w:pStyle w:val="2"/>
        <w:rPr>
          <w:rFonts w:hint="eastAsia" w:ascii="仿宋_GB2312" w:hAnsi="仿宋_GB2312" w:eastAsia="仿宋_GB2312" w:cs="仿宋_GB2312"/>
          <w:bCs/>
          <w:sz w:val="28"/>
          <w:szCs w:val="28"/>
          <w:lang w:val="en-US" w:eastAsia="zh-CN"/>
        </w:rPr>
      </w:pPr>
    </w:p>
    <w:p>
      <w:pPr>
        <w:pStyle w:val="2"/>
        <w:rPr>
          <w:rFonts w:hint="eastAsia" w:ascii="仿宋_GB2312" w:hAnsi="仿宋_GB2312" w:eastAsia="仿宋_GB2312" w:cs="仿宋_GB2312"/>
          <w:bCs/>
          <w:sz w:val="28"/>
          <w:szCs w:val="28"/>
          <w:lang w:val="en-US" w:eastAsia="zh-CN"/>
        </w:rPr>
      </w:pPr>
    </w:p>
    <w:p>
      <w:pPr>
        <w:pStyle w:val="2"/>
        <w:rPr>
          <w:rFonts w:hint="eastAsia" w:ascii="仿宋_GB2312" w:hAnsi="仿宋_GB2312" w:eastAsia="仿宋_GB2312" w:cs="仿宋_GB2312"/>
          <w:bCs/>
          <w:sz w:val="28"/>
          <w:szCs w:val="28"/>
          <w:lang w:val="en-US" w:eastAsia="zh-CN"/>
        </w:rPr>
      </w:pPr>
    </w:p>
    <w:p>
      <w:pPr>
        <w:pStyle w:val="2"/>
        <w:rPr>
          <w:rFonts w:hint="eastAsia" w:ascii="仿宋_GB2312" w:hAnsi="仿宋_GB2312" w:eastAsia="仿宋_GB2312" w:cs="仿宋_GB2312"/>
          <w:bCs/>
          <w:sz w:val="28"/>
          <w:szCs w:val="28"/>
          <w:lang w:val="en-US" w:eastAsia="zh-CN"/>
        </w:rPr>
      </w:pPr>
    </w:p>
    <w:p>
      <w:pPr>
        <w:pStyle w:val="2"/>
        <w:rPr>
          <w:rFonts w:hint="eastAsia" w:ascii="仿宋_GB2312" w:hAnsi="仿宋_GB2312" w:eastAsia="仿宋_GB2312" w:cs="仿宋_GB2312"/>
          <w:bCs/>
          <w:sz w:val="28"/>
          <w:szCs w:val="28"/>
          <w:lang w:val="en-US" w:eastAsia="zh-CN"/>
        </w:rPr>
      </w:pPr>
    </w:p>
    <w:p>
      <w:pPr>
        <w:pStyle w:val="2"/>
        <w:rPr>
          <w:rFonts w:hint="default" w:ascii="仿宋_GB2312" w:hAnsi="仿宋_GB2312" w:eastAsia="仿宋_GB2312" w:cs="仿宋_GB2312"/>
          <w:bCs/>
          <w:sz w:val="28"/>
          <w:szCs w:val="28"/>
          <w:lang w:val="en-US" w:eastAsia="zh-CN"/>
        </w:rPr>
      </w:pPr>
    </w:p>
    <w:p>
      <w:pPr>
        <w:spacing w:line="348" w:lineRule="auto"/>
        <w:rPr>
          <w:rFonts w:eastAsia="楷体_GB2312"/>
          <w:bCs/>
          <w:sz w:val="28"/>
          <w:szCs w:val="28"/>
        </w:rPr>
      </w:pPr>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w:t>
      </w:r>
    </w:p>
    <w:tbl>
      <w:tblPr>
        <w:tblStyle w:val="8"/>
        <w:tblW w:w="10117" w:type="dxa"/>
        <w:jc w:val="center"/>
        <w:tblLayout w:type="fixed"/>
        <w:tblCellMar>
          <w:top w:w="0" w:type="dxa"/>
          <w:left w:w="108" w:type="dxa"/>
          <w:bottom w:w="0" w:type="dxa"/>
          <w:right w:w="108" w:type="dxa"/>
        </w:tblCellMar>
      </w:tblPr>
      <w:tblGrid>
        <w:gridCol w:w="1023"/>
        <w:gridCol w:w="1050"/>
        <w:gridCol w:w="1266"/>
        <w:gridCol w:w="4359"/>
        <w:gridCol w:w="619"/>
        <w:gridCol w:w="720"/>
        <w:gridCol w:w="1080"/>
      </w:tblGrid>
      <w:tr>
        <w:tblPrEx>
          <w:tblCellMar>
            <w:top w:w="0" w:type="dxa"/>
            <w:left w:w="108" w:type="dxa"/>
            <w:bottom w:w="0" w:type="dxa"/>
            <w:right w:w="108" w:type="dxa"/>
          </w:tblCellMar>
        </w:tblPrEx>
        <w:trPr>
          <w:trHeight w:val="560" w:hRule="atLeast"/>
          <w:jc w:val="center"/>
        </w:trPr>
        <w:tc>
          <w:tcPr>
            <w:tcW w:w="10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21"/>
                <w:szCs w:val="21"/>
              </w:rPr>
            </w:pPr>
            <w:r>
              <w:rPr>
                <w:rFonts w:hint="eastAsia" w:ascii="仿宋_GB2312" w:hAnsi="宋体" w:eastAsia="仿宋_GB2312" w:cs="宋体"/>
                <w:b/>
                <w:bCs/>
                <w:kern w:val="0"/>
                <w:sz w:val="21"/>
                <w:szCs w:val="21"/>
              </w:rPr>
              <w:t>一级指标</w:t>
            </w:r>
          </w:p>
        </w:tc>
        <w:tc>
          <w:tcPr>
            <w:tcW w:w="10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21"/>
                <w:szCs w:val="21"/>
              </w:rPr>
            </w:pPr>
            <w:r>
              <w:rPr>
                <w:rFonts w:hint="eastAsia" w:ascii="仿宋_GB2312" w:hAnsi="宋体" w:eastAsia="仿宋_GB2312" w:cs="宋体"/>
                <w:b/>
                <w:bCs/>
                <w:kern w:val="0"/>
                <w:sz w:val="21"/>
                <w:szCs w:val="21"/>
              </w:rPr>
              <w:t>二级指标</w:t>
            </w:r>
          </w:p>
        </w:tc>
        <w:tc>
          <w:tcPr>
            <w:tcW w:w="126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21"/>
                <w:szCs w:val="21"/>
              </w:rPr>
            </w:pPr>
            <w:r>
              <w:rPr>
                <w:rFonts w:hint="eastAsia" w:ascii="仿宋_GB2312" w:hAnsi="宋体" w:eastAsia="仿宋_GB2312" w:cs="宋体"/>
                <w:b/>
                <w:bCs/>
                <w:kern w:val="0"/>
                <w:sz w:val="21"/>
                <w:szCs w:val="21"/>
              </w:rPr>
              <w:t>三级指标</w:t>
            </w:r>
          </w:p>
        </w:tc>
        <w:tc>
          <w:tcPr>
            <w:tcW w:w="435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21"/>
                <w:szCs w:val="21"/>
              </w:rPr>
            </w:pPr>
            <w:r>
              <w:rPr>
                <w:rFonts w:hint="eastAsia" w:ascii="仿宋_GB2312" w:hAnsi="宋体" w:eastAsia="仿宋_GB2312" w:cs="宋体"/>
                <w:b/>
                <w:bCs/>
                <w:kern w:val="0"/>
                <w:sz w:val="21"/>
                <w:szCs w:val="21"/>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21"/>
                <w:szCs w:val="21"/>
              </w:rPr>
            </w:pPr>
            <w:r>
              <w:rPr>
                <w:rFonts w:hint="eastAsia" w:ascii="仿宋_GB2312" w:hAnsi="宋体" w:eastAsia="仿宋_GB2312" w:cs="宋体"/>
                <w:b/>
                <w:bCs/>
                <w:kern w:val="0"/>
                <w:sz w:val="21"/>
                <w:szCs w:val="21"/>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1"/>
                <w:szCs w:val="21"/>
              </w:rPr>
            </w:pPr>
            <w:r>
              <w:rPr>
                <w:rFonts w:hint="eastAsia" w:ascii="仿宋_GB2312" w:hAnsi="宋体" w:eastAsia="仿宋_GB2312" w:cs="宋体"/>
                <w:b/>
                <w:bCs/>
                <w:kern w:val="0"/>
                <w:sz w:val="21"/>
                <w:szCs w:val="21"/>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21"/>
                <w:szCs w:val="21"/>
              </w:rPr>
            </w:pPr>
            <w:r>
              <w:rPr>
                <w:rFonts w:hint="eastAsia" w:ascii="仿宋_GB2312" w:hAnsi="宋体" w:eastAsia="仿宋_GB2312" w:cs="宋体"/>
                <w:b/>
                <w:bCs/>
                <w:spacing w:val="-10"/>
                <w:kern w:val="0"/>
                <w:sz w:val="21"/>
                <w:szCs w:val="21"/>
              </w:rPr>
              <w:t>扣分原因和其他说明</w:t>
            </w:r>
          </w:p>
        </w:tc>
      </w:tr>
      <w:tr>
        <w:tblPrEx>
          <w:tblCellMar>
            <w:top w:w="0" w:type="dxa"/>
            <w:left w:w="108" w:type="dxa"/>
            <w:bottom w:w="0" w:type="dxa"/>
            <w:right w:w="108" w:type="dxa"/>
          </w:tblCellMar>
        </w:tblPrEx>
        <w:trPr>
          <w:trHeight w:val="570" w:hRule="atLeast"/>
          <w:jc w:val="center"/>
        </w:trPr>
        <w:tc>
          <w:tcPr>
            <w:tcW w:w="102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投  入</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（15分）</w:t>
            </w:r>
          </w:p>
        </w:tc>
        <w:tc>
          <w:tcPr>
            <w:tcW w:w="105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预算配置</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（15分）</w:t>
            </w:r>
          </w:p>
        </w:tc>
        <w:tc>
          <w:tcPr>
            <w:tcW w:w="1266"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财政供养人员</w:t>
            </w:r>
          </w:p>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控制率</w:t>
            </w:r>
          </w:p>
        </w:tc>
        <w:tc>
          <w:tcPr>
            <w:tcW w:w="4359"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r>
              <w:rPr>
                <w:rFonts w:hint="eastAsia" w:ascii="仿宋_GB2312" w:hAnsi="宋体" w:eastAsia="仿宋_GB2312" w:cs="宋体"/>
                <w:kern w:val="0"/>
                <w:sz w:val="21"/>
                <w:szCs w:val="21"/>
              </w:rPr>
              <w:t>以100%为标准。在职人员控制率</w:t>
            </w:r>
            <w:r>
              <w:rPr>
                <w:rFonts w:hint="eastAsia" w:ascii="宋体" w:hAnsi="宋体" w:cs="宋体"/>
                <w:kern w:val="0"/>
                <w:sz w:val="21"/>
                <w:szCs w:val="21"/>
              </w:rPr>
              <w:t>≦</w:t>
            </w:r>
            <w:r>
              <w:rPr>
                <w:rFonts w:hint="eastAsia" w:ascii="仿宋_GB2312" w:hAnsi="宋体" w:eastAsia="仿宋_GB2312" w:cs="宋体"/>
                <w:kern w:val="0"/>
                <w:sz w:val="21"/>
                <w:szCs w:val="21"/>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21"/>
                <w:szCs w:val="21"/>
              </w:rPr>
            </w:pPr>
          </w:p>
        </w:tc>
      </w:tr>
      <w:tr>
        <w:tblPrEx>
          <w:tblCellMar>
            <w:top w:w="0" w:type="dxa"/>
            <w:left w:w="108" w:type="dxa"/>
            <w:bottom w:w="0" w:type="dxa"/>
            <w:right w:w="108" w:type="dxa"/>
          </w:tblCellMar>
        </w:tblPrEx>
        <w:trPr>
          <w:trHeight w:val="553" w:hRule="atLeast"/>
          <w:jc w:val="center"/>
        </w:trPr>
        <w:tc>
          <w:tcPr>
            <w:tcW w:w="10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p>
        </w:tc>
        <w:tc>
          <w:tcPr>
            <w:tcW w:w="10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p>
        </w:tc>
        <w:tc>
          <w:tcPr>
            <w:tcW w:w="126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“三公经费”</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变动率</w:t>
            </w:r>
          </w:p>
        </w:tc>
        <w:tc>
          <w:tcPr>
            <w:tcW w:w="4359"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r>
              <w:rPr>
                <w:rFonts w:hint="eastAsia" w:ascii="仿宋_GB2312" w:hAnsi="宋体" w:eastAsia="仿宋_GB2312" w:cs="宋体"/>
                <w:kern w:val="0"/>
                <w:sz w:val="21"/>
                <w:szCs w:val="21"/>
              </w:rPr>
              <w:t>“三公经费”变动率</w:t>
            </w:r>
            <w:r>
              <w:rPr>
                <w:rFonts w:hint="eastAsia" w:ascii="宋体" w:hAnsi="宋体" w:cs="宋体"/>
                <w:kern w:val="0"/>
                <w:sz w:val="21"/>
                <w:szCs w:val="21"/>
              </w:rPr>
              <w:t>≦</w:t>
            </w:r>
            <w:r>
              <w:rPr>
                <w:rFonts w:hint="eastAsia" w:ascii="仿宋_GB2312" w:hAnsi="宋体" w:eastAsia="仿宋_GB2312" w:cs="宋体"/>
                <w:kern w:val="0"/>
                <w:sz w:val="21"/>
                <w:szCs w:val="21"/>
              </w:rPr>
              <w:t>0,计5分；</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21"/>
                <w:szCs w:val="21"/>
              </w:rPr>
            </w:pPr>
          </w:p>
        </w:tc>
      </w:tr>
      <w:tr>
        <w:tblPrEx>
          <w:tblCellMar>
            <w:top w:w="0" w:type="dxa"/>
            <w:left w:w="108" w:type="dxa"/>
            <w:bottom w:w="0" w:type="dxa"/>
            <w:right w:w="108" w:type="dxa"/>
          </w:tblCellMar>
        </w:tblPrEx>
        <w:trPr>
          <w:trHeight w:val="454" w:hRule="atLeast"/>
          <w:jc w:val="center"/>
        </w:trPr>
        <w:tc>
          <w:tcPr>
            <w:tcW w:w="10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p>
        </w:tc>
        <w:tc>
          <w:tcPr>
            <w:tcW w:w="10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p>
        </w:tc>
        <w:tc>
          <w:tcPr>
            <w:tcW w:w="126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重点支出</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安排率</w:t>
            </w:r>
          </w:p>
        </w:tc>
        <w:tc>
          <w:tcPr>
            <w:tcW w:w="4359"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r>
              <w:rPr>
                <w:rFonts w:hint="eastAsia" w:ascii="仿宋_GB2312" w:hAnsi="宋体" w:eastAsia="仿宋_GB2312" w:cs="宋体"/>
                <w:kern w:val="0"/>
                <w:sz w:val="21"/>
                <w:szCs w:val="21"/>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21"/>
                <w:szCs w:val="21"/>
              </w:rPr>
            </w:pPr>
          </w:p>
        </w:tc>
      </w:tr>
      <w:tr>
        <w:tblPrEx>
          <w:tblCellMar>
            <w:top w:w="0" w:type="dxa"/>
            <w:left w:w="108" w:type="dxa"/>
            <w:bottom w:w="0" w:type="dxa"/>
            <w:right w:w="108" w:type="dxa"/>
          </w:tblCellMar>
        </w:tblPrEx>
        <w:trPr>
          <w:trHeight w:val="776" w:hRule="atLeast"/>
          <w:jc w:val="center"/>
        </w:trPr>
        <w:tc>
          <w:tcPr>
            <w:tcW w:w="1023"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过  程</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（40分）</w:t>
            </w:r>
          </w:p>
        </w:tc>
        <w:tc>
          <w:tcPr>
            <w:tcW w:w="105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预算执行</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（15分）</w:t>
            </w:r>
          </w:p>
        </w:tc>
        <w:tc>
          <w:tcPr>
            <w:tcW w:w="126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预算调整率</w:t>
            </w:r>
          </w:p>
        </w:tc>
        <w:tc>
          <w:tcPr>
            <w:tcW w:w="4359"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r>
              <w:rPr>
                <w:rFonts w:hint="eastAsia" w:ascii="仿宋_GB2312" w:hAnsi="宋体" w:eastAsia="仿宋_GB2312" w:cs="宋体"/>
                <w:kern w:val="0"/>
                <w:sz w:val="21"/>
                <w:szCs w:val="21"/>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年初预算530.89万元</w:t>
            </w:r>
          </w:p>
        </w:tc>
      </w:tr>
      <w:tr>
        <w:tblPrEx>
          <w:tblCellMar>
            <w:top w:w="0" w:type="dxa"/>
            <w:left w:w="108" w:type="dxa"/>
            <w:bottom w:w="0" w:type="dxa"/>
            <w:right w:w="108" w:type="dxa"/>
          </w:tblCellMar>
        </w:tblPrEx>
        <w:trPr>
          <w:trHeight w:val="1039" w:hRule="atLeast"/>
          <w:jc w:val="center"/>
        </w:trPr>
        <w:tc>
          <w:tcPr>
            <w:tcW w:w="10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p>
        </w:tc>
        <w:tc>
          <w:tcPr>
            <w:tcW w:w="10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p>
        </w:tc>
        <w:tc>
          <w:tcPr>
            <w:tcW w:w="126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支付进度</w:t>
            </w:r>
          </w:p>
        </w:tc>
        <w:tc>
          <w:tcPr>
            <w:tcW w:w="4359"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r>
              <w:rPr>
                <w:rFonts w:hint="eastAsia" w:ascii="仿宋_GB2312" w:hAnsi="宋体" w:eastAsia="仿宋_GB2312" w:cs="宋体"/>
                <w:kern w:val="0"/>
                <w:sz w:val="21"/>
                <w:szCs w:val="21"/>
              </w:rPr>
              <w:t>春节前下达全部专项资金的50%；6月底前所有专项资金指标全部下达完。</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1"/>
                <w:szCs w:val="21"/>
              </w:rPr>
            </w:pPr>
          </w:p>
        </w:tc>
      </w:tr>
      <w:tr>
        <w:tblPrEx>
          <w:tblCellMar>
            <w:top w:w="0" w:type="dxa"/>
            <w:left w:w="108" w:type="dxa"/>
            <w:bottom w:w="0" w:type="dxa"/>
            <w:right w:w="108" w:type="dxa"/>
          </w:tblCellMar>
        </w:tblPrEx>
        <w:trPr>
          <w:trHeight w:val="619" w:hRule="atLeast"/>
          <w:jc w:val="center"/>
        </w:trPr>
        <w:tc>
          <w:tcPr>
            <w:tcW w:w="10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p>
        </w:tc>
        <w:tc>
          <w:tcPr>
            <w:tcW w:w="10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p>
        </w:tc>
        <w:tc>
          <w:tcPr>
            <w:tcW w:w="126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资金结余</w:t>
            </w:r>
          </w:p>
        </w:tc>
        <w:tc>
          <w:tcPr>
            <w:tcW w:w="4359"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r>
              <w:rPr>
                <w:rFonts w:hint="eastAsia" w:ascii="仿宋_GB2312" w:hAnsi="宋体" w:eastAsia="仿宋_GB2312" w:cs="宋体"/>
                <w:kern w:val="0"/>
                <w:sz w:val="21"/>
                <w:szCs w:val="21"/>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1"/>
                <w:szCs w:val="21"/>
              </w:rPr>
            </w:pPr>
          </w:p>
        </w:tc>
      </w:tr>
      <w:tr>
        <w:tblPrEx>
          <w:tblCellMar>
            <w:top w:w="0" w:type="dxa"/>
            <w:left w:w="108" w:type="dxa"/>
            <w:bottom w:w="0" w:type="dxa"/>
            <w:right w:w="108" w:type="dxa"/>
          </w:tblCellMar>
        </w:tblPrEx>
        <w:trPr>
          <w:trHeight w:val="495" w:hRule="atLeast"/>
          <w:jc w:val="center"/>
        </w:trPr>
        <w:tc>
          <w:tcPr>
            <w:tcW w:w="10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p>
        </w:tc>
        <w:tc>
          <w:tcPr>
            <w:tcW w:w="10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p>
        </w:tc>
        <w:tc>
          <w:tcPr>
            <w:tcW w:w="126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“三公经费”</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控制率</w:t>
            </w:r>
          </w:p>
        </w:tc>
        <w:tc>
          <w:tcPr>
            <w:tcW w:w="4359"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r>
              <w:rPr>
                <w:rFonts w:hint="eastAsia" w:ascii="仿宋_GB2312" w:hAnsi="宋体" w:eastAsia="仿宋_GB2312" w:cs="宋体"/>
                <w:kern w:val="0"/>
                <w:sz w:val="21"/>
                <w:szCs w:val="21"/>
              </w:rPr>
              <w:t>以100%为标准。三公经费控制率</w:t>
            </w:r>
            <w:r>
              <w:rPr>
                <w:rFonts w:hint="eastAsia" w:ascii="宋体" w:hAnsi="宋体" w:cs="宋体"/>
                <w:kern w:val="0"/>
                <w:sz w:val="21"/>
                <w:szCs w:val="21"/>
              </w:rPr>
              <w:t>≦</w:t>
            </w:r>
            <w:r>
              <w:rPr>
                <w:rFonts w:hint="eastAsia" w:ascii="仿宋_GB2312" w:hAnsi="宋体" w:eastAsia="仿宋_GB2312" w:cs="宋体"/>
                <w:kern w:val="0"/>
                <w:sz w:val="21"/>
                <w:szCs w:val="21"/>
              </w:rPr>
              <w:t>100%，计6分；</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1"/>
                <w:szCs w:val="21"/>
              </w:rPr>
            </w:pPr>
          </w:p>
        </w:tc>
      </w:tr>
      <w:tr>
        <w:tblPrEx>
          <w:tblCellMar>
            <w:top w:w="0" w:type="dxa"/>
            <w:left w:w="108" w:type="dxa"/>
            <w:bottom w:w="0" w:type="dxa"/>
            <w:right w:w="108" w:type="dxa"/>
          </w:tblCellMar>
        </w:tblPrEx>
        <w:trPr>
          <w:trHeight w:val="1033" w:hRule="atLeast"/>
          <w:jc w:val="center"/>
        </w:trPr>
        <w:tc>
          <w:tcPr>
            <w:tcW w:w="10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p>
        </w:tc>
        <w:tc>
          <w:tcPr>
            <w:tcW w:w="105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预算管理</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（15分）</w:t>
            </w:r>
          </w:p>
        </w:tc>
        <w:tc>
          <w:tcPr>
            <w:tcW w:w="126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管理制度</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健全性</w:t>
            </w:r>
          </w:p>
        </w:tc>
        <w:tc>
          <w:tcPr>
            <w:tcW w:w="4359"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r>
              <w:rPr>
                <w:rFonts w:hint="eastAsia" w:ascii="仿宋_GB2312" w:hAnsi="宋体" w:eastAsia="仿宋_GB2312" w:cs="宋体"/>
                <w:kern w:val="0"/>
                <w:sz w:val="21"/>
                <w:szCs w:val="21"/>
              </w:rPr>
              <w:t>①已制定或具有预算资金管理办法，内部财务管理制度、会计核算制度等管理制度，1分；</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②相关管理制度合法、合规、完整，1分；</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1"/>
                <w:szCs w:val="21"/>
              </w:rPr>
            </w:pPr>
          </w:p>
        </w:tc>
      </w:tr>
      <w:tr>
        <w:tblPrEx>
          <w:tblCellMar>
            <w:top w:w="0" w:type="dxa"/>
            <w:left w:w="108" w:type="dxa"/>
            <w:bottom w:w="0" w:type="dxa"/>
            <w:right w:w="108" w:type="dxa"/>
          </w:tblCellMar>
        </w:tblPrEx>
        <w:trPr>
          <w:trHeight w:val="1943" w:hRule="atLeast"/>
          <w:jc w:val="center"/>
        </w:trPr>
        <w:tc>
          <w:tcPr>
            <w:tcW w:w="102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p>
        </w:tc>
        <w:tc>
          <w:tcPr>
            <w:tcW w:w="10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p>
        </w:tc>
        <w:tc>
          <w:tcPr>
            <w:tcW w:w="126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资金使用</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合规性</w:t>
            </w:r>
          </w:p>
        </w:tc>
        <w:tc>
          <w:tcPr>
            <w:tcW w:w="4359"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21"/>
                <w:szCs w:val="21"/>
              </w:rPr>
            </w:pPr>
            <w:r>
              <w:rPr>
                <w:rFonts w:hint="eastAsia" w:ascii="仿宋_GB2312" w:hAnsi="宋体" w:eastAsia="仿宋_GB2312" w:cs="宋体"/>
                <w:kern w:val="0"/>
                <w:sz w:val="21"/>
                <w:szCs w:val="21"/>
              </w:rPr>
              <w:t>①支出符合国家财经法规和财务管理制度规定以及有关专项资金管理办法的规定；</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②资金拨付有完整的审批程序和手续；</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③项目支出按规定经过评估论证；</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④支出符合部门预算批复的用途；</w:t>
            </w:r>
            <w:r>
              <w:rPr>
                <w:rFonts w:hint="eastAsia" w:ascii="仿宋_GB2312" w:hAnsi="宋体" w:eastAsia="仿宋_GB2312" w:cs="宋体"/>
                <w:kern w:val="0"/>
                <w:sz w:val="21"/>
                <w:szCs w:val="21"/>
              </w:rPr>
              <w:br w:type="textWrapping"/>
            </w:r>
            <w:r>
              <w:rPr>
                <w:rFonts w:hint="eastAsia" w:ascii="仿宋_GB2312" w:hAnsi="宋体" w:eastAsia="仿宋_GB2312" w:cs="宋体"/>
                <w:spacing w:val="-6"/>
                <w:kern w:val="0"/>
                <w:sz w:val="21"/>
                <w:szCs w:val="21"/>
              </w:rPr>
              <w:t>⑤资金使用无截留、挤占、挪用、虚列支出等情况。</w:t>
            </w:r>
            <w:r>
              <w:rPr>
                <w:rFonts w:hint="eastAsia" w:ascii="仿宋_GB2312" w:hAnsi="宋体" w:eastAsia="仿宋_GB2312" w:cs="宋体"/>
                <w:spacing w:val="-6"/>
                <w:kern w:val="0"/>
                <w:sz w:val="21"/>
                <w:szCs w:val="21"/>
              </w:rPr>
              <w:br w:type="textWrapping"/>
            </w:r>
            <w:r>
              <w:rPr>
                <w:rFonts w:hint="eastAsia" w:ascii="仿宋_GB2312" w:hAnsi="宋体" w:eastAsia="仿宋_GB2312" w:cs="宋体"/>
                <w:spacing w:val="-6"/>
                <w:kern w:val="0"/>
                <w:sz w:val="21"/>
                <w:szCs w:val="21"/>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 w:val="21"/>
                <w:szCs w:val="21"/>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1"/>
                <w:szCs w:val="21"/>
              </w:rPr>
            </w:pPr>
          </w:p>
        </w:tc>
      </w:tr>
      <w:tr>
        <w:tblPrEx>
          <w:tblCellMar>
            <w:top w:w="0" w:type="dxa"/>
            <w:left w:w="108" w:type="dxa"/>
            <w:bottom w:w="0" w:type="dxa"/>
            <w:right w:w="108" w:type="dxa"/>
          </w:tblCellMar>
        </w:tblPrEx>
        <w:trPr>
          <w:trHeight w:val="450" w:hRule="atLeast"/>
          <w:jc w:val="center"/>
        </w:trPr>
        <w:tc>
          <w:tcPr>
            <w:tcW w:w="102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1"/>
                <w:szCs w:val="21"/>
              </w:rPr>
            </w:pPr>
          </w:p>
        </w:tc>
        <w:tc>
          <w:tcPr>
            <w:tcW w:w="105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1"/>
                <w:szCs w:val="21"/>
              </w:rPr>
            </w:pP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预决算信息公开性和完善性</w:t>
            </w:r>
          </w:p>
        </w:tc>
        <w:tc>
          <w:tcPr>
            <w:tcW w:w="435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1"/>
                <w:szCs w:val="21"/>
              </w:rPr>
            </w:pPr>
            <w:r>
              <w:rPr>
                <w:rFonts w:hint="eastAsia" w:ascii="仿宋_GB2312" w:hAnsi="宋体" w:eastAsia="仿宋_GB2312" w:cs="宋体"/>
                <w:kern w:val="0"/>
                <w:sz w:val="21"/>
                <w:szCs w:val="21"/>
              </w:rPr>
              <w:t>①按规定内容公开预决算信息，1分；</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②按规定时限公开预决算信息，0.5分；</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③基础数据信息和会计信息资料真实，0.5分；</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④基础数据信息和会计信息资料完整，0.5分；</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1"/>
                <w:szCs w:val="21"/>
              </w:rPr>
            </w:pPr>
          </w:p>
        </w:tc>
      </w:tr>
      <w:tr>
        <w:tblPrEx>
          <w:tblCellMar>
            <w:top w:w="0" w:type="dxa"/>
            <w:left w:w="108" w:type="dxa"/>
            <w:bottom w:w="0" w:type="dxa"/>
            <w:right w:w="108" w:type="dxa"/>
          </w:tblCellMar>
        </w:tblPrEx>
        <w:trPr>
          <w:trHeight w:val="570" w:hRule="atLeast"/>
          <w:jc w:val="center"/>
        </w:trPr>
        <w:tc>
          <w:tcPr>
            <w:tcW w:w="102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1"/>
                <w:szCs w:val="21"/>
              </w:rPr>
            </w:pPr>
          </w:p>
        </w:tc>
        <w:tc>
          <w:tcPr>
            <w:tcW w:w="105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　</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21"/>
                <w:szCs w:val="21"/>
              </w:rPr>
            </w:pPr>
            <w:r>
              <w:rPr>
                <w:rFonts w:hint="eastAsia" w:ascii="仿宋_GB2312" w:hAnsi="宋体" w:eastAsia="仿宋_GB2312" w:cs="宋体"/>
                <w:kern w:val="0"/>
                <w:sz w:val="21"/>
                <w:szCs w:val="21"/>
              </w:rPr>
              <w:t>政府采购</w:t>
            </w:r>
          </w:p>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执行率</w:t>
            </w:r>
          </w:p>
        </w:tc>
        <w:tc>
          <w:tcPr>
            <w:tcW w:w="435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1"/>
                <w:szCs w:val="21"/>
              </w:rPr>
            </w:pPr>
            <w:r>
              <w:rPr>
                <w:rFonts w:hint="eastAsia" w:ascii="仿宋_GB2312" w:hAnsi="宋体" w:eastAsia="仿宋_GB2312" w:cs="宋体"/>
                <w:kern w:val="0"/>
                <w:sz w:val="21"/>
                <w:szCs w:val="21"/>
              </w:rPr>
              <w:t>政府采购执行率等于100%的，得3分；</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1"/>
                <w:szCs w:val="21"/>
              </w:rPr>
            </w:pPr>
          </w:p>
        </w:tc>
      </w:tr>
      <w:tr>
        <w:tblPrEx>
          <w:tblCellMar>
            <w:top w:w="0" w:type="dxa"/>
            <w:left w:w="108" w:type="dxa"/>
            <w:bottom w:w="0" w:type="dxa"/>
            <w:right w:w="108" w:type="dxa"/>
          </w:tblCellMar>
        </w:tblPrEx>
        <w:trPr>
          <w:trHeight w:val="513" w:hRule="atLeast"/>
          <w:jc w:val="center"/>
        </w:trPr>
        <w:tc>
          <w:tcPr>
            <w:tcW w:w="102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1"/>
                <w:szCs w:val="21"/>
              </w:rPr>
            </w:pPr>
          </w:p>
        </w:tc>
        <w:tc>
          <w:tcPr>
            <w:tcW w:w="105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1"/>
                <w:szCs w:val="21"/>
              </w:rPr>
            </w:pP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公务卡刷卡率</w:t>
            </w:r>
          </w:p>
        </w:tc>
        <w:tc>
          <w:tcPr>
            <w:tcW w:w="435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1"/>
                <w:szCs w:val="21"/>
              </w:rPr>
            </w:pPr>
            <w:r>
              <w:rPr>
                <w:rFonts w:hint="eastAsia" w:ascii="仿宋_GB2312" w:hAnsi="宋体" w:eastAsia="仿宋_GB2312" w:cs="宋体"/>
                <w:kern w:val="0"/>
                <w:sz w:val="21"/>
                <w:szCs w:val="21"/>
              </w:rPr>
              <w:t>公务卡刷卡率达50％以上的，得3分。</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1"/>
                <w:szCs w:val="21"/>
              </w:rPr>
            </w:pPr>
          </w:p>
        </w:tc>
      </w:tr>
      <w:tr>
        <w:tblPrEx>
          <w:tblCellMar>
            <w:top w:w="0" w:type="dxa"/>
            <w:left w:w="108" w:type="dxa"/>
            <w:bottom w:w="0" w:type="dxa"/>
            <w:right w:w="108" w:type="dxa"/>
          </w:tblCellMar>
        </w:tblPrEx>
        <w:trPr>
          <w:trHeight w:val="735" w:hRule="atLeast"/>
          <w:jc w:val="center"/>
        </w:trPr>
        <w:tc>
          <w:tcPr>
            <w:tcW w:w="102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1"/>
                <w:szCs w:val="21"/>
              </w:rPr>
            </w:pPr>
          </w:p>
        </w:tc>
        <w:tc>
          <w:tcPr>
            <w:tcW w:w="105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资产管理</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（10分）</w:t>
            </w:r>
          </w:p>
        </w:tc>
        <w:tc>
          <w:tcPr>
            <w:tcW w:w="1266"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管理制度</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健全性</w:t>
            </w:r>
          </w:p>
        </w:tc>
        <w:tc>
          <w:tcPr>
            <w:tcW w:w="435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21"/>
                <w:szCs w:val="21"/>
              </w:rPr>
            </w:pPr>
            <w:r>
              <w:rPr>
                <w:rFonts w:hint="eastAsia" w:ascii="仿宋_GB2312" w:hAnsi="宋体" w:eastAsia="仿宋_GB2312" w:cs="宋体"/>
                <w:kern w:val="0"/>
                <w:sz w:val="21"/>
                <w:szCs w:val="21"/>
              </w:rPr>
              <w:t>①已制定或具有资产管理制度，且相关资产管理制度合法、合规、完整，2分；</w:t>
            </w:r>
            <w:r>
              <w:rPr>
                <w:rFonts w:hint="eastAsia" w:ascii="仿宋_GB2312" w:hAnsi="宋体" w:eastAsia="仿宋_GB2312" w:cs="宋体"/>
                <w:kern w:val="0"/>
                <w:sz w:val="21"/>
                <w:szCs w:val="21"/>
              </w:rPr>
              <w:br w:type="textWrapping"/>
            </w:r>
            <w:r>
              <w:rPr>
                <w:rFonts w:hint="eastAsia" w:ascii="仿宋_GB2312" w:hAnsi="宋体" w:eastAsia="仿宋_GB2312" w:cs="宋体"/>
                <w:kern w:val="0"/>
                <w:sz w:val="21"/>
                <w:szCs w:val="21"/>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1"/>
                <w:szCs w:val="21"/>
                <w:lang w:val="en-US" w:eastAsia="zh-CN"/>
              </w:rPr>
            </w:pPr>
            <w:r>
              <w:rPr>
                <w:rFonts w:hint="eastAsia" w:ascii="仿宋_GB2312" w:hAnsi="宋体" w:eastAsia="仿宋_GB2312" w:cs="宋体"/>
                <w:kern w:val="0"/>
                <w:sz w:val="21"/>
                <w:szCs w:val="21"/>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1"/>
                <w:szCs w:val="21"/>
              </w:rPr>
            </w:pPr>
          </w:p>
        </w:tc>
      </w:tr>
    </w:tbl>
    <w:p>
      <w:pPr>
        <w:spacing w:before="312" w:beforeLines="100" w:after="312" w:afterLines="100"/>
        <w:jc w:val="center"/>
        <w:rPr>
          <w:rFonts w:hint="eastAsia" w:ascii="方正小标宋简体" w:eastAsia="方正小标宋简体"/>
          <w:sz w:val="21"/>
          <w:szCs w:val="21"/>
        </w:rPr>
      </w:pPr>
    </w:p>
    <w:p>
      <w:pPr>
        <w:spacing w:before="312" w:beforeLines="100" w:after="312" w:afterLines="100"/>
        <w:jc w:val="center"/>
        <w:rPr>
          <w:rFonts w:hint="eastAsia" w:ascii="方正小标宋简体" w:eastAsia="方正小标宋简体"/>
          <w:sz w:val="36"/>
          <w:szCs w:val="36"/>
          <w:lang w:eastAsia="zh-CN"/>
        </w:rPr>
      </w:pPr>
      <w:r>
        <w:rPr>
          <w:rFonts w:hint="eastAsia" w:ascii="方正小标宋简体" w:eastAsia="方正小标宋简体"/>
          <w:sz w:val="36"/>
          <w:szCs w:val="36"/>
        </w:rPr>
        <w:t>部门整体支出绩效评价评分表</w:t>
      </w:r>
      <w:r>
        <w:rPr>
          <w:rFonts w:hint="eastAsia" w:ascii="方正小标宋简体" w:eastAsia="方正小标宋简体"/>
          <w:sz w:val="36"/>
          <w:szCs w:val="36"/>
          <w:lang w:eastAsia="zh-CN"/>
        </w:rPr>
        <w:t>（续）</w:t>
      </w:r>
    </w:p>
    <w:tbl>
      <w:tblPr>
        <w:tblStyle w:val="8"/>
        <w:tblW w:w="10128" w:type="dxa"/>
        <w:jc w:val="center"/>
        <w:tblLayout w:type="fixed"/>
        <w:tblCellMar>
          <w:top w:w="0" w:type="dxa"/>
          <w:left w:w="108" w:type="dxa"/>
          <w:bottom w:w="0" w:type="dxa"/>
          <w:right w:w="108" w:type="dxa"/>
        </w:tblCellMar>
      </w:tblPr>
      <w:tblGrid>
        <w:gridCol w:w="1050"/>
        <w:gridCol w:w="983"/>
        <w:gridCol w:w="1505"/>
        <w:gridCol w:w="4171"/>
        <w:gridCol w:w="619"/>
        <w:gridCol w:w="720"/>
        <w:gridCol w:w="1080"/>
      </w:tblGrid>
      <w:tr>
        <w:tblPrEx>
          <w:tblCellMar>
            <w:top w:w="0" w:type="dxa"/>
            <w:left w:w="108" w:type="dxa"/>
            <w:bottom w:w="0" w:type="dxa"/>
            <w:right w:w="108" w:type="dxa"/>
          </w:tblCellMar>
        </w:tblPrEx>
        <w:trPr>
          <w:trHeight w:val="609" w:hRule="atLeast"/>
          <w:jc w:val="center"/>
        </w:trPr>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一级指标</w:t>
            </w:r>
          </w:p>
        </w:tc>
        <w:tc>
          <w:tcPr>
            <w:tcW w:w="9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二级指标</w:t>
            </w:r>
          </w:p>
        </w:tc>
        <w:tc>
          <w:tcPr>
            <w:tcW w:w="150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Theme="minorEastAsia" w:hAnsiTheme="minorEastAsia" w:eastAsiaTheme="minorEastAsia" w:cstheme="minorEastAsia"/>
                <w:b/>
                <w:bCs/>
                <w:spacing w:val="-12"/>
                <w:kern w:val="0"/>
                <w:sz w:val="21"/>
                <w:szCs w:val="21"/>
              </w:rPr>
            </w:pPr>
            <w:r>
              <w:rPr>
                <w:rFonts w:hint="eastAsia" w:asciiTheme="minorEastAsia" w:hAnsiTheme="minorEastAsia" w:eastAsiaTheme="minorEastAsia" w:cstheme="minorEastAsia"/>
                <w:b/>
                <w:bCs/>
                <w:spacing w:val="-12"/>
                <w:kern w:val="0"/>
                <w:sz w:val="21"/>
                <w:szCs w:val="21"/>
              </w:rPr>
              <w:t>扣分原因和其他说明</w:t>
            </w:r>
          </w:p>
        </w:tc>
      </w:tr>
      <w:tr>
        <w:tblPrEx>
          <w:tblCellMar>
            <w:top w:w="0" w:type="dxa"/>
            <w:left w:w="108" w:type="dxa"/>
            <w:bottom w:w="0" w:type="dxa"/>
            <w:right w:w="108" w:type="dxa"/>
          </w:tblCellMar>
        </w:tblPrEx>
        <w:trPr>
          <w:trHeight w:val="1674" w:hRule="atLeast"/>
          <w:jc w:val="center"/>
        </w:trPr>
        <w:tc>
          <w:tcPr>
            <w:tcW w:w="10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过  程</w:t>
            </w:r>
          </w:p>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（40分）</w:t>
            </w:r>
          </w:p>
        </w:tc>
        <w:tc>
          <w:tcPr>
            <w:tcW w:w="9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资产管理</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（10分）</w:t>
            </w:r>
          </w:p>
        </w:tc>
        <w:tc>
          <w:tcPr>
            <w:tcW w:w="150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资产管理</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①资产保存完整；</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②资产配置合理；</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 xml:space="preserve">③资产处置规范； </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④资产账务管理合规，帐实相符；</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⑤资产有偿使用及处置收入及时足额上缴；</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390" w:hRule="atLeast"/>
          <w:jc w:val="center"/>
        </w:trPr>
        <w:tc>
          <w:tcPr>
            <w:tcW w:w="105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p>
        </w:tc>
        <w:tc>
          <w:tcPr>
            <w:tcW w:w="98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p>
        </w:tc>
        <w:tc>
          <w:tcPr>
            <w:tcW w:w="15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固定资产</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900" w:hRule="atLeast"/>
          <w:jc w:val="center"/>
        </w:trPr>
        <w:tc>
          <w:tcPr>
            <w:tcW w:w="105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产  出（25分）</w:t>
            </w:r>
          </w:p>
        </w:tc>
        <w:tc>
          <w:tcPr>
            <w:tcW w:w="98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职责履行</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（25分）</w:t>
            </w:r>
          </w:p>
        </w:tc>
        <w:tc>
          <w:tcPr>
            <w:tcW w:w="15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900" w:hRule="atLeast"/>
          <w:jc w:val="center"/>
        </w:trPr>
        <w:tc>
          <w:tcPr>
            <w:tcW w:w="105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p>
        </w:tc>
        <w:tc>
          <w:tcPr>
            <w:tcW w:w="98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p>
        </w:tc>
        <w:tc>
          <w:tcPr>
            <w:tcW w:w="15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900" w:hRule="atLeast"/>
          <w:jc w:val="center"/>
        </w:trPr>
        <w:tc>
          <w:tcPr>
            <w:tcW w:w="105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p>
        </w:tc>
        <w:tc>
          <w:tcPr>
            <w:tcW w:w="98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p>
        </w:tc>
        <w:tc>
          <w:tcPr>
            <w:tcW w:w="15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680" w:hRule="atLeast"/>
          <w:jc w:val="center"/>
        </w:trPr>
        <w:tc>
          <w:tcPr>
            <w:tcW w:w="105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p>
        </w:tc>
        <w:tc>
          <w:tcPr>
            <w:tcW w:w="98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p>
        </w:tc>
        <w:tc>
          <w:tcPr>
            <w:tcW w:w="15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887" w:hRule="atLeast"/>
          <w:jc w:val="center"/>
        </w:trPr>
        <w:tc>
          <w:tcPr>
            <w:tcW w:w="105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p>
        </w:tc>
        <w:tc>
          <w:tcPr>
            <w:tcW w:w="98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p>
        </w:tc>
        <w:tc>
          <w:tcPr>
            <w:tcW w:w="15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404" w:hRule="atLeast"/>
          <w:jc w:val="center"/>
        </w:trPr>
        <w:tc>
          <w:tcPr>
            <w:tcW w:w="105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p>
        </w:tc>
        <w:tc>
          <w:tcPr>
            <w:tcW w:w="98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p>
        </w:tc>
        <w:tc>
          <w:tcPr>
            <w:tcW w:w="15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年初其他工作实绩不具体</w:t>
            </w:r>
          </w:p>
        </w:tc>
      </w:tr>
      <w:tr>
        <w:tblPrEx>
          <w:tblCellMar>
            <w:top w:w="0" w:type="dxa"/>
            <w:left w:w="108" w:type="dxa"/>
            <w:bottom w:w="0" w:type="dxa"/>
            <w:right w:w="108" w:type="dxa"/>
          </w:tblCellMar>
        </w:tblPrEx>
        <w:trPr>
          <w:trHeight w:val="532" w:hRule="atLeast"/>
          <w:jc w:val="center"/>
        </w:trPr>
        <w:tc>
          <w:tcPr>
            <w:tcW w:w="105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效  果</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（20分）</w:t>
            </w:r>
          </w:p>
        </w:tc>
        <w:tc>
          <w:tcPr>
            <w:tcW w:w="98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履职效益</w:t>
            </w:r>
            <w:r>
              <w:rPr>
                <w:rFonts w:hint="eastAsia" w:asciiTheme="minorEastAsia" w:hAnsiTheme="minorEastAsia" w:eastAsiaTheme="minorEastAsia" w:cstheme="minorEastAsia"/>
                <w:kern w:val="0"/>
                <w:sz w:val="21"/>
                <w:szCs w:val="21"/>
              </w:rPr>
              <w:br w:type="textWrapping"/>
            </w:r>
            <w:r>
              <w:rPr>
                <w:rFonts w:hint="eastAsia" w:asciiTheme="minorEastAsia" w:hAnsiTheme="minorEastAsia" w:eastAsiaTheme="minorEastAsia" w:cstheme="minorEastAsia"/>
                <w:kern w:val="0"/>
                <w:sz w:val="21"/>
                <w:szCs w:val="21"/>
              </w:rPr>
              <w:t>（20分）</w:t>
            </w:r>
          </w:p>
        </w:tc>
        <w:tc>
          <w:tcPr>
            <w:tcW w:w="15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此三项指标为设置部门整体支出绩效评价指标时必须考虑的共性要素。</w:t>
            </w:r>
          </w:p>
          <w:p>
            <w:pPr>
              <w:widowControl/>
              <w:spacing w:line="24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476" w:hRule="atLeast"/>
          <w:jc w:val="center"/>
        </w:trPr>
        <w:tc>
          <w:tcPr>
            <w:tcW w:w="105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p>
        </w:tc>
        <w:tc>
          <w:tcPr>
            <w:tcW w:w="98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p>
        </w:tc>
        <w:tc>
          <w:tcPr>
            <w:tcW w:w="15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500" w:hRule="atLeast"/>
          <w:jc w:val="center"/>
        </w:trPr>
        <w:tc>
          <w:tcPr>
            <w:tcW w:w="105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p>
        </w:tc>
        <w:tc>
          <w:tcPr>
            <w:tcW w:w="98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p>
        </w:tc>
        <w:tc>
          <w:tcPr>
            <w:tcW w:w="150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Theme="minorEastAsia" w:hAnsiTheme="minorEastAsia" w:eastAsiaTheme="minorEastAsia" w:cstheme="minorEastAsia"/>
                <w:kern w:val="0"/>
                <w:sz w:val="21"/>
                <w:szCs w:val="21"/>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946" w:hRule="atLeast"/>
          <w:jc w:val="center"/>
        </w:trPr>
        <w:tc>
          <w:tcPr>
            <w:tcW w:w="105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Theme="minorEastAsia" w:hAnsiTheme="minorEastAsia" w:eastAsiaTheme="minorEastAsia" w:cstheme="minorEastAsia"/>
                <w:kern w:val="0"/>
                <w:sz w:val="21"/>
                <w:szCs w:val="21"/>
              </w:rPr>
            </w:pPr>
          </w:p>
        </w:tc>
        <w:tc>
          <w:tcPr>
            <w:tcW w:w="98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Theme="minorEastAsia" w:hAnsiTheme="minorEastAsia" w:eastAsiaTheme="minorEastAsia" w:cstheme="minorEastAsia"/>
                <w:kern w:val="0"/>
                <w:sz w:val="21"/>
                <w:szCs w:val="21"/>
              </w:rPr>
            </w:pPr>
          </w:p>
        </w:tc>
        <w:tc>
          <w:tcPr>
            <w:tcW w:w="1505"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95%（含）以上计5分；</w:t>
            </w:r>
          </w:p>
          <w:p>
            <w:pPr>
              <w:widowControl/>
              <w:spacing w:line="24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85%（含）-95%，计3分；</w:t>
            </w:r>
          </w:p>
          <w:p>
            <w:pPr>
              <w:widowControl/>
              <w:spacing w:line="24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75%（含）-85%，计1分；</w:t>
            </w:r>
          </w:p>
          <w:p>
            <w:pPr>
              <w:widowControl/>
              <w:spacing w:line="240" w:lineRule="exact"/>
              <w:jc w:val="lef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lang w:val="en-US" w:eastAsia="zh-CN"/>
              </w:rPr>
            </w:pPr>
            <w:r>
              <w:rPr>
                <w:rFonts w:hint="eastAsia" w:asciiTheme="minorEastAsia" w:hAnsiTheme="minorEastAsia" w:eastAsiaTheme="minorEastAsia" w:cstheme="minorEastAsia"/>
                <w:kern w:val="0"/>
                <w:sz w:val="21"/>
                <w:szCs w:val="21"/>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kern w:val="0"/>
                <w:sz w:val="21"/>
                <w:szCs w:val="21"/>
              </w:rPr>
            </w:pPr>
          </w:p>
        </w:tc>
      </w:tr>
      <w:tr>
        <w:tblPrEx>
          <w:tblCellMar>
            <w:top w:w="0" w:type="dxa"/>
            <w:left w:w="108" w:type="dxa"/>
            <w:bottom w:w="0" w:type="dxa"/>
            <w:right w:w="108" w:type="dxa"/>
          </w:tblCellMar>
        </w:tblPrEx>
        <w:trPr>
          <w:trHeight w:val="491" w:hRule="atLeast"/>
          <w:jc w:val="center"/>
        </w:trPr>
        <w:tc>
          <w:tcPr>
            <w:tcW w:w="105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总 分</w:t>
            </w:r>
          </w:p>
        </w:tc>
        <w:tc>
          <w:tcPr>
            <w:tcW w:w="983"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b/>
                <w:bCs/>
                <w:kern w:val="0"/>
                <w:sz w:val="21"/>
                <w:szCs w:val="21"/>
              </w:rPr>
            </w:pPr>
          </w:p>
        </w:tc>
        <w:tc>
          <w:tcPr>
            <w:tcW w:w="1505"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b/>
                <w:bCs/>
                <w:kern w:val="0"/>
                <w:sz w:val="21"/>
                <w:szCs w:val="21"/>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b/>
                <w:bCs/>
                <w:kern w:val="0"/>
                <w:sz w:val="21"/>
                <w:szCs w:val="21"/>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b/>
                <w:bCs/>
                <w:spacing w:val="-8"/>
                <w:kern w:val="0"/>
                <w:sz w:val="21"/>
                <w:szCs w:val="21"/>
              </w:rPr>
            </w:pPr>
            <w:r>
              <w:rPr>
                <w:rFonts w:hint="eastAsia" w:asciiTheme="minorEastAsia" w:hAnsiTheme="minorEastAsia" w:eastAsiaTheme="minorEastAsia" w:cstheme="minorEastAsia"/>
                <w:b/>
                <w:bCs/>
                <w:spacing w:val="-8"/>
                <w:kern w:val="0"/>
                <w:sz w:val="21"/>
                <w:szCs w:val="21"/>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b/>
                <w:bCs/>
                <w:kern w:val="0"/>
                <w:sz w:val="21"/>
                <w:szCs w:val="21"/>
                <w:lang w:val="en-US" w:eastAsia="zh-CN"/>
              </w:rPr>
            </w:pPr>
            <w:r>
              <w:rPr>
                <w:rFonts w:hint="eastAsia" w:asciiTheme="minorEastAsia" w:hAnsiTheme="minorEastAsia" w:eastAsiaTheme="minorEastAsia" w:cstheme="minorEastAsia"/>
                <w:b/>
                <w:bCs/>
                <w:kern w:val="0"/>
                <w:sz w:val="21"/>
                <w:szCs w:val="21"/>
                <w:lang w:val="en-US" w:eastAsia="zh-CN"/>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b/>
                <w:bCs/>
                <w:kern w:val="0"/>
                <w:sz w:val="21"/>
                <w:szCs w:val="21"/>
              </w:rPr>
            </w:pPr>
          </w:p>
        </w:tc>
      </w:tr>
    </w:tbl>
    <w:p>
      <w:pPr>
        <w:spacing w:before="156" w:beforeLines="50"/>
        <w:rPr>
          <w:rFonts w:hint="eastAsia" w:ascii="仿宋_GB2312" w:hAnsi="宋体" w:eastAsia="仿宋_GB2312" w:cs="宋体"/>
          <w:kern w:val="0"/>
          <w:szCs w:val="21"/>
        </w:rPr>
      </w:pPr>
      <w:r>
        <w:rPr>
          <w:rFonts w:hint="eastAsia" w:asciiTheme="minorEastAsia" w:hAnsiTheme="minorEastAsia" w:eastAsiaTheme="minorEastAsia" w:cstheme="minorEastAsia"/>
          <w:kern w:val="0"/>
          <w:sz w:val="21"/>
          <w:szCs w:val="21"/>
        </w:rPr>
        <w:t>备注：如部门（单位）根据本部门实际情况修改调整了附件3《部门整体支出绩效评价指标体系》，须相应修改调整本表中的对应部分。</w:t>
      </w:r>
    </w:p>
    <w:sectPr>
      <w:footerReference r:id="rId5" w:type="default"/>
      <w:footerReference r:id="rId6" w:type="even"/>
      <w:pgSz w:w="11906" w:h="16838"/>
      <w:pgMar w:top="1588" w:right="1588" w:bottom="1588" w:left="1588" w:header="851"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0"/>
                              <w:sz w:val="24"/>
                              <w:szCs w:val="24"/>
                            </w:rPr>
                          </w:pPr>
                          <w:r>
                            <w:rPr>
                              <w:rStyle w:val="10"/>
                              <w:rFonts w:hint="eastAsia"/>
                              <w:sz w:val="24"/>
                              <w:szCs w:val="24"/>
                              <w:lang w:eastAsia="zh-CN"/>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35</w:t>
                          </w:r>
                          <w:r>
                            <w:rPr>
                              <w:sz w:val="24"/>
                              <w:szCs w:val="24"/>
                            </w:rPr>
                            <w:fldChar w:fldCharType="end"/>
                          </w:r>
                          <w:r>
                            <w:rPr>
                              <w:rStyle w:val="10"/>
                              <w:rFonts w:hint="eastAsia"/>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Style w:val="10"/>
                        <w:sz w:val="24"/>
                        <w:szCs w:val="24"/>
                      </w:rPr>
                    </w:pPr>
                    <w:r>
                      <w:rPr>
                        <w:rStyle w:val="10"/>
                        <w:rFonts w:hint="eastAsia"/>
                        <w:sz w:val="24"/>
                        <w:szCs w:val="24"/>
                        <w:lang w:eastAsia="zh-CN"/>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35</w:t>
                    </w:r>
                    <w:r>
                      <w:rPr>
                        <w:sz w:val="24"/>
                        <w:szCs w:val="24"/>
                      </w:rPr>
                      <w:fldChar w:fldCharType="end"/>
                    </w:r>
                    <w:r>
                      <w:rPr>
                        <w:rStyle w:val="10"/>
                        <w:rFonts w:hint="eastAsia"/>
                        <w:sz w:val="24"/>
                        <w:szCs w:val="24"/>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ZGJiNzkxNjNjOGRjYTMzY2UzZmVlMzI5MTkwYWIifQ=="/>
  </w:docVars>
  <w:rsids>
    <w:rsidRoot w:val="055A6F26"/>
    <w:rsid w:val="003C387F"/>
    <w:rsid w:val="00B5491D"/>
    <w:rsid w:val="021F7ACC"/>
    <w:rsid w:val="022539FF"/>
    <w:rsid w:val="02A0265F"/>
    <w:rsid w:val="02E566C7"/>
    <w:rsid w:val="031F76B1"/>
    <w:rsid w:val="038419AE"/>
    <w:rsid w:val="04051F66"/>
    <w:rsid w:val="0441337F"/>
    <w:rsid w:val="05000B50"/>
    <w:rsid w:val="05502EAB"/>
    <w:rsid w:val="055A6F26"/>
    <w:rsid w:val="07E46D1E"/>
    <w:rsid w:val="09950D4D"/>
    <w:rsid w:val="09B058BA"/>
    <w:rsid w:val="0A507703"/>
    <w:rsid w:val="0B0E3A04"/>
    <w:rsid w:val="0DB17DCE"/>
    <w:rsid w:val="0F3C19DC"/>
    <w:rsid w:val="0FC25DEE"/>
    <w:rsid w:val="10997703"/>
    <w:rsid w:val="10BA4D9F"/>
    <w:rsid w:val="11B07E6A"/>
    <w:rsid w:val="128916C7"/>
    <w:rsid w:val="134907CC"/>
    <w:rsid w:val="13FF0F4D"/>
    <w:rsid w:val="140D5FCB"/>
    <w:rsid w:val="1437605B"/>
    <w:rsid w:val="147E0445"/>
    <w:rsid w:val="169F7C34"/>
    <w:rsid w:val="178B0DF9"/>
    <w:rsid w:val="184F641B"/>
    <w:rsid w:val="186F38D5"/>
    <w:rsid w:val="190A74BD"/>
    <w:rsid w:val="1A6F2DB8"/>
    <w:rsid w:val="1B2030B3"/>
    <w:rsid w:val="1E0B52D7"/>
    <w:rsid w:val="1E4E1466"/>
    <w:rsid w:val="1ECE3EBD"/>
    <w:rsid w:val="1F290E1C"/>
    <w:rsid w:val="20482FD4"/>
    <w:rsid w:val="21920030"/>
    <w:rsid w:val="23752929"/>
    <w:rsid w:val="23931307"/>
    <w:rsid w:val="24C622AE"/>
    <w:rsid w:val="25473828"/>
    <w:rsid w:val="25FA6890"/>
    <w:rsid w:val="28FC074F"/>
    <w:rsid w:val="2A66629F"/>
    <w:rsid w:val="2B185F17"/>
    <w:rsid w:val="2C1535F6"/>
    <w:rsid w:val="2D69692C"/>
    <w:rsid w:val="2DA834D8"/>
    <w:rsid w:val="2EE67DDF"/>
    <w:rsid w:val="2F6C19A9"/>
    <w:rsid w:val="30AA266E"/>
    <w:rsid w:val="31C64031"/>
    <w:rsid w:val="326B5B89"/>
    <w:rsid w:val="32B778D9"/>
    <w:rsid w:val="32D64BB1"/>
    <w:rsid w:val="33302FE8"/>
    <w:rsid w:val="33EE1E3F"/>
    <w:rsid w:val="37035463"/>
    <w:rsid w:val="37665929"/>
    <w:rsid w:val="3865610A"/>
    <w:rsid w:val="387A506E"/>
    <w:rsid w:val="39165AA7"/>
    <w:rsid w:val="391D6E5E"/>
    <w:rsid w:val="39C4528F"/>
    <w:rsid w:val="3A3A1314"/>
    <w:rsid w:val="3A4376C2"/>
    <w:rsid w:val="3B7E060B"/>
    <w:rsid w:val="3BBB1F39"/>
    <w:rsid w:val="3C091E95"/>
    <w:rsid w:val="3C0C5663"/>
    <w:rsid w:val="3EC1454D"/>
    <w:rsid w:val="3F114B68"/>
    <w:rsid w:val="41095FEC"/>
    <w:rsid w:val="42082596"/>
    <w:rsid w:val="424C31FA"/>
    <w:rsid w:val="426B5C52"/>
    <w:rsid w:val="429C5EDF"/>
    <w:rsid w:val="43A12CAF"/>
    <w:rsid w:val="44766D22"/>
    <w:rsid w:val="45414B88"/>
    <w:rsid w:val="45F407B6"/>
    <w:rsid w:val="463B0DAB"/>
    <w:rsid w:val="46602C0D"/>
    <w:rsid w:val="47641BC1"/>
    <w:rsid w:val="48FE3913"/>
    <w:rsid w:val="4AA9566D"/>
    <w:rsid w:val="4BA9288D"/>
    <w:rsid w:val="4BC50AF6"/>
    <w:rsid w:val="4C4E2AC3"/>
    <w:rsid w:val="4E5159BA"/>
    <w:rsid w:val="4FC33CBA"/>
    <w:rsid w:val="50476111"/>
    <w:rsid w:val="51881728"/>
    <w:rsid w:val="52A57FC5"/>
    <w:rsid w:val="54045481"/>
    <w:rsid w:val="56233027"/>
    <w:rsid w:val="58FF0A05"/>
    <w:rsid w:val="59DF3449"/>
    <w:rsid w:val="5BB31A5E"/>
    <w:rsid w:val="5C3F73FB"/>
    <w:rsid w:val="5CAC64A4"/>
    <w:rsid w:val="5DFC5F2C"/>
    <w:rsid w:val="5E010849"/>
    <w:rsid w:val="5E523AFF"/>
    <w:rsid w:val="60EA4316"/>
    <w:rsid w:val="624358C0"/>
    <w:rsid w:val="64006EC4"/>
    <w:rsid w:val="647D4DD1"/>
    <w:rsid w:val="65236B49"/>
    <w:rsid w:val="6537684B"/>
    <w:rsid w:val="65AA43C0"/>
    <w:rsid w:val="66161E47"/>
    <w:rsid w:val="680B7629"/>
    <w:rsid w:val="68116BFE"/>
    <w:rsid w:val="686447EA"/>
    <w:rsid w:val="68CE326F"/>
    <w:rsid w:val="69A0516F"/>
    <w:rsid w:val="6A940769"/>
    <w:rsid w:val="6B2A6AB7"/>
    <w:rsid w:val="6CFD5BA6"/>
    <w:rsid w:val="6D535020"/>
    <w:rsid w:val="6E0B3003"/>
    <w:rsid w:val="6F7C3381"/>
    <w:rsid w:val="6FE16FBF"/>
    <w:rsid w:val="70320DB2"/>
    <w:rsid w:val="703379A9"/>
    <w:rsid w:val="70B962BB"/>
    <w:rsid w:val="71E279DE"/>
    <w:rsid w:val="71EB482E"/>
    <w:rsid w:val="74BF3A43"/>
    <w:rsid w:val="761F4333"/>
    <w:rsid w:val="76755EEE"/>
    <w:rsid w:val="76BD5E40"/>
    <w:rsid w:val="77EE6C61"/>
    <w:rsid w:val="789B6814"/>
    <w:rsid w:val="78B97743"/>
    <w:rsid w:val="78CF2A94"/>
    <w:rsid w:val="78EE0E45"/>
    <w:rsid w:val="796A69FF"/>
    <w:rsid w:val="7B720113"/>
    <w:rsid w:val="7C441C1A"/>
    <w:rsid w:val="7C550B59"/>
    <w:rsid w:val="7C564B18"/>
    <w:rsid w:val="7E627FB6"/>
    <w:rsid w:val="7EBC6B1C"/>
    <w:rsid w:val="7F424064"/>
    <w:rsid w:val="7F537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left="0" w:firstLine="420" w:firstLineChars="200"/>
    </w:pPr>
    <w:rPr>
      <w:rFonts w:ascii="Calibri" w:hAnsi="Calibri"/>
    </w:rPr>
  </w:style>
  <w:style w:type="paragraph" w:styleId="3">
    <w:name w:val="Body Text Indent"/>
    <w:basedOn w:val="1"/>
    <w:unhideWhenUsed/>
    <w:qFormat/>
    <w:uiPriority w:val="99"/>
    <w:pPr>
      <w:spacing w:after="120"/>
      <w:ind w:left="420" w:leftChars="200"/>
    </w:pPr>
    <w:rPr>
      <w:rFonts w:eastAsia="宋体" w:cs="Times New Roman"/>
    </w:rPr>
  </w:style>
  <w:style w:type="paragraph" w:styleId="4">
    <w:name w:val="Body Text Indent 2"/>
    <w:basedOn w:val="1"/>
    <w:qFormat/>
    <w:uiPriority w:val="0"/>
    <w:pPr>
      <w:ind w:firstLine="588" w:firstLineChars="200"/>
    </w:pPr>
    <w:rPr>
      <w:rFonts w:ascii="仿宋_GB2312" w:hAnsi="Calibri" w:eastAsia="仿宋_GB2312"/>
      <w:sz w:val="32"/>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qFormat/>
    <w:uiPriority w:val="0"/>
  </w:style>
  <w:style w:type="character" w:customStyle="1" w:styleId="11">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15</Pages>
  <Words>7868</Words>
  <Characters>8322</Characters>
  <Lines>0</Lines>
  <Paragraphs>0</Paragraphs>
  <TotalTime>20</TotalTime>
  <ScaleCrop>false</ScaleCrop>
  <LinksUpToDate>false</LinksUpToDate>
  <CharactersWithSpaces>8799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2018-05-23T02:39:00Z</dcterms:created>
  <dc:creator>Administrator</dc:creator>
  <cp:lastModifiedBy>Administrator</cp:lastModifiedBy>
  <cp:lastPrinted>2022-08-23T08:50:41Z</cp:lastPrinted>
  <dcterms:modified xsi:type="dcterms:W3CDTF">2022-08-23T08:54:19Z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9A9DD39B5FB5494E9D87C05FD2519BA5</vt:lpwstr>
  </property>
</Properties>
</file>