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方正小标宋简体"/>
          <w:sz w:val="32"/>
          <w:szCs w:val="32"/>
        </w:rPr>
      </w:pPr>
      <w:r>
        <w:rPr>
          <w:rFonts w:ascii="仿宋_GB2312" w:eastAsia="仿宋_GB2312"/>
          <w:sz w:val="32"/>
          <w:szCs w:val="32"/>
        </w:rPr>
        <w:t xml:space="preserve"> </w:t>
      </w:r>
      <w:r>
        <w:rPr>
          <w:rFonts w:hint="eastAsia" w:ascii="黑体" w:hAnsi="黑体" w:eastAsia="黑体" w:cs="方正小标宋简体"/>
          <w:sz w:val="32"/>
          <w:szCs w:val="32"/>
        </w:rPr>
        <w:t>附件</w:t>
      </w:r>
    </w:p>
    <w:p>
      <w:pPr>
        <w:spacing w:line="240" w:lineRule="exact"/>
        <w:jc w:val="center"/>
        <w:rPr>
          <w:rFonts w:hint="eastAsia" w:ascii="方正小标宋简体" w:hAnsi="方正小标宋简体" w:eastAsia="方正小标宋简体" w:cs="方正小标宋简体"/>
          <w:bCs/>
          <w:sz w:val="36"/>
          <w:szCs w:val="36"/>
        </w:rPr>
      </w:pPr>
    </w:p>
    <w:p>
      <w:pPr>
        <w:keepNext w:val="0"/>
        <w:keepLines w:val="0"/>
        <w:widowControl/>
        <w:suppressLineNumbers w:val="0"/>
        <w:spacing w:before="0" w:beforeAutospacing="0" w:after="0" w:afterAutospacing="0" w:line="420" w:lineRule="atLeast"/>
        <w:ind w:left="0" w:right="0"/>
        <w:jc w:val="center"/>
      </w:pPr>
      <w:r>
        <w:rPr>
          <w:rFonts w:ascii="方正小标宋简体" w:hAnsi="方正小标宋简体" w:eastAsia="方正小标宋简体" w:cs="方正小标宋简体"/>
          <w:bCs/>
          <w:color w:val="333333"/>
          <w:kern w:val="2"/>
          <w:sz w:val="36"/>
          <w:szCs w:val="36"/>
          <w:bdr w:val="none" w:color="auto" w:sz="0" w:space="0"/>
          <w:shd w:val="clear" w:fill="FFFFFF"/>
          <w:lang w:val="en-US" w:eastAsia="zh-CN" w:bidi="ar"/>
        </w:rPr>
        <w:t>君山区行政许可事项清单（2022年版）（</w:t>
      </w:r>
      <w:r>
        <w:rPr>
          <w:rFonts w:hint="eastAsia" w:ascii="方正小标宋简体" w:hAnsi="方正小标宋简体" w:eastAsia="方正小标宋简体" w:cs="方正小标宋简体"/>
          <w:bCs/>
          <w:color w:val="333333"/>
          <w:kern w:val="2"/>
          <w:sz w:val="36"/>
          <w:szCs w:val="36"/>
          <w:bdr w:val="none" w:color="auto" w:sz="0" w:space="0"/>
          <w:shd w:val="clear" w:fill="FFFFFF"/>
          <w:lang w:val="en-US" w:eastAsia="zh-CN" w:bidi="ar"/>
        </w:rPr>
        <w:t>117项）</w:t>
      </w:r>
    </w:p>
    <w:p>
      <w:pPr>
        <w:spacing w:line="240" w:lineRule="exact"/>
        <w:jc w:val="center"/>
        <w:rPr>
          <w:rFonts w:ascii="黑体" w:hAnsi="黑体" w:eastAsia="黑体" w:cs="方正小标宋简体"/>
          <w:sz w:val="32"/>
          <w:szCs w:val="32"/>
        </w:rPr>
      </w:pPr>
    </w:p>
    <w:tbl>
      <w:tblPr>
        <w:tblStyle w:val="9"/>
        <w:tblW w:w="13603" w:type="dxa"/>
        <w:jc w:val="center"/>
        <w:tblLayout w:type="autofit"/>
        <w:tblCellMar>
          <w:top w:w="0" w:type="dxa"/>
          <w:left w:w="85" w:type="dxa"/>
          <w:bottom w:w="0" w:type="dxa"/>
          <w:right w:w="85" w:type="dxa"/>
        </w:tblCellMar>
      </w:tblPr>
      <w:tblGrid>
        <w:gridCol w:w="600"/>
        <w:gridCol w:w="2190"/>
        <w:gridCol w:w="1605"/>
        <w:gridCol w:w="6840"/>
        <w:gridCol w:w="2368"/>
      </w:tblGrid>
      <w:tr>
        <w:tblPrEx>
          <w:tblCellMar>
            <w:top w:w="0" w:type="dxa"/>
            <w:left w:w="85" w:type="dxa"/>
            <w:bottom w:w="0" w:type="dxa"/>
            <w:right w:w="85" w:type="dxa"/>
          </w:tblCellMar>
        </w:tblPrEx>
        <w:trPr>
          <w:trHeight w:val="580" w:hRule="atLeast"/>
          <w:tblHeader/>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szCs w:val="21"/>
              </w:rPr>
            </w:pPr>
            <w:r>
              <w:rPr>
                <w:rFonts w:hint="eastAsia" w:ascii="黑体" w:hAnsi="黑体" w:eastAsia="黑体" w:cs="宋体"/>
                <w:bCs/>
                <w:color w:val="000000"/>
                <w:kern w:val="0"/>
                <w:szCs w:val="21"/>
              </w:rPr>
              <w:t>序号</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szCs w:val="21"/>
              </w:rPr>
            </w:pPr>
            <w:r>
              <w:rPr>
                <w:rFonts w:hint="eastAsia" w:ascii="黑体" w:hAnsi="黑体" w:eastAsia="黑体" w:cs="宋体"/>
                <w:bCs/>
                <w:color w:val="000000"/>
                <w:kern w:val="0"/>
                <w:szCs w:val="21"/>
              </w:rPr>
              <w:t>事 项 名 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szCs w:val="21"/>
              </w:rPr>
            </w:pPr>
            <w:r>
              <w:rPr>
                <w:rFonts w:hint="eastAsia" w:ascii="黑体" w:hAnsi="黑体" w:eastAsia="黑体" w:cs="宋体"/>
                <w:bCs/>
                <w:color w:val="000000"/>
                <w:kern w:val="0"/>
                <w:szCs w:val="21"/>
              </w:rPr>
              <w:t>实 施 主 体</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szCs w:val="21"/>
              </w:rPr>
            </w:pPr>
            <w:r>
              <w:rPr>
                <w:rFonts w:hint="eastAsia" w:ascii="黑体" w:hAnsi="黑体" w:eastAsia="黑体" w:cs="宋体"/>
                <w:bCs/>
                <w:color w:val="000000"/>
                <w:kern w:val="0"/>
                <w:szCs w:val="21"/>
              </w:rPr>
              <w:t>设    定    依    据</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kern w:val="0"/>
                <w:szCs w:val="21"/>
              </w:rPr>
            </w:pPr>
            <w:r>
              <w:rPr>
                <w:rFonts w:hint="eastAsia" w:ascii="黑体" w:hAnsi="黑体" w:eastAsia="黑体" w:cs="宋体"/>
                <w:bCs/>
                <w:color w:val="000000"/>
                <w:kern w:val="0"/>
                <w:szCs w:val="21"/>
              </w:rPr>
              <w:t>备    注</w:t>
            </w:r>
          </w:p>
        </w:tc>
      </w:tr>
      <w:tr>
        <w:tblPrEx>
          <w:tblCellMar>
            <w:top w:w="0" w:type="dxa"/>
            <w:left w:w="85" w:type="dxa"/>
            <w:bottom w:w="0" w:type="dxa"/>
            <w:right w:w="85" w:type="dxa"/>
          </w:tblCellMar>
        </w:tblPrEx>
        <w:trPr>
          <w:trHeight w:val="86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固定资产投资项目核准（含国发〔2016〕72号文件规定的外商投资项目）</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区发改局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textAlignment w:val="center"/>
              <w:rPr>
                <w:rFonts w:ascii="宋体" w:hAnsi="宋体" w:cs="宋体"/>
                <w:color w:val="000000"/>
                <w:kern w:val="0"/>
                <w:szCs w:val="21"/>
              </w:rPr>
            </w:pPr>
            <w:r>
              <w:rPr>
                <w:rFonts w:hint="eastAsia" w:ascii="宋体" w:hAnsi="宋体" w:cs="宋体"/>
                <w:color w:val="000000"/>
                <w:kern w:val="0"/>
                <w:szCs w:val="21"/>
              </w:rPr>
              <w:t>《企业投资项目核准和备案管理条例》</w:t>
            </w:r>
          </w:p>
          <w:p>
            <w:pPr>
              <w:widowControl/>
              <w:tabs>
                <w:tab w:val="left" w:pos="380"/>
              </w:tabs>
              <w:textAlignment w:val="center"/>
              <w:rPr>
                <w:rFonts w:ascii="宋体" w:hAnsi="宋体" w:cs="宋体"/>
                <w:color w:val="000000"/>
                <w:kern w:val="0"/>
                <w:szCs w:val="21"/>
              </w:rPr>
            </w:pPr>
            <w:r>
              <w:rPr>
                <w:rFonts w:hint="eastAsia" w:ascii="宋体" w:hAnsi="宋体" w:cs="宋体"/>
                <w:color w:val="000000"/>
                <w:kern w:val="0"/>
                <w:szCs w:val="21"/>
              </w:rPr>
              <w:t>《国务院关于发布政府核准的投资项目目录（2016年本）的通知》（国发〔2016〕72号）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86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在电力设施周围或者电力设施保护区内进行可能危及电力设施安全作业审批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区发改局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textAlignment w:val="center"/>
              <w:rPr>
                <w:rFonts w:ascii="宋体" w:hAnsi="宋体" w:cs="宋体"/>
                <w:color w:val="000000"/>
                <w:kern w:val="0"/>
                <w:szCs w:val="21"/>
              </w:rPr>
            </w:pPr>
            <w:r>
              <w:rPr>
                <w:rFonts w:hint="eastAsia" w:ascii="宋体" w:hAnsi="宋体" w:cs="宋体"/>
                <w:color w:val="000000"/>
                <w:kern w:val="0"/>
                <w:szCs w:val="21"/>
              </w:rPr>
              <w:t>《中华人民共和国电力法》</w:t>
            </w:r>
          </w:p>
          <w:p>
            <w:pPr>
              <w:widowControl/>
              <w:tabs>
                <w:tab w:val="left" w:pos="380"/>
              </w:tabs>
              <w:textAlignment w:val="center"/>
              <w:rPr>
                <w:rFonts w:ascii="宋体" w:hAnsi="宋体" w:cs="宋体"/>
                <w:color w:val="000000"/>
                <w:kern w:val="0"/>
                <w:szCs w:val="21"/>
              </w:rPr>
            </w:pPr>
            <w:r>
              <w:rPr>
                <w:rFonts w:hint="eastAsia" w:ascii="宋体" w:hAnsi="宋体" w:cs="宋体"/>
                <w:color w:val="000000"/>
                <w:kern w:val="0"/>
                <w:szCs w:val="21"/>
              </w:rPr>
              <w:t>《电力设施保护条例》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1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pacing w:val="-6"/>
                <w:kern w:val="0"/>
                <w:szCs w:val="21"/>
              </w:rPr>
            </w:pPr>
            <w:r>
              <w:rPr>
                <w:rFonts w:hint="eastAsia" w:ascii="宋体" w:hAnsi="宋体" w:cs="宋体"/>
                <w:color w:val="000000"/>
                <w:spacing w:val="-6"/>
                <w:kern w:val="0"/>
                <w:szCs w:val="21"/>
              </w:rPr>
              <w:t>固定资产投资项目核准</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区发改局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textAlignment w:val="center"/>
              <w:rPr>
                <w:rFonts w:ascii="宋体" w:hAnsi="宋体" w:cs="宋体"/>
                <w:color w:val="000000"/>
                <w:kern w:val="0"/>
                <w:szCs w:val="21"/>
              </w:rPr>
            </w:pPr>
            <w:r>
              <w:rPr>
                <w:rFonts w:hint="eastAsia" w:ascii="宋体" w:hAnsi="宋体" w:cs="宋体"/>
                <w:color w:val="000000"/>
                <w:kern w:val="0"/>
                <w:szCs w:val="21"/>
              </w:rPr>
              <w:t>《企业投资项目核准和备案管理条例》</w:t>
            </w:r>
          </w:p>
          <w:p>
            <w:pPr>
              <w:widowControl/>
              <w:tabs>
                <w:tab w:val="left" w:pos="380"/>
              </w:tabs>
              <w:textAlignment w:val="center"/>
              <w:rPr>
                <w:rFonts w:ascii="宋体" w:hAnsi="宋体" w:cs="宋体"/>
                <w:color w:val="000000"/>
                <w:kern w:val="0"/>
                <w:szCs w:val="21"/>
              </w:rPr>
            </w:pPr>
            <w:r>
              <w:rPr>
                <w:rFonts w:hint="eastAsia" w:ascii="宋体" w:hAnsi="宋体" w:cs="宋体"/>
                <w:color w:val="000000"/>
                <w:kern w:val="0"/>
                <w:szCs w:val="21"/>
              </w:rPr>
              <w:t>《国务院关于发布政府核准的投资项目目录（2016年本）的通知》（国发〔2016〕72号）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jc w:val="center"/>
              <w:textAlignment w:val="center"/>
              <w:rPr>
                <w:rFonts w:ascii="宋体" w:hAnsi="宋体" w:cs="宋体"/>
                <w:color w:val="000000"/>
                <w:kern w:val="0"/>
                <w:szCs w:val="21"/>
              </w:rPr>
            </w:pPr>
            <w:r>
              <w:rPr>
                <w:rFonts w:hint="eastAsia" w:ascii="宋体" w:hAnsi="宋体" w:cs="宋体"/>
                <w:color w:val="000000"/>
                <w:kern w:val="0"/>
                <w:szCs w:val="21"/>
              </w:rPr>
              <w:t>涉及能源项目核准</w:t>
            </w:r>
          </w:p>
        </w:tc>
      </w:tr>
      <w:tr>
        <w:tblPrEx>
          <w:tblCellMar>
            <w:top w:w="0" w:type="dxa"/>
            <w:left w:w="85" w:type="dxa"/>
            <w:bottom w:w="0" w:type="dxa"/>
            <w:right w:w="85" w:type="dxa"/>
          </w:tblCellMar>
        </w:tblPrEx>
        <w:trPr>
          <w:trHeight w:val="1136"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新建不能满足管道保护要求的石油天然气管道防护方案审批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区发改局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textAlignment w:val="center"/>
              <w:rPr>
                <w:rFonts w:ascii="宋体" w:hAnsi="宋体" w:cs="宋体"/>
                <w:color w:val="000000"/>
                <w:kern w:val="0"/>
                <w:szCs w:val="21"/>
              </w:rPr>
            </w:pPr>
            <w:r>
              <w:rPr>
                <w:rFonts w:hint="eastAsia" w:ascii="宋体" w:hAnsi="宋体" w:cs="宋体"/>
                <w:color w:val="000000"/>
                <w:kern w:val="0"/>
                <w:szCs w:val="21"/>
              </w:rPr>
              <w:t>《中华人民共和国石油天然气管道保护法》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8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可能影响石油天然气管道保护的施工作业审批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区发改局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textAlignment w:val="center"/>
              <w:rPr>
                <w:rFonts w:ascii="宋体" w:hAnsi="宋体" w:cs="宋体"/>
                <w:color w:val="000000"/>
                <w:kern w:val="0"/>
                <w:szCs w:val="21"/>
              </w:rPr>
            </w:pPr>
            <w:r>
              <w:rPr>
                <w:rFonts w:hint="eastAsia" w:ascii="宋体" w:hAnsi="宋体" w:cs="宋体"/>
                <w:color w:val="000000"/>
                <w:kern w:val="0"/>
                <w:szCs w:val="21"/>
              </w:rPr>
              <w:t>《中华人民共和国石油天然气管道保护法》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92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中等及以下学校和其他教育机构设置审批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区教育局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《中华人民共和国教育法》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《中华人民共和国民办教育促进法》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《中华人民共和国民办教育促进法实施条例》</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《中华人民共和国中外合作办学条例》</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《国务院关于当前发展学前教育的若干意见》（国发〔2010〕41号）</w:t>
            </w:r>
          </w:p>
          <w:p>
            <w:pPr>
              <w:widowControl/>
              <w:spacing w:line="260" w:lineRule="exact"/>
              <w:textAlignment w:val="center"/>
              <w:rPr>
                <w:rFonts w:ascii="宋体" w:hAnsi="宋体" w:cs="宋体"/>
                <w:color w:val="000000"/>
                <w:spacing w:val="-8"/>
                <w:kern w:val="0"/>
                <w:szCs w:val="21"/>
              </w:rPr>
            </w:pPr>
            <w:r>
              <w:rPr>
                <w:rFonts w:hint="eastAsia" w:ascii="宋体" w:hAnsi="宋体" w:cs="宋体"/>
                <w:color w:val="000000"/>
                <w:spacing w:val="-8"/>
                <w:kern w:val="0"/>
                <w:szCs w:val="21"/>
              </w:rPr>
              <w:t>《国务院办公厅关于规范校外培训机构发展的意见》（国办发〔2018〕80号）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8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从事文艺、体育等专业训练的社会组织自行实施义务教育审批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区教育局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《中华人民共和国义务教育法》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87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教师资格认定</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区教育局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《中华人民共和国教师法》</w:t>
            </w:r>
          </w:p>
          <w:p>
            <w:pPr>
              <w:widowControl/>
              <w:spacing w:line="240" w:lineRule="exact"/>
              <w:textAlignment w:val="center"/>
              <w:rPr>
                <w:rFonts w:ascii="宋体" w:hAnsi="宋体" w:cs="宋体"/>
                <w:color w:val="000000"/>
                <w:kern w:val="0"/>
                <w:szCs w:val="21"/>
              </w:rPr>
            </w:pPr>
            <w:r>
              <w:rPr>
                <w:rFonts w:hint="eastAsia" w:ascii="宋体" w:hAnsi="宋体" w:cs="宋体"/>
                <w:color w:val="000000"/>
                <w:kern w:val="0"/>
                <w:szCs w:val="21"/>
              </w:rPr>
              <w:t>《教师资格条例》</w:t>
            </w:r>
          </w:p>
          <w:p>
            <w:pPr>
              <w:widowControl/>
              <w:spacing w:line="240" w:lineRule="exact"/>
              <w:textAlignment w:val="center"/>
              <w:rPr>
                <w:rFonts w:ascii="宋体" w:hAnsi="宋体" w:cs="宋体"/>
                <w:color w:val="000000"/>
                <w:kern w:val="0"/>
                <w:szCs w:val="21"/>
              </w:rPr>
            </w:pPr>
            <w:r>
              <w:rPr>
                <w:rFonts w:hint="eastAsia" w:ascii="宋体" w:hAnsi="宋体" w:cs="宋体"/>
                <w:color w:val="000000"/>
                <w:kern w:val="0"/>
                <w:szCs w:val="21"/>
              </w:rPr>
              <w:t>《国家职业资格目录（2021年版）》</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1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适龄儿童、少年因身体状况需要延缓入学或者休学审批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color w:val="000000"/>
                <w:kern w:val="0"/>
                <w:szCs w:val="21"/>
              </w:rPr>
              <w:t>区教育局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b/>
                <w:bCs/>
                <w:color w:val="000000"/>
                <w:kern w:val="0"/>
                <w:szCs w:val="21"/>
              </w:rPr>
            </w:pPr>
            <w:r>
              <w:rPr>
                <w:rFonts w:hint="eastAsia" w:ascii="宋体" w:hAnsi="宋体" w:cs="宋体"/>
                <w:color w:val="000000"/>
                <w:kern w:val="0"/>
                <w:szCs w:val="21"/>
              </w:rPr>
              <w:t>《中华人民共和国义务教育法》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6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color w:val="000000"/>
                <w:kern w:val="0"/>
                <w:szCs w:val="21"/>
              </w:rPr>
              <w:t>10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pacing w:val="-10"/>
                <w:szCs w:val="21"/>
              </w:rPr>
            </w:pPr>
            <w:r>
              <w:rPr>
                <w:rFonts w:hint="eastAsia" w:ascii="宋体" w:hAnsi="宋体" w:cs="宋体"/>
                <w:color w:val="000000"/>
                <w:spacing w:val="-10"/>
                <w:kern w:val="0"/>
                <w:szCs w:val="21"/>
              </w:rPr>
              <w:t>宗教临时活动地点审批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color w:val="000000"/>
                <w:kern w:val="0"/>
                <w:szCs w:val="21"/>
              </w:rPr>
              <w:t>区民宗局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b/>
                <w:bCs/>
                <w:color w:val="000000"/>
                <w:szCs w:val="21"/>
              </w:rPr>
            </w:pPr>
            <w:r>
              <w:rPr>
                <w:rFonts w:hint="eastAsia" w:ascii="宋体" w:hAnsi="宋体" w:cs="宋体"/>
                <w:color w:val="000000"/>
                <w:kern w:val="0"/>
                <w:szCs w:val="21"/>
              </w:rPr>
              <w:t>《宗教事务条例》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36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宗教团体、宗教院校、宗教活动场所接受境外捐赠审批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区民宗局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kern w:val="0"/>
                <w:szCs w:val="21"/>
              </w:rPr>
            </w:pPr>
            <w:r>
              <w:rPr>
                <w:rFonts w:hint="eastAsia" w:ascii="宋体" w:hAnsi="宋体" w:cs="宋体"/>
                <w:color w:val="000000"/>
                <w:kern w:val="0"/>
                <w:szCs w:val="21"/>
              </w:rPr>
              <w:t>《宗教事务条例》</w:t>
            </w:r>
          </w:p>
          <w:p>
            <w:pPr>
              <w:widowControl/>
              <w:spacing w:line="240" w:lineRule="exact"/>
              <w:textAlignment w:val="center"/>
              <w:rPr>
                <w:rFonts w:ascii="宋体" w:hAnsi="宋体" w:cs="宋体"/>
                <w:color w:val="000000"/>
                <w:kern w:val="0"/>
                <w:szCs w:val="21"/>
              </w:rPr>
            </w:pPr>
            <w:r>
              <w:rPr>
                <w:rFonts w:hint="eastAsia" w:ascii="宋体" w:hAnsi="宋体" w:cs="宋体"/>
                <w:color w:val="000000"/>
                <w:kern w:val="0"/>
                <w:szCs w:val="21"/>
              </w:rPr>
              <w:t>《宗教事务部分行政许可项目实施办法》（国宗发〔2018〕11号）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49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社会团体成立、变更、注销登记及修改章程核准</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区民政局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Cs w:val="21"/>
              </w:rPr>
            </w:pPr>
            <w:r>
              <w:rPr>
                <w:rFonts w:ascii="宋体" w:hAnsi="宋体" w:cs="宋体"/>
                <w:color w:val="000000"/>
                <w:szCs w:val="21"/>
              </w:rPr>
              <w:t>《社会团体登记管理条例》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6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民办非企业单位成立、变更、注销登记及修改章程核准</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Cs w:val="21"/>
              </w:rPr>
            </w:pPr>
            <w:r>
              <w:rPr>
                <w:rFonts w:hint="eastAsia" w:ascii="宋体" w:hAnsi="宋体" w:cs="宋体"/>
                <w:color w:val="000000"/>
                <w:kern w:val="0"/>
                <w:szCs w:val="21"/>
              </w:rPr>
              <w:t>区民政局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3711"/>
              </w:tabs>
              <w:textAlignment w:val="center"/>
              <w:rPr>
                <w:rFonts w:ascii="宋体" w:hAnsi="宋体" w:cs="宋体"/>
                <w:color w:val="000000"/>
                <w:szCs w:val="21"/>
              </w:rPr>
            </w:pPr>
            <w:r>
              <w:rPr>
                <w:rFonts w:hint="eastAsia" w:ascii="宋体" w:hAnsi="宋体" w:cs="宋体"/>
                <w:color w:val="000000"/>
                <w:szCs w:val="21"/>
              </w:rPr>
              <w:t>《民办非企业单位登记管理暂行条例》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3711"/>
              </w:tabs>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567"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慈善组织公开募捐资格审批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区民政局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color w:val="000000"/>
                <w:szCs w:val="21"/>
              </w:rPr>
            </w:pPr>
            <w:r>
              <w:rPr>
                <w:rFonts w:hint="eastAsia" w:ascii="宋体" w:hAnsi="宋体" w:cs="宋体"/>
                <w:color w:val="000000"/>
                <w:kern w:val="0"/>
                <w:szCs w:val="21"/>
              </w:rPr>
              <w:t>《中华人民共和国慈善法》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45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中介机构从事代理记账业务审批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区财政局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color w:val="000000"/>
                <w:szCs w:val="21"/>
              </w:rPr>
            </w:pPr>
            <w:r>
              <w:rPr>
                <w:rFonts w:hint="eastAsia" w:ascii="宋体" w:hAnsi="宋体" w:cs="宋体"/>
                <w:color w:val="000000"/>
                <w:kern w:val="0"/>
                <w:szCs w:val="21"/>
              </w:rPr>
              <w:t>《中华人民共和国会计法》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727"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pacing w:val="-8"/>
                <w:szCs w:val="21"/>
              </w:rPr>
            </w:pPr>
            <w:r>
              <w:rPr>
                <w:rFonts w:hint="eastAsia" w:ascii="宋体" w:hAnsi="宋体" w:cs="宋体"/>
                <w:color w:val="000000"/>
                <w:spacing w:val="-8"/>
                <w:kern w:val="0"/>
                <w:szCs w:val="21"/>
              </w:rPr>
              <w:t>职业培训学校筹设审批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区人社局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《中华人民共和国民办教育促进法》</w:t>
            </w:r>
          </w:p>
          <w:p>
            <w:pPr>
              <w:widowControl/>
              <w:spacing w:line="260" w:lineRule="exact"/>
              <w:textAlignment w:val="center"/>
              <w:rPr>
                <w:rFonts w:ascii="宋体" w:hAnsi="宋体" w:cs="宋体"/>
                <w:color w:val="000000"/>
                <w:szCs w:val="21"/>
              </w:rPr>
            </w:pPr>
            <w:r>
              <w:rPr>
                <w:rFonts w:hint="eastAsia" w:ascii="宋体" w:hAnsi="宋体" w:cs="宋体"/>
                <w:color w:val="000000"/>
                <w:kern w:val="0"/>
                <w:szCs w:val="21"/>
              </w:rPr>
              <w:t>《中华人民共和国中外合作办学条例》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省人力资源社会保障厅负责中外合作职业培训学校筹设审批，设区的市级、县级人力资源社会保障部门负责职业培训学校筹设审批</w:t>
            </w:r>
          </w:p>
        </w:tc>
      </w:tr>
      <w:tr>
        <w:tblPrEx>
          <w:tblCellMar>
            <w:top w:w="0" w:type="dxa"/>
            <w:left w:w="85" w:type="dxa"/>
            <w:bottom w:w="0" w:type="dxa"/>
            <w:right w:w="85" w:type="dxa"/>
          </w:tblCellMar>
        </w:tblPrEx>
        <w:trPr>
          <w:trHeight w:val="145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color w:val="000000"/>
                <w:kern w:val="0"/>
                <w:szCs w:val="21"/>
              </w:rPr>
              <w:t>17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pacing w:val="-8"/>
                <w:kern w:val="0"/>
                <w:szCs w:val="21"/>
              </w:rPr>
              <w:t>职业培训学校办学许可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color w:val="000000"/>
                <w:kern w:val="0"/>
                <w:szCs w:val="21"/>
              </w:rPr>
              <w:t>区人社局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《中华人民共和国民办教育促进法》</w:t>
            </w:r>
          </w:p>
          <w:p>
            <w:pPr>
              <w:widowControl/>
              <w:spacing w:line="260" w:lineRule="exact"/>
              <w:textAlignment w:val="center"/>
              <w:rPr>
                <w:rFonts w:ascii="宋体" w:hAnsi="宋体" w:cs="宋体"/>
                <w:b/>
                <w:bCs/>
                <w:color w:val="000000"/>
                <w:kern w:val="0"/>
                <w:szCs w:val="21"/>
              </w:rPr>
            </w:pPr>
            <w:r>
              <w:rPr>
                <w:rFonts w:hint="eastAsia" w:ascii="宋体" w:hAnsi="宋体" w:cs="宋体"/>
                <w:color w:val="000000"/>
                <w:kern w:val="0"/>
                <w:szCs w:val="21"/>
              </w:rPr>
              <w:t>《中华人民共和国中外合作办学条例》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省人力资源社会保障厅负责中外合作职业培训学校办学许可，设区的市级、县级人力资源社会保障部门负责职业培训学校办学许可</w:t>
            </w:r>
          </w:p>
        </w:tc>
      </w:tr>
      <w:tr>
        <w:tblPrEx>
          <w:tblCellMar>
            <w:top w:w="0" w:type="dxa"/>
            <w:left w:w="85" w:type="dxa"/>
            <w:bottom w:w="0" w:type="dxa"/>
            <w:right w:w="85" w:type="dxa"/>
          </w:tblCellMar>
        </w:tblPrEx>
        <w:trPr>
          <w:trHeight w:val="112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人力资源服务许可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区人社局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《中华人民共和国就业促进法》</w:t>
            </w:r>
          </w:p>
          <w:p>
            <w:pPr>
              <w:widowControl/>
              <w:spacing w:line="260" w:lineRule="exact"/>
              <w:textAlignment w:val="center"/>
              <w:rPr>
                <w:rFonts w:ascii="宋体" w:hAnsi="宋体" w:cs="宋体"/>
                <w:color w:val="000000"/>
                <w:szCs w:val="21"/>
              </w:rPr>
            </w:pPr>
            <w:r>
              <w:rPr>
                <w:rFonts w:hint="eastAsia" w:ascii="宋体" w:hAnsi="宋体" w:cs="宋体"/>
                <w:color w:val="000000"/>
                <w:kern w:val="0"/>
                <w:szCs w:val="21"/>
              </w:rPr>
              <w:t>《人力资源市场暂行条例》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67"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ascii="宋体" w:hAnsi="宋体" w:cs="宋体"/>
                <w:color w:val="000000"/>
                <w:szCs w:val="21"/>
              </w:rPr>
              <w:t>企业实行不定时工作制和综合计算工时工作制审批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区人社局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《中华人民共和国劳动法》</w:t>
            </w:r>
          </w:p>
          <w:p>
            <w:pPr>
              <w:widowControl/>
              <w:spacing w:line="260" w:lineRule="exact"/>
              <w:textAlignment w:val="center"/>
              <w:rPr>
                <w:rFonts w:ascii="宋体" w:hAnsi="宋体" w:cs="宋体"/>
                <w:color w:val="000000"/>
                <w:szCs w:val="21"/>
              </w:rPr>
            </w:pPr>
            <w:r>
              <w:rPr>
                <w:rFonts w:hint="eastAsia" w:ascii="宋体" w:hAnsi="宋体" w:cs="宋体"/>
                <w:color w:val="000000"/>
                <w:kern w:val="0"/>
                <w:szCs w:val="21"/>
              </w:rPr>
              <w:t>《关于企业实行不定时工作制和综合计算工时工作制的审批办法》（劳部发〔1994〕503号）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0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ascii="宋体" w:hAnsi="宋体" w:cs="宋体"/>
                <w:color w:val="000000"/>
                <w:szCs w:val="21"/>
              </w:rPr>
              <w:t>建设项目用地预审与选址意见书核发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区自然资源局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《中华人民共和国城乡规划法》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《中华人民共和国土地管理法》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《中华人民共和国土地管理法实施条例》</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《建设项目用地预审管理办法》（国土资源部令第68 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2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国有建设用地使用权出让后土地使用权分割转让批准</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区自然资源局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szCs w:val="21"/>
              </w:rPr>
            </w:pPr>
            <w:r>
              <w:rPr>
                <w:rFonts w:hint="eastAsia" w:ascii="宋体" w:hAnsi="宋体" w:cs="宋体"/>
                <w:color w:val="000000"/>
                <w:szCs w:val="21"/>
              </w:rPr>
              <w:t>《中华人民共和国城镇国有土地使用权出让和转让暂行条例》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9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ascii="宋体" w:hAnsi="宋体" w:cs="宋体"/>
                <w:color w:val="000000"/>
                <w:szCs w:val="21"/>
              </w:rPr>
              <w:t>乡（镇）村企业使用集体建设用地审批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区自然资源局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《中华人民共和国土地管理法》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《湖南省实施&lt;中华人民共和国土地管理法&gt;办法》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4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ascii="宋体" w:hAnsi="宋体" w:cs="宋体"/>
                <w:color w:val="000000"/>
                <w:szCs w:val="21"/>
              </w:rPr>
              <w:t>乡（镇）村公共设施、公益事业使用集体建设用地审批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区自然资源局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《中华人民共和国土地管理法》</w:t>
            </w:r>
          </w:p>
          <w:p>
            <w:pPr>
              <w:widowControl/>
              <w:spacing w:line="260" w:lineRule="exact"/>
              <w:textAlignment w:val="center"/>
              <w:rPr>
                <w:rFonts w:ascii="宋体" w:hAnsi="宋体" w:cs="宋体"/>
                <w:color w:val="000000"/>
                <w:szCs w:val="21"/>
              </w:rPr>
            </w:pPr>
            <w:r>
              <w:rPr>
                <w:rFonts w:hint="eastAsia" w:ascii="宋体" w:hAnsi="宋体" w:cs="宋体"/>
                <w:color w:val="000000"/>
                <w:kern w:val="0"/>
                <w:szCs w:val="21"/>
              </w:rPr>
              <w:t>《湖南省实施&lt;中华人民共和国土地管理法&gt;办法》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8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ascii="宋体" w:hAnsi="宋体" w:cs="宋体"/>
                <w:color w:val="000000"/>
                <w:szCs w:val="21"/>
              </w:rPr>
              <w:t>建设用地</w:t>
            </w:r>
            <w:r>
              <w:rPr>
                <w:rFonts w:hint="eastAsia" w:ascii="宋体" w:hAnsi="宋体" w:cs="宋体"/>
                <w:color w:val="000000"/>
                <w:szCs w:val="21"/>
              </w:rPr>
              <w:t>、</w:t>
            </w:r>
            <w:r>
              <w:rPr>
                <w:rFonts w:ascii="宋体" w:hAnsi="宋体" w:cs="宋体"/>
                <w:color w:val="000000"/>
                <w:szCs w:val="21"/>
              </w:rPr>
              <w:t>临时</w:t>
            </w:r>
            <w:r>
              <w:rPr>
                <w:rFonts w:hint="eastAsia" w:ascii="宋体" w:hAnsi="宋体" w:cs="宋体"/>
                <w:color w:val="000000"/>
                <w:szCs w:val="21"/>
              </w:rPr>
              <w:t>建设用地</w:t>
            </w:r>
            <w:r>
              <w:rPr>
                <w:rFonts w:ascii="宋体" w:hAnsi="宋体" w:cs="宋体"/>
                <w:color w:val="000000"/>
                <w:szCs w:val="21"/>
              </w:rPr>
              <w:t>规划许可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区自然资源局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《中华人民共和国城乡规划法》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乡村建设规划许可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区自然资源局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《中华人民共和国城乡规划法》</w:t>
            </w:r>
          </w:p>
          <w:p>
            <w:pPr>
              <w:widowControl/>
              <w:spacing w:line="260" w:lineRule="exact"/>
              <w:textAlignment w:val="center"/>
              <w:rPr>
                <w:rFonts w:ascii="宋体" w:hAnsi="宋体" w:cs="宋体"/>
                <w:color w:val="000000"/>
                <w:szCs w:val="21"/>
              </w:rPr>
            </w:pPr>
            <w:r>
              <w:rPr>
                <w:rFonts w:hint="eastAsia" w:ascii="宋体" w:hAnsi="宋体" w:cs="宋体"/>
                <w:color w:val="000000"/>
                <w:kern w:val="0"/>
                <w:szCs w:val="21"/>
              </w:rPr>
              <w:t>《湖南省实施&lt;中华人民共和国城乡规划法&gt;办法》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3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建筑工程施工许可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区住建局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《中华人民共和国建筑法》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《建筑工程施工许可管理办法》（住房城乡建设部令第18号公布，住房城乡建设部令第52号修正）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6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商品房预售许可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区住建局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《中华人民共和国城市房地产管理法》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6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城镇污水排入排水管网许可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区住建局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《城镇排水与污水处理条例》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6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拆除、改动、迁移城市公共供水设施审核</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区住建局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《城市供水条例》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6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拆除、改动城镇排水与污水处理设施审核</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区住建局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《城镇排水与污水处理条例》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3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由于工程施工、设备维修等原因确需停止供水的审批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区住建局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《城市供水条例》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38"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spacing w:val="-6"/>
                <w:kern w:val="0"/>
                <w:szCs w:val="21"/>
              </w:rPr>
              <w:t>建设工程消防设计审查</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区住建局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《中华人民共和国消防法》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建设工程消防设计审查验收管理暂行规定》（住房城乡建设部令第51号）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4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pacing w:val="-6"/>
                <w:kern w:val="0"/>
                <w:szCs w:val="21"/>
              </w:rPr>
            </w:pPr>
            <w:r>
              <w:rPr>
                <w:rFonts w:hint="eastAsia" w:ascii="宋体" w:hAnsi="宋体" w:cs="宋体"/>
                <w:color w:val="000000"/>
                <w:spacing w:val="-6"/>
                <w:kern w:val="0"/>
                <w:szCs w:val="21"/>
              </w:rPr>
              <w:t>建筑起重机械使用登记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区住建局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《中华人民共和国特种设备安全法》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《建设工程安全生产管理条例》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8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关闭、闲置、拆除城市环境卫生设施许可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区城管局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szCs w:val="21"/>
              </w:rPr>
            </w:pPr>
            <w:r>
              <w:rPr>
                <w:rFonts w:hint="eastAsia" w:ascii="宋体" w:hAnsi="宋体" w:cs="宋体"/>
                <w:color w:val="000000"/>
                <w:kern w:val="0"/>
                <w:szCs w:val="21"/>
              </w:rPr>
              <w:t>《中华人民共和国固体废物污染环境防治法》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43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从事城市生活垃圾经营性清扫、收集、运输、处理服务审批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区城管局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szCs w:val="21"/>
              </w:rPr>
            </w:pPr>
            <w:r>
              <w:rPr>
                <w:rFonts w:hint="eastAsia" w:ascii="宋体" w:hAnsi="宋体" w:cs="宋体"/>
                <w:color w:val="000000"/>
                <w:kern w:val="0"/>
                <w:szCs w:val="21"/>
              </w:rPr>
              <w:t>《国务院对确需保留的行政审批项目设定行政许可的决定》</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9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pacing w:val="-6"/>
                <w:szCs w:val="21"/>
              </w:rPr>
            </w:pPr>
            <w:r>
              <w:rPr>
                <w:rFonts w:hint="eastAsia" w:ascii="宋体" w:hAnsi="宋体" w:cs="宋体"/>
                <w:color w:val="000000"/>
                <w:spacing w:val="-6"/>
                <w:kern w:val="0"/>
                <w:szCs w:val="21"/>
              </w:rPr>
              <w:t>城市建筑垃圾处置核准</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区城管局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szCs w:val="21"/>
              </w:rPr>
            </w:pPr>
            <w:r>
              <w:rPr>
                <w:rFonts w:hint="eastAsia" w:ascii="宋体" w:hAnsi="宋体" w:cs="宋体"/>
                <w:color w:val="000000"/>
                <w:kern w:val="0"/>
                <w:szCs w:val="21"/>
              </w:rPr>
              <w:t>《国务院对确需保留的行政审批项目设定行政许可的决定》</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燃气经营者改动市政燃气设施审批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区城管局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《城镇燃气管理条例》</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《国务院关于第六批取消和调整行政审批项目的决定》（国发〔2012〕52号）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88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市政设施建设类审批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区城管局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《城市道路管理条例》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1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特殊车辆在城市道路上行驶审批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区城管局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《城市道路管理条例》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1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改变绿化规划、绿化用地的使用性质审批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区城管局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《国务院对确需保留的行政审批项目设定行政许可的决定》</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8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工程建设涉及城市绿地、树木审批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区城管局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《城市绿化条例》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43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设置大型户外广告及在城市建筑物、设施上悬挂、张贴宣传品审批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区城管局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《城市市容和环境卫生管理条例》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886"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临时性建筑物搭建、堆放物料、占道施工审批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区城管局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szCs w:val="21"/>
              </w:rPr>
            </w:pPr>
            <w:r>
              <w:rPr>
                <w:rFonts w:hint="eastAsia" w:ascii="宋体" w:hAnsi="宋体" w:cs="宋体"/>
                <w:color w:val="000000"/>
                <w:kern w:val="0"/>
                <w:szCs w:val="21"/>
              </w:rPr>
              <w:t>《城市市容和环境卫生管理条例》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公路建设项目设计文件审批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《中华人民共和国公路法》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《建设工程质量管理条例》</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《建设工程勘察设计管理条例》</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《农村公路建设管理办法》（交通运输部令2018年第4号）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pacing w:val="-6"/>
                <w:kern w:val="0"/>
                <w:szCs w:val="21"/>
              </w:rPr>
            </w:pPr>
            <w:r>
              <w:rPr>
                <w:rFonts w:hint="eastAsia" w:ascii="宋体" w:hAnsi="宋体" w:cs="宋体"/>
                <w:color w:val="000000"/>
                <w:spacing w:val="-6"/>
                <w:kern w:val="0"/>
                <w:szCs w:val="21"/>
              </w:rPr>
              <w:t>公路建设项目施工许可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《中华人民共和国公路法》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《公路建设市场管理办法》（交通部令2004年第14号公布，交通运输部令2015年第11号修正）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1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spacing w:val="-6"/>
                <w:kern w:val="0"/>
                <w:szCs w:val="21"/>
              </w:rPr>
              <w:t>公路建设项目竣工验收</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《中华人民共和国公路法》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《收费公路管理条例》</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《公路工程竣（交）工验收办法》（交通部令2004年第3号）</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《农村公路建设管理办法》（交通运输部令2018年第4号）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87"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公路超限运输许可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《中华人民共和国公路法》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《公路安全保护条例》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5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更新采伐护路林审批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《中华人民共和国公路法》</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《公路安全保护条例》</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《路政管理规定》（交通部令2003年第2号公布，交通运输部令2016年第81号修正）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spacing w:val="-6"/>
                <w:kern w:val="0"/>
                <w:szCs w:val="21"/>
              </w:rPr>
              <w:t>道路旅客运输经营许可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《中华人民共和国道路运输条例》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87"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道路旅客运输站经营许可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《中华人民共和国道路运输条例》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43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道路货物运输经营许可（除使用4500千克及以下普通货运车辆从事普通货运经营外）</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《中华人民共和国道路运输条例》</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《道路货物运输及站场管理规定》（交通部令2005年第6号公布，交通运输部令2019年第17号修正）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90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出租汽车经营许可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《国务院对确需保留的行政审批项目设定行政许可的决定》</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《巡游出租汽车经营服务管理规定》（交通运输部令2014年第16号公布，交通运输部令2021年第16号修正）</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《网络预约出租汽车经营服务管理暂行办法》（交通运输部、工业和信息化部、公安部、商务部、工商总局、质检总局、国家网信办令2016年第60号公布，交通运输部令2021年第16号修正）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74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出租汽车车辆运营证核发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《国务院对确需保留的行政审批项目设定行政许可的决定》</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《巡游出租汽车经营服务管理规定》（交通运输部令2014年第16号公布，交通运输部令2021年第16号修正）</w:t>
            </w:r>
          </w:p>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《网络预约出租汽车经营服务管理暂行办法》（交通运输部、工业和信息化部、公安部、商务部、工商总局、质检总局、国家网信办令2016年第60号公布，交通运输部令2021年第16号修正）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517"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水运建设项目设计文件审批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《中华人民共和国港口法》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《中华人民共和国航道法》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《中华人民共和国航道管理条例》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《建设工程质量管理条例》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《建设工程勘察设计管理条例》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2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通航建筑物运行方案审批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《中华人民共和国航道法》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《通航建筑物运行管理办法》（交通运输部令2019第6号）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航道通航条件影响评价审核</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《中华人民共和国航道法》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《航道通航条件影响评价审核管理办法》（交通运输部令2017第1号公布，交通运输部令2019第35号修正）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768"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水运工程建设项目竣工验收</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《中华人民共和国港口法》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《中华人民共和国航道法》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《中华人民共和国航道管理条例》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《港口工程建设管理规定》（交通运输部令2018年第2号公布，交通运输部令2019年第32号修正）</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《航道工程建设管理规定》（交通运输部令2019年第44号）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5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港口经营许可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《中华人民共和国港口法》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49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危险货物港口建设项目安全设施设计审查</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《中华人民共和国港口法》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《中华人民共和国安全生产法》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《港口危险货物安全管理规定》（交通运输部令2017年第2号公布，交通运输部令2019第34号修正）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5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港口采掘、爆破施工作业许可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《中华人民共和国港口法》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67"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内河专用航标设置、撤除、位置移动和其他状况改变审批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《中华人民共和国航标条例》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《中华人民共和国航道管理条例》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2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设置或者撤销内河渡口审批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区交通局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《中华人民共和国内河交通安全管理条例》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水利基建项目初步设计文件审批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区水利局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《国务院对确需保留的行政审批项目设定行政许可的决定》</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取水许可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区水利局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《中华人民共和国水法》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《取水许可和水资源费征收管理条例》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3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洪水影响评价类审批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区水利局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《中华人民共和国水法》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《中华人民共和国防洪法》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《中华人民共和国河道管理条例》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《中华人民共和国水文条例》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34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河道管理范围内特定活动审批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区水利局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《中华人民共和国河道管理条例》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《湖南省人民政府关于调整一批行政权力事项的通知》（湘政发）〔2020〕15号）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河道采砂许可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区水利局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《中华人民共和国水法》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《中华人民共和国长江保护法》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《中华人民共和国河道管理条例》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《长江河道采砂管理条例》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87"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生产建设项目水土保持方案审批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区水利局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《中华人民共和国水土保持法》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7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农村集体经济组织修建水库审批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区水利局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《中华人民共和国水法》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8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占用农业灌溉水源、灌排工程设施审批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区水利局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《国务院对确需保留的行政审批项目设定行政许可的决定》</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8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农药经营许可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君山区</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《农药管理条例》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8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兽药经营许可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《兽药管理条例》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36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Cs w:val="21"/>
              </w:rPr>
            </w:pPr>
            <w:r>
              <w:rPr>
                <w:rFonts w:hint="eastAsia" w:ascii="宋体" w:hAnsi="宋体" w:cs="宋体"/>
                <w:color w:val="000000"/>
                <w:kern w:val="0"/>
                <w:szCs w:val="21"/>
              </w:rPr>
              <w:t>农作物种子生产经营许可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《中华人民共和国种子法》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《农业转基因生物安全管理条例》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《转基因棉花种子生产经营许可规定》（农业部公告第2436号公布，农业农村部令2019年第2号修正）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58"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Cs w:val="21"/>
              </w:rPr>
            </w:pPr>
            <w:r>
              <w:rPr>
                <w:rFonts w:hint="eastAsia" w:ascii="宋体" w:hAnsi="宋体" w:cs="宋体"/>
                <w:color w:val="000000"/>
                <w:kern w:val="0"/>
                <w:szCs w:val="21"/>
              </w:rPr>
              <w:t>食用菌菌种生产经营许可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《中华人民共和国种子法》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《食用菌菌种管理办法》(农业部令2006年第62号公布，农业部令2015年第1号修正）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27"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Cs w:val="21"/>
              </w:rPr>
            </w:pPr>
            <w:r>
              <w:rPr>
                <w:rFonts w:hint="eastAsia" w:ascii="宋体" w:hAnsi="宋体" w:cs="宋体"/>
                <w:color w:val="000000"/>
                <w:kern w:val="0"/>
                <w:szCs w:val="21"/>
              </w:rPr>
              <w:t>使用低于国家或地方规定的种用标准的农作物种子审批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《中华人民共和国种子法》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8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Cs w:val="21"/>
              </w:rPr>
            </w:pPr>
            <w:r>
              <w:rPr>
                <w:rFonts w:hint="eastAsia" w:ascii="宋体" w:hAnsi="宋体" w:cs="宋体"/>
                <w:color w:val="000000"/>
                <w:kern w:val="0"/>
                <w:szCs w:val="21"/>
              </w:rPr>
              <w:t>种畜禽生产经营许可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《中华人民共和国畜牧法》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《农业转基因生物安全管理条例》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《养蜂管理办法（试行）》（农业部公告第1692号）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蚕种生产经营许可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《中华人民共和国畜牧法》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《蚕种管理办法》(农业部令2006年第68号）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2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动物及动物产品检疫合格证核发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君山区</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《中华人民共和国动物防疫法》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《动物检疫管理办法》（农业部令2010年第6号公布，农业农村部令2019年第2号修正）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86"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动物防疫条件合格证核发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《中华人民共和国动物防疫法》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8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动物诊疗许可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《中华人民共和国动物防疫法》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《动物诊疗机构管理办法》（农业部令2008年第19号公布，农业部令2017年第8号修正）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0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生鲜乳准运证明核发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《乳品质量安全监督管理条例》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3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生鲜乳收购站许可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r>
              <w:rPr>
                <w:rFonts w:hint="eastAsia" w:ascii="宋体" w:hAnsi="宋体" w:cs="宋体"/>
                <w:color w:val="000000"/>
                <w:kern w:val="0"/>
                <w:szCs w:val="21"/>
              </w:rPr>
              <w:t>《乳品质量安全监督管理条例》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拖拉机和联合收割机驾驶证核发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《中华人民共和国道路交通安全法》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《农业机械安全监督管理条例》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拖拉机和联合收割机登记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《中华人民共和国道路交通安全法》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《农业机械安全监督管理条例》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pacing w:val="-6"/>
                <w:kern w:val="0"/>
                <w:szCs w:val="21"/>
              </w:rPr>
            </w:pPr>
            <w:r>
              <w:rPr>
                <w:rFonts w:hint="eastAsia" w:ascii="宋体" w:hAnsi="宋体" w:cs="宋体"/>
                <w:color w:val="000000"/>
                <w:spacing w:val="-6"/>
                <w:kern w:val="0"/>
                <w:szCs w:val="21"/>
              </w:rPr>
              <w:t>水产苗种生产经营审批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《中华人民共和国渔业法》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《水产苗种管理办法》（农业部令2005年第46号）</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《农业转基因生物安全管理条例》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水域滩涂养殖证核发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《中华人民共和国渔业法》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《中华人民共和国渔业船员管理办法》（农业部令2014年第4号公布，农业部令2017年第8号修正）</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《国家职业资格目录（2021年版）》</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68"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渔业捕捞许可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《中华人民共和国渔业法》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《中华人民共和国渔业法实施细则》</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《渔业捕捞许可管理规定》（农业农村部令2018年第1号）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37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渔港内新建、改建、扩建设施或者其他水上、水下施工审批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《中华人民共和国渔港水域交通安全管理条例》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4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渔港内易燃、易爆、有毒等危险品装卸审批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区农业农村局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《中华人民共和国渔港水域交通安全管理条例》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58"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pacing w:val="-8"/>
                <w:kern w:val="0"/>
                <w:szCs w:val="21"/>
              </w:rPr>
            </w:pPr>
            <w:r>
              <w:rPr>
                <w:rFonts w:hint="eastAsia" w:ascii="宋体" w:hAnsi="宋体" w:cs="宋体"/>
                <w:color w:val="000000"/>
                <w:spacing w:val="-8"/>
                <w:kern w:val="0"/>
                <w:szCs w:val="21"/>
              </w:rPr>
              <w:t>文艺表演团体设立审批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区文旅广体局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《营业性演出管理条例》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56"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营业性演出审批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区文旅广体局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《营业性演出管理条例》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《营业性演出管理条例实施细则》（文化部令47号公布，文化部令第57号修正）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86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spacing w:val="-8"/>
                <w:kern w:val="0"/>
                <w:szCs w:val="21"/>
              </w:rPr>
              <w:t>娱乐场所经营活动审批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区文旅广体局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《娱乐场所管理条例》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0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互联网上网服务经营活动审批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区文旅广体局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《互联网上网服务营业场所管理条例》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5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举办健身气功活动及设立站点审批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区文旅广体局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《国务院对确需保留的行政审批项目设定行政许可的决定》</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《健身气功管理办法》（体育总局令2006年第9号）</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《国务院关于第五批取消和下放管理层级行政审批项目的决定》（国发〔2010〕21号）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6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高危险性体育项目经营许可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区文旅广体局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《全民健身条例》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《国务院关于取消和下放一批行政审批项目等事项的决定》（国发〔2013〕19号）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81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文物保护单位原址保护措施审批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区文旅广体局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《中华人民共和国文物保护法》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7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饮用水供水单位卫生许可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区卫健局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《中华人民共和国传染病防治法》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8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公共场所卫生许可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区卫健局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《公共场所卫生管理条例》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76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医疗机构执业登记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区卫健局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《医疗机构管理条例》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616"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母婴保健技术服务机构执业许可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区卫健局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《中华人民共和国母婴保健法》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《中华人民共和国母婴保健法实施办法》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《母婴保健专项技术服务许可及人员资格管理办法》（卫妇发〔1995〕7号公布，国家卫生健康委令第7号修正）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238"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放射源诊疗技术和医用辐射机构许可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区卫健局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《放射性同位素与射线装置安全和防护条例》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《放射诊疗管理规定》（卫生部令第46号公布，国家卫生计生委令第8号修正）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87"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医师执业注册</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区卫健局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《中华人民共和国医师法》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《医师执业注册管理办法》（国家卫生计生委令第13号）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4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乡村医生执业注册</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区卫健局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《乡村医生从业管理条例》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50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母婴保健服务人员资格认定</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区卫健局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《中华人民共和国母婴保健法》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《中华人民共和国母婴保健法实施办法》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《母婴保健专项技术服务许可及人员资格管理办法》（卫妇发〔1995〕7号公布，国家卫生健康委令第7号修正）</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《国家职业资格目录（2021年版）》</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5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护士执业注册</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区卫健局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《护士条例》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《国家职业资格目录（2021年版）》</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危险化学品经营许可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区应急管理局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《危险化学品安全管理条例》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《危险化学品经营许可证管理办法》（安全监管总局令第55号公布，安全监管总局令第79号修正）</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2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烟花爆竹经营许可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区应急管理局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《烟花爆竹安全管理条例》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《烟花爆竹经营许可实施办法》（安全监管总局令第65号）</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88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林草种子生产经营许可证核发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区林业局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《中华人民共和国种子法》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056"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林草植物检疫证书核发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区林业局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《植物检疫条例》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林木采伐许可证核发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区林业局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《中华人民共和国森林法》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《中华人民共和国森林法实施条例》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移植古树名木审批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区林业局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《湖南省林业条例》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《湖南省古树名木保护办法》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6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小餐饮经营许可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区市场监管局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《湖南省食品生产加工小作坊小餐饮和食品摊贩管理条例》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6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食品经营许可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区市场监管局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《中华人民共和国食品安全法》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22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企业登记注册</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区市场监管局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《中华人民共和国公司法》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《中华人民共和国合伙企业法》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《中华人民共和国个人独资企业法》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《中华人民共和国外商投资法》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《中华人民共和国外商投资法实施条例》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《中华人民共和国公司登记管理条例》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《中华人民共和国企业法人登记管理条例》</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《中华人民共和国合伙企业登记管理办法》</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87"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个体工商户登记注册</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区市场监管局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《个体工商户条例》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952"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农民专业合作社登记注册</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区市场监管局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《中华人民共和国农民专业合作社法》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《农民专业合作社登记管理条例》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r>
        <w:tblPrEx>
          <w:tblCellMar>
            <w:top w:w="0" w:type="dxa"/>
            <w:left w:w="85" w:type="dxa"/>
            <w:bottom w:w="0" w:type="dxa"/>
            <w:right w:w="85" w:type="dxa"/>
          </w:tblCellMar>
        </w:tblPrEx>
        <w:trPr>
          <w:trHeight w:val="113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药品零售企业经营许可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区市场监管局</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《中华人民共和国药品管理法》</w:t>
            </w:r>
          </w:p>
          <w:p>
            <w:pPr>
              <w:widowControl/>
              <w:tabs>
                <w:tab w:val="left" w:pos="380"/>
              </w:tabs>
              <w:spacing w:line="260" w:lineRule="exact"/>
              <w:textAlignment w:val="center"/>
              <w:rPr>
                <w:rFonts w:ascii="宋体" w:hAnsi="宋体" w:cs="宋体"/>
                <w:color w:val="000000"/>
                <w:kern w:val="0"/>
                <w:szCs w:val="21"/>
              </w:rPr>
            </w:pPr>
            <w:r>
              <w:rPr>
                <w:rFonts w:hint="eastAsia" w:ascii="宋体" w:hAnsi="宋体" w:cs="宋体"/>
                <w:color w:val="000000"/>
                <w:kern w:val="0"/>
                <w:szCs w:val="21"/>
              </w:rPr>
              <w:t>《中华人民共和国药品管理法实施条例》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80"/>
              </w:tabs>
              <w:spacing w:line="260" w:lineRule="exact"/>
              <w:textAlignment w:val="center"/>
              <w:rPr>
                <w:rFonts w:ascii="宋体" w:hAnsi="宋体" w:cs="宋体"/>
                <w:color w:val="000000"/>
                <w:kern w:val="0"/>
                <w:szCs w:val="21"/>
              </w:rPr>
            </w:pPr>
          </w:p>
        </w:tc>
      </w:tr>
    </w:tbl>
    <w:p>
      <w:pPr>
        <w:tabs>
          <w:tab w:val="left" w:pos="774"/>
        </w:tabs>
        <w:jc w:val="left"/>
        <w:rPr>
          <w:rFonts w:hint="eastAsia"/>
        </w:rPr>
      </w:pPr>
    </w:p>
    <w:p>
      <w:pPr>
        <w:tabs>
          <w:tab w:val="left" w:pos="774"/>
        </w:tabs>
        <w:jc w:val="left"/>
        <w:rPr>
          <w:rFonts w:hint="eastAsia"/>
        </w:rPr>
      </w:pPr>
    </w:p>
    <w:p>
      <w:pPr>
        <w:tabs>
          <w:tab w:val="left" w:pos="774"/>
        </w:tabs>
        <w:jc w:val="left"/>
        <w:rPr>
          <w:rFonts w:hint="eastAsia"/>
        </w:rPr>
      </w:pPr>
    </w:p>
    <w:p>
      <w:pPr>
        <w:tabs>
          <w:tab w:val="left" w:pos="774"/>
        </w:tabs>
        <w:jc w:val="left"/>
        <w:rPr>
          <w:rFonts w:hint="eastAsia"/>
        </w:rPr>
      </w:pPr>
    </w:p>
    <w:p>
      <w:pPr>
        <w:tabs>
          <w:tab w:val="left" w:pos="774"/>
        </w:tabs>
        <w:jc w:val="left"/>
        <w:rPr>
          <w:rFonts w:hint="eastAsia"/>
        </w:rPr>
      </w:pPr>
    </w:p>
    <w:p>
      <w:pPr>
        <w:spacing w:line="240" w:lineRule="exact"/>
        <w:rPr>
          <w:color w:val="000000" w:themeColor="text1"/>
          <w14:textFill>
            <w14:solidFill>
              <w14:schemeClr w14:val="tx1"/>
            </w14:solidFill>
          </w14:textFill>
        </w:rPr>
      </w:pPr>
    </w:p>
    <w:sectPr>
      <w:footerReference r:id="rId5" w:type="first"/>
      <w:footerReference r:id="rId3" w:type="default"/>
      <w:footerReference r:id="rId4" w:type="even"/>
      <w:pgSz w:w="16838" w:h="11906" w:orient="landscape"/>
      <w:pgMar w:top="1701" w:right="1701" w:bottom="1701" w:left="1701" w:header="851" w:footer="1418"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- 5 -</w:t>
    </w:r>
    <w:r>
      <w:rPr>
        <w:rStyle w:val="12"/>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NotTrackMove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DE1MGYyYTc2N2I0MmM3NGE4MWVkYmUxMWI5Y2MifQ=="/>
  </w:docVars>
  <w:rsids>
    <w:rsidRoot w:val="221A10DB"/>
    <w:rsid w:val="000109AD"/>
    <w:rsid w:val="00026451"/>
    <w:rsid w:val="000273EC"/>
    <w:rsid w:val="0003008C"/>
    <w:rsid w:val="00030279"/>
    <w:rsid w:val="00043750"/>
    <w:rsid w:val="000534C9"/>
    <w:rsid w:val="00062C2D"/>
    <w:rsid w:val="00063C15"/>
    <w:rsid w:val="0007291B"/>
    <w:rsid w:val="000A6313"/>
    <w:rsid w:val="000A78BB"/>
    <w:rsid w:val="000B13F9"/>
    <w:rsid w:val="000D2962"/>
    <w:rsid w:val="0011150B"/>
    <w:rsid w:val="001228F0"/>
    <w:rsid w:val="0014034C"/>
    <w:rsid w:val="0014164D"/>
    <w:rsid w:val="00144E43"/>
    <w:rsid w:val="00154DE1"/>
    <w:rsid w:val="00175CDF"/>
    <w:rsid w:val="00187ED0"/>
    <w:rsid w:val="001B6E74"/>
    <w:rsid w:val="001D2B87"/>
    <w:rsid w:val="001D5304"/>
    <w:rsid w:val="002024A6"/>
    <w:rsid w:val="002133C3"/>
    <w:rsid w:val="00214EF3"/>
    <w:rsid w:val="0023344B"/>
    <w:rsid w:val="00234F19"/>
    <w:rsid w:val="00283B86"/>
    <w:rsid w:val="002863A7"/>
    <w:rsid w:val="002A5501"/>
    <w:rsid w:val="002C620E"/>
    <w:rsid w:val="002D2F53"/>
    <w:rsid w:val="003078A9"/>
    <w:rsid w:val="003332F8"/>
    <w:rsid w:val="0037186E"/>
    <w:rsid w:val="003A63E3"/>
    <w:rsid w:val="003A64A9"/>
    <w:rsid w:val="003A7F48"/>
    <w:rsid w:val="003E6A44"/>
    <w:rsid w:val="003F42CF"/>
    <w:rsid w:val="00402775"/>
    <w:rsid w:val="00407AFC"/>
    <w:rsid w:val="0041183C"/>
    <w:rsid w:val="00481F06"/>
    <w:rsid w:val="00492E16"/>
    <w:rsid w:val="004E3FA7"/>
    <w:rsid w:val="00544EA8"/>
    <w:rsid w:val="0056677F"/>
    <w:rsid w:val="00572CDE"/>
    <w:rsid w:val="00584743"/>
    <w:rsid w:val="005A24E3"/>
    <w:rsid w:val="005B3746"/>
    <w:rsid w:val="005F4572"/>
    <w:rsid w:val="005F7219"/>
    <w:rsid w:val="00610D87"/>
    <w:rsid w:val="0065039C"/>
    <w:rsid w:val="006649B1"/>
    <w:rsid w:val="00666A2B"/>
    <w:rsid w:val="006702F9"/>
    <w:rsid w:val="006972E8"/>
    <w:rsid w:val="006A19D0"/>
    <w:rsid w:val="006C04B6"/>
    <w:rsid w:val="006E5230"/>
    <w:rsid w:val="007468D6"/>
    <w:rsid w:val="007846A8"/>
    <w:rsid w:val="007D402D"/>
    <w:rsid w:val="008752F7"/>
    <w:rsid w:val="008A185E"/>
    <w:rsid w:val="008A60F2"/>
    <w:rsid w:val="008B11B7"/>
    <w:rsid w:val="008C02C9"/>
    <w:rsid w:val="008C0A70"/>
    <w:rsid w:val="008D20DC"/>
    <w:rsid w:val="008E0BCC"/>
    <w:rsid w:val="008E0BFC"/>
    <w:rsid w:val="00902CD6"/>
    <w:rsid w:val="00905EF5"/>
    <w:rsid w:val="00910609"/>
    <w:rsid w:val="009362BF"/>
    <w:rsid w:val="009467C6"/>
    <w:rsid w:val="00963E7E"/>
    <w:rsid w:val="00967849"/>
    <w:rsid w:val="009710AD"/>
    <w:rsid w:val="0099756B"/>
    <w:rsid w:val="009A0769"/>
    <w:rsid w:val="009D016D"/>
    <w:rsid w:val="009D5A0B"/>
    <w:rsid w:val="009E12D4"/>
    <w:rsid w:val="00A21CD2"/>
    <w:rsid w:val="00A341A1"/>
    <w:rsid w:val="00A50F2F"/>
    <w:rsid w:val="00AA1E58"/>
    <w:rsid w:val="00AE43D2"/>
    <w:rsid w:val="00B20BD0"/>
    <w:rsid w:val="00B413DA"/>
    <w:rsid w:val="00B96638"/>
    <w:rsid w:val="00BA7149"/>
    <w:rsid w:val="00C200DC"/>
    <w:rsid w:val="00C40598"/>
    <w:rsid w:val="00C673D6"/>
    <w:rsid w:val="00C71556"/>
    <w:rsid w:val="00C73338"/>
    <w:rsid w:val="00CB3035"/>
    <w:rsid w:val="00CD25CF"/>
    <w:rsid w:val="00D0026D"/>
    <w:rsid w:val="00D10E9D"/>
    <w:rsid w:val="00D121B5"/>
    <w:rsid w:val="00D2089C"/>
    <w:rsid w:val="00D7035E"/>
    <w:rsid w:val="00D77462"/>
    <w:rsid w:val="00D97EA0"/>
    <w:rsid w:val="00DB0EC3"/>
    <w:rsid w:val="00DC0ABB"/>
    <w:rsid w:val="00DC784F"/>
    <w:rsid w:val="00E132AE"/>
    <w:rsid w:val="00E133B3"/>
    <w:rsid w:val="00E41D79"/>
    <w:rsid w:val="00E54B97"/>
    <w:rsid w:val="00EA302B"/>
    <w:rsid w:val="00EA31C4"/>
    <w:rsid w:val="00EC20BD"/>
    <w:rsid w:val="00EE2FC2"/>
    <w:rsid w:val="00EE66BF"/>
    <w:rsid w:val="00F05248"/>
    <w:rsid w:val="00F2102A"/>
    <w:rsid w:val="00F52DD4"/>
    <w:rsid w:val="00F70225"/>
    <w:rsid w:val="00F8192E"/>
    <w:rsid w:val="00F9276B"/>
    <w:rsid w:val="00FA5F39"/>
    <w:rsid w:val="00FC6AA9"/>
    <w:rsid w:val="00FF3357"/>
    <w:rsid w:val="00FF77A2"/>
    <w:rsid w:val="0710179A"/>
    <w:rsid w:val="07E31AF2"/>
    <w:rsid w:val="0AC979E3"/>
    <w:rsid w:val="0B202894"/>
    <w:rsid w:val="0B2F1008"/>
    <w:rsid w:val="0B6E0DE8"/>
    <w:rsid w:val="0BB4154B"/>
    <w:rsid w:val="10DB71CB"/>
    <w:rsid w:val="1B5A4D16"/>
    <w:rsid w:val="1C6840AB"/>
    <w:rsid w:val="1D8B5392"/>
    <w:rsid w:val="213900E4"/>
    <w:rsid w:val="221A10DB"/>
    <w:rsid w:val="27376A2D"/>
    <w:rsid w:val="30F40F40"/>
    <w:rsid w:val="36CE2129"/>
    <w:rsid w:val="3BDC0BA7"/>
    <w:rsid w:val="3FB10FCA"/>
    <w:rsid w:val="40293428"/>
    <w:rsid w:val="446608BF"/>
    <w:rsid w:val="44AE0436"/>
    <w:rsid w:val="490D12B6"/>
    <w:rsid w:val="4BBA2D21"/>
    <w:rsid w:val="4BED7CF7"/>
    <w:rsid w:val="4D264F80"/>
    <w:rsid w:val="504C02BE"/>
    <w:rsid w:val="529D6B76"/>
    <w:rsid w:val="5477123F"/>
    <w:rsid w:val="55AE2F5D"/>
    <w:rsid w:val="5AC1050A"/>
    <w:rsid w:val="5BAE69D1"/>
    <w:rsid w:val="5DBFFA8D"/>
    <w:rsid w:val="61C176C8"/>
    <w:rsid w:val="63A8096F"/>
    <w:rsid w:val="658130B8"/>
    <w:rsid w:val="6AF91AAD"/>
    <w:rsid w:val="6C5827D1"/>
    <w:rsid w:val="6C91205D"/>
    <w:rsid w:val="73F27CDF"/>
    <w:rsid w:val="77E5622B"/>
    <w:rsid w:val="795505BB"/>
    <w:rsid w:val="D6EF2389"/>
    <w:rsid w:val="E3E91E51"/>
    <w:rsid w:val="F5EE00F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0"/>
    <w:qFormat/>
    <w:uiPriority w:val="99"/>
    <w:pPr>
      <w:spacing w:beforeAutospacing="1" w:afterAutospacing="1"/>
      <w:jc w:val="left"/>
      <w:outlineLvl w:val="0"/>
    </w:pPr>
    <w:rPr>
      <w:rFonts w:ascii="宋体" w:hAnsi="宋体"/>
      <w:b/>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3"/>
    <w:semiHidden/>
    <w:unhideWhenUsed/>
    <w:qFormat/>
    <w:locked/>
    <w:uiPriority w:val="99"/>
    <w:pPr>
      <w:spacing w:after="120"/>
      <w:ind w:left="420" w:leftChars="200"/>
    </w:pPr>
  </w:style>
  <w:style w:type="paragraph" w:styleId="5">
    <w:name w:val="footer"/>
    <w:basedOn w:val="1"/>
    <w:link w:val="21"/>
    <w:qFormat/>
    <w:uiPriority w:val="99"/>
    <w:pPr>
      <w:tabs>
        <w:tab w:val="center" w:pos="4153"/>
        <w:tab w:val="right" w:pos="8306"/>
      </w:tabs>
      <w:snapToGrid w:val="0"/>
      <w:jc w:val="left"/>
    </w:pPr>
    <w:rPr>
      <w:sz w:val="18"/>
      <w:szCs w:val="18"/>
    </w:rPr>
  </w:style>
  <w:style w:type="paragraph" w:styleId="6">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paragraph" w:styleId="8">
    <w:name w:val="Body Text First Indent 2"/>
    <w:basedOn w:val="4"/>
    <w:link w:val="24"/>
    <w:qFormat/>
    <w:locked/>
    <w:uiPriority w:val="99"/>
    <w:pPr>
      <w:ind w:firstLine="420" w:firstLineChars="200"/>
    </w:pPr>
    <w:rPr>
      <w:szCs w:val="22"/>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FollowedHyperlink"/>
    <w:basedOn w:val="11"/>
    <w:semiHidden/>
    <w:unhideWhenUsed/>
    <w:locked/>
    <w:uiPriority w:val="99"/>
    <w:rPr>
      <w:color w:val="333333"/>
      <w:u w:val="none"/>
    </w:rPr>
  </w:style>
  <w:style w:type="character" w:styleId="14">
    <w:name w:val="Emphasis"/>
    <w:basedOn w:val="11"/>
    <w:qFormat/>
    <w:uiPriority w:val="0"/>
  </w:style>
  <w:style w:type="character" w:styleId="15">
    <w:name w:val="HTML Definition"/>
    <w:basedOn w:val="11"/>
    <w:semiHidden/>
    <w:unhideWhenUsed/>
    <w:locked/>
    <w:uiPriority w:val="99"/>
  </w:style>
  <w:style w:type="character" w:styleId="16">
    <w:name w:val="HTML Variable"/>
    <w:basedOn w:val="11"/>
    <w:semiHidden/>
    <w:unhideWhenUsed/>
    <w:locked/>
    <w:uiPriority w:val="99"/>
  </w:style>
  <w:style w:type="character" w:styleId="17">
    <w:name w:val="Hyperlink"/>
    <w:basedOn w:val="11"/>
    <w:semiHidden/>
    <w:unhideWhenUsed/>
    <w:locked/>
    <w:uiPriority w:val="99"/>
    <w:rPr>
      <w:color w:val="333333"/>
      <w:u w:val="none"/>
    </w:rPr>
  </w:style>
  <w:style w:type="character" w:styleId="18">
    <w:name w:val="HTML Code"/>
    <w:basedOn w:val="11"/>
    <w:semiHidden/>
    <w:unhideWhenUsed/>
    <w:locked/>
    <w:uiPriority w:val="99"/>
    <w:rPr>
      <w:rFonts w:ascii="Courier New" w:hAnsi="Courier New"/>
      <w:sz w:val="20"/>
    </w:rPr>
  </w:style>
  <w:style w:type="character" w:styleId="19">
    <w:name w:val="HTML Cite"/>
    <w:basedOn w:val="11"/>
    <w:semiHidden/>
    <w:unhideWhenUsed/>
    <w:locked/>
    <w:uiPriority w:val="99"/>
  </w:style>
  <w:style w:type="character" w:customStyle="1" w:styleId="20">
    <w:name w:val="标题 1 Char"/>
    <w:basedOn w:val="11"/>
    <w:link w:val="2"/>
    <w:qFormat/>
    <w:locked/>
    <w:uiPriority w:val="99"/>
    <w:rPr>
      <w:rFonts w:ascii="Calibri" w:hAnsi="Calibri" w:cs="Times New Roman"/>
      <w:b/>
      <w:bCs/>
      <w:kern w:val="44"/>
      <w:sz w:val="44"/>
      <w:szCs w:val="44"/>
    </w:rPr>
  </w:style>
  <w:style w:type="character" w:customStyle="1" w:styleId="21">
    <w:name w:val="页脚 Char"/>
    <w:basedOn w:val="11"/>
    <w:link w:val="5"/>
    <w:qFormat/>
    <w:locked/>
    <w:uiPriority w:val="99"/>
    <w:rPr>
      <w:rFonts w:ascii="Calibri" w:hAnsi="Calibri" w:cs="Times New Roman"/>
      <w:sz w:val="18"/>
      <w:szCs w:val="18"/>
    </w:rPr>
  </w:style>
  <w:style w:type="character" w:customStyle="1" w:styleId="22">
    <w:name w:val="页眉 Char"/>
    <w:basedOn w:val="11"/>
    <w:link w:val="6"/>
    <w:semiHidden/>
    <w:qFormat/>
    <w:locked/>
    <w:uiPriority w:val="99"/>
    <w:rPr>
      <w:rFonts w:ascii="Calibri" w:hAnsi="Calibri" w:cs="Times New Roman"/>
      <w:sz w:val="18"/>
      <w:szCs w:val="18"/>
    </w:rPr>
  </w:style>
  <w:style w:type="character" w:customStyle="1" w:styleId="23">
    <w:name w:val="正文文本缩进 Char"/>
    <w:basedOn w:val="11"/>
    <w:link w:val="4"/>
    <w:semiHidden/>
    <w:qFormat/>
    <w:uiPriority w:val="99"/>
    <w:rPr>
      <w:rFonts w:ascii="Calibri" w:hAnsi="Calibri"/>
      <w:kern w:val="2"/>
      <w:sz w:val="21"/>
      <w:szCs w:val="24"/>
    </w:rPr>
  </w:style>
  <w:style w:type="character" w:customStyle="1" w:styleId="24">
    <w:name w:val="正文首行缩进 2 Char"/>
    <w:basedOn w:val="23"/>
    <w:link w:val="8"/>
    <w:qFormat/>
    <w:uiPriority w:val="99"/>
    <w:rPr>
      <w:szCs w:val="22"/>
    </w:rPr>
  </w:style>
  <w:style w:type="paragraph" w:customStyle="1" w:styleId="25">
    <w:name w:val="BodyText1I2"/>
    <w:basedOn w:val="1"/>
    <w:qFormat/>
    <w:uiPriority w:val="0"/>
    <w:pPr>
      <w:spacing w:after="120"/>
      <w:ind w:left="283" w:firstLine="210"/>
    </w:pPr>
    <w:rPr>
      <w:rFonts w:ascii="Times New Roman"/>
    </w:rPr>
  </w:style>
  <w:style w:type="character" w:customStyle="1" w:styleId="26">
    <w:name w:val="current"/>
    <w:basedOn w:val="11"/>
    <w:uiPriority w:val="0"/>
    <w:rPr>
      <w:b/>
      <w:bCs/>
      <w:color w:val="FFFFFF"/>
      <w:bdr w:val="none" w:color="11437D" w:sz="0" w:space="0"/>
      <w:shd w:val="clear" w:fill="11437D"/>
    </w:rPr>
  </w:style>
  <w:style w:type="character" w:customStyle="1" w:styleId="27">
    <w:name w:val="disabled"/>
    <w:basedOn w:val="11"/>
    <w:uiPriority w:val="0"/>
    <w:rPr>
      <w:color w:val="555555"/>
      <w:bdr w:val="none" w:color="C4C4C4" w:sz="0" w:space="0"/>
    </w:rPr>
  </w:style>
  <w:style w:type="character" w:customStyle="1" w:styleId="28">
    <w:name w:val="hover20"/>
    <w:basedOn w:val="11"/>
    <w:uiPriority w:val="0"/>
    <w:rPr>
      <w:color w:val="FFFFFF"/>
    </w:rPr>
  </w:style>
  <w:style w:type="character" w:customStyle="1" w:styleId="29">
    <w:name w:val="hover21"/>
    <w:basedOn w:val="11"/>
    <w:uiPriority w:val="0"/>
    <w:rPr>
      <w:color w:val="FF6600"/>
    </w:rPr>
  </w:style>
  <w:style w:type="character" w:customStyle="1" w:styleId="30">
    <w:name w:val="hover22"/>
    <w:basedOn w:val="11"/>
    <w:uiPriority w:val="0"/>
    <w:rPr>
      <w:color w:val="000000"/>
      <w:shd w:val="clear" w:fill="FFFFFF"/>
    </w:rPr>
  </w:style>
  <w:style w:type="character" w:customStyle="1" w:styleId="31">
    <w:name w:val="source"/>
    <w:basedOn w:val="11"/>
    <w:uiPriority w:val="0"/>
    <w:rPr>
      <w:bdr w:val="none" w:color="auto" w:sz="0" w:space="0"/>
    </w:rPr>
  </w:style>
  <w:style w:type="character" w:customStyle="1" w:styleId="32">
    <w:name w:val="font"/>
    <w:basedOn w:val="11"/>
    <w:uiPriority w:val="0"/>
  </w:style>
  <w:style w:type="character" w:customStyle="1" w:styleId="33">
    <w:name w:val="wx-space"/>
    <w:basedOn w:val="11"/>
    <w:uiPriority w:val="0"/>
  </w:style>
  <w:style w:type="character" w:customStyle="1" w:styleId="34">
    <w:name w:val="wx-space1"/>
    <w:basedOn w:val="1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xt256.com</Company>
  <Pages>19</Pages>
  <Words>6532</Words>
  <Characters>6886</Characters>
  <Lines>61</Lines>
  <Paragraphs>17</Paragraphs>
  <TotalTime>16</TotalTime>
  <ScaleCrop>false</ScaleCrop>
  <LinksUpToDate>false</LinksUpToDate>
  <CharactersWithSpaces>6910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2018-11-20T00:02:00Z</dcterms:created>
  <dc:creator>Administrator</dc:creator>
  <cp:lastModifiedBy>口天wu</cp:lastModifiedBy>
  <cp:lastPrinted>2022-10-08T17:11:00Z</cp:lastPrinted>
  <dcterms:modified xsi:type="dcterms:W3CDTF">2022-11-17T04:36:42Z</dcterms:modified>
  <dc:title>JSDR-2018-0000 </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28378BD9D4664425BD0C57EE9A0BA7F2</vt:lpwstr>
  </property>
</Properties>
</file>