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岳阳市君山工业园管理委员会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148</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173"/>
        <w:gridCol w:w="481"/>
        <w:gridCol w:w="46"/>
        <w:gridCol w:w="1080"/>
        <w:gridCol w:w="210"/>
        <w:gridCol w:w="1138"/>
        <w:gridCol w:w="7"/>
        <w:gridCol w:w="1508"/>
        <w:gridCol w:w="1051"/>
        <w:gridCol w:w="226"/>
        <w:gridCol w:w="455"/>
        <w:gridCol w:w="653"/>
        <w:gridCol w:w="427"/>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89"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张诗饴</w:t>
            </w:r>
          </w:p>
        </w:tc>
        <w:tc>
          <w:tcPr>
            <w:tcW w:w="105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07308170818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89"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105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区工业园主要承担园区招商、项目建设、经济运行、企业的安全生产和环保等有关管理职责。（1）贯彻执行国家有关对工业园区开发的方针、政策，落实省、市、区有关对工业园区开发的文件精神，并结合实际拟订具体的实施和管理办法。（2）根据区城市总体规划和园区产业发展，负责编制并组织实施工业园区总体发展规划以及控制性详细规划。（3）负责优化工业园区投资环境，开展和落实全区的招商引资工作。（4）负责园区融资工作和归口管理君山区工业园投资开发有限公司。（5）负责工业园区基础设施建设，协调企业的各种行政性审批事项，根据投资项目的规划、定点和施工，负责企业用地的放样和企业厂房规划与设计的审核。（6）负责工业园区精神文明建设，协助有关部门做好企业用工和社会劳动保障等工作。（7）负责工业园区经济运行及有关涉外事物，协调和沟通工业园区企业间、企业与各方面之间的关系。（8）协助工业园区企业搞好安全生产、环境保护、绿化美化亮化、计划生育和综合治理等工作。（9）承办区委、区人民政府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auto"/>
                <w:sz w:val="24"/>
                <w:u w:val="none"/>
              </w:rPr>
              <w:t>主要经济指标方面</w:t>
            </w:r>
            <w:r>
              <w:rPr>
                <w:rFonts w:hint="eastAsia" w:ascii="仿宋_GB2312" w:hAnsi="仿宋_GB2312" w:eastAsia="仿宋_GB2312" w:cs="仿宋_GB2312"/>
                <w:color w:val="auto"/>
                <w:sz w:val="24"/>
                <w:u w:val="none"/>
                <w:lang w:eastAsia="zh-CN"/>
              </w:rPr>
              <w:t>：</w:t>
            </w:r>
            <w:r>
              <w:rPr>
                <w:rFonts w:hint="eastAsia" w:ascii="仿宋_GB2312" w:hAnsi="仿宋_GB2312" w:eastAsia="仿宋_GB2312" w:cs="仿宋_GB2312"/>
                <w:color w:val="auto"/>
                <w:sz w:val="24"/>
                <w:u w:val="none"/>
              </w:rPr>
              <w:t>力争到2020年底园区技工贸总收入突破200亿元，同比增长15%以上；完成规模工业增加值45亿元，同比增长15%以上；完成固定资产投资总量突破22亿元，同比增长20%以上；税收总额突破1亿元大关。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工程建设方面</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①用地报批。完成230亩李记“退二进三”新厂区用地(已完成报批工作)、国鸿驾考中心300亩土地报批</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；②项目设计。完成杨树路、建业路、三家店路道路设计，会展、商务中心大楼项目设计；③项目建设。一是完成标准化厂房7.3万平方米建设；二是重点抓好国鸿驾考中心、李记食品新厂区等重点项目建设；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招商引资方面</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紧紧围绕完成23亿元招商引资额的目标，实施商会招商、委托招商，开展主导产业招商、产业链招商。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项目服务方面</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1、2020年底园区技工贸总收入、规模工业增加值、固定资产投资总量、税收总额均完成市定年度任务。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①用地报批。完成230亩李记“退二进三”新厂区用地(已完成报批工作)、国鸿驾考中心300亩土地报批(正在报批）；②项目设计。完成杨树路、建业路、三家店路道路设计（已完成设计），会展、商务中心大楼项目设计（已完成初步方案设计）；③项目建设。一是完成标准化厂房7.3万平方米建设（标五续建7.3万平方米）；二是重点抓好国鸿驾考中心、李记食品新厂区等重点项目建设（李记已经开工，驾考项目已完成土地报批）；</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3、完成23亿元招商引资额</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27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2922.12</w:t>
            </w:r>
          </w:p>
        </w:tc>
        <w:tc>
          <w:tcPr>
            <w:tcW w:w="1355" w:type="dxa"/>
            <w:gridSpan w:val="3"/>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429.42</w:t>
            </w:r>
          </w:p>
        </w:tc>
        <w:tc>
          <w:tcPr>
            <w:tcW w:w="1508" w:type="dxa"/>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2489.10</w:t>
            </w:r>
          </w:p>
        </w:tc>
        <w:tc>
          <w:tcPr>
            <w:tcW w:w="1277"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2922.12</w:t>
            </w:r>
          </w:p>
        </w:tc>
        <w:tc>
          <w:tcPr>
            <w:tcW w:w="1355" w:type="dxa"/>
            <w:gridSpan w:val="3"/>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429.42</w:t>
            </w:r>
          </w:p>
        </w:tc>
        <w:tc>
          <w:tcPr>
            <w:tcW w:w="1508" w:type="dxa"/>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2489.10</w:t>
            </w:r>
          </w:p>
        </w:tc>
        <w:tc>
          <w:tcPr>
            <w:tcW w:w="1277" w:type="dxa"/>
            <w:gridSpan w:val="2"/>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77"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77"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2357.44</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167.57</w:t>
            </w:r>
          </w:p>
        </w:tc>
        <w:tc>
          <w:tcPr>
            <w:tcW w:w="1508"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144.58</w:t>
            </w:r>
          </w:p>
        </w:tc>
        <w:tc>
          <w:tcPr>
            <w:tcW w:w="1732"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22.99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2189.86</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141.76</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564.68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25.6</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w:t>
            </w:r>
          </w:p>
        </w:tc>
        <w:tc>
          <w:tcPr>
            <w:tcW w:w="1508"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25.6</w:t>
            </w: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24.6</w:t>
            </w: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w:t>
            </w: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0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63"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16"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271.06</w:t>
            </w:r>
          </w:p>
        </w:tc>
        <w:tc>
          <w:tcPr>
            <w:tcW w:w="2863"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271.06</w:t>
            </w:r>
          </w:p>
        </w:tc>
        <w:tc>
          <w:tcPr>
            <w:tcW w:w="321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271.06</w:t>
            </w:r>
          </w:p>
        </w:tc>
        <w:tc>
          <w:tcPr>
            <w:tcW w:w="2863"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271.06</w:t>
            </w:r>
          </w:p>
        </w:tc>
        <w:tc>
          <w:tcPr>
            <w:tcW w:w="321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63"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1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63"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1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73"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470"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157"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4470"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auto"/>
                <w:sz w:val="24"/>
                <w:u w:val="none"/>
              </w:rPr>
              <w:t>主要经济指标方面：力争到2020年底园区技工贸总收入突破200亿元，同比增长15%以上；完成规模工业增加值45亿元，同比增长15%以上；完成固定资产投资总量突破22亿元，同比增长20%以上；税收总额突破1亿元大关。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工程建设方面：①用地报批。完成230亩李记“退二进三”新厂区用地(已完成报批工作)、国鸿驾考中心300亩土地报批:；②项目设计。完成杨树路、建业路、三家店路道路设计，会展、商务中心大楼项目设计；③项目建设。一是完成标准化厂房7.3万平方米建设；二是重点抓好国鸿驾考中心、李记食品新厂区等重点项目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任务3：招商引资方面：紧紧围绕完成23亿元招商引资额的目标，实施商会招商、委托招商，开展主导产业招商、产业链招商。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项目服务方面：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tc>
        <w:tc>
          <w:tcPr>
            <w:tcW w:w="4157"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1、2020年底园区技工贸总收入、规模工业增加值、固定资产投资总量、税收总额均完成市定年度任务。</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①用地报批。完成230亩李记“退二进三”新厂区用地(已完成报批工作)、国鸿驾考中心300亩土地报批(正在报批）；②项目设计。完成杨树路、建业路、三家店路道路设计（已完成设计），会展、商务中心大楼项目设计（已完成初步方案设计）；③项目建设。一是完成标准化厂房7.3万平方米建设（标五续建7.3万平方米）；二是重点抓好国鸿驾考中心、李记食品新厂区等重点项目建设（李记已经开工，驾考项目已完成土地报批）；</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3、完成23亿元招商引资额</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73"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5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138"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优化区内营商环境</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continue"/>
            <w:vAlign w:val="center"/>
          </w:tcPr>
          <w:p>
            <w:pPr>
              <w:spacing w:line="320" w:lineRule="exact"/>
              <w:jc w:val="center"/>
              <w:rPr>
                <w:rFonts w:hint="eastAsia" w:ascii="仿宋_GB2312" w:hAnsi="仿宋_GB2312" w:eastAsia="仿宋_GB2312" w:cs="仿宋_GB2312"/>
                <w:sz w:val="24"/>
              </w:rPr>
            </w:pP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加快公共基础设施建设及配套设施建设</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指标1：技工贸总收入突破200亿元，同比增长15%以上</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auto"/>
                <w:sz w:val="24"/>
                <w:u w:val="none"/>
              </w:rPr>
              <w:t>完成规模工业增加值45亿元，同比增长15%以上</w:t>
            </w:r>
            <w:r>
              <w:rPr>
                <w:rFonts w:hint="eastAsia" w:ascii="仿宋_GB2312" w:hAnsi="仿宋_GB2312" w:eastAsia="仿宋_GB2312" w:cs="仿宋_GB2312"/>
                <w:color w:val="auto"/>
                <w:sz w:val="24"/>
                <w:u w:val="none"/>
                <w:lang w:val="en-US" w:eastAsia="zh-CN"/>
              </w:rPr>
              <w:t>:</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900"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auto"/>
                <w:sz w:val="24"/>
                <w:u w:val="none"/>
              </w:rPr>
              <w:t>完成固定资产投资总量突破22亿元，同比增长20%以上；税收总额突破1亿元大关。</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900"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完成23亿元招商引资额</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按进度完成项目建设</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按进度完成项目服务相关工作</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支出控制在财政预算内</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保障资金使用，不产生其他成本</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13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带动当地就业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让企业有归属感</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促进区内对外、对内经济发展；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提高企业税收，为君山区创造经济效益。</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w:t>
            </w:r>
            <w:r>
              <w:rPr>
                <w:rFonts w:hint="eastAsia" w:ascii="仿宋_GB2312" w:hAnsi="仿宋_GB2312" w:eastAsia="仿宋_GB2312" w:cs="仿宋_GB2312"/>
                <w:color w:val="000000"/>
                <w:sz w:val="24"/>
              </w:rPr>
              <w:t>快工程项目建设，</w:t>
            </w:r>
            <w:r>
              <w:rPr>
                <w:rFonts w:hint="eastAsia" w:ascii="仿宋_GB2312" w:hAnsi="仿宋_GB2312" w:eastAsia="仿宋_GB2312" w:cs="仿宋_GB2312"/>
                <w:color w:val="000000"/>
                <w:sz w:val="24"/>
                <w:lang w:eastAsia="zh-CN"/>
              </w:rPr>
              <w:t>同时</w:t>
            </w:r>
            <w:r>
              <w:rPr>
                <w:rFonts w:hint="eastAsia" w:ascii="仿宋_GB2312" w:hAnsi="仿宋_GB2312" w:eastAsia="仿宋_GB2312" w:cs="仿宋_GB2312"/>
                <w:color w:val="000000"/>
                <w:sz w:val="24"/>
              </w:rPr>
              <w:t>保护园区内外生态环境；</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指标2：及时清理园区建筑及生活垃圾，创造优质的生产环境。</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173" w:type="dxa"/>
            <w:vMerge w:val="continue"/>
            <w:vAlign w:val="center"/>
          </w:tcPr>
          <w:p>
            <w:pPr>
              <w:spacing w:line="320" w:lineRule="exact"/>
              <w:rPr>
                <w:rFonts w:hint="eastAsia" w:ascii="仿宋_GB2312" w:hAnsi="仿宋_GB2312" w:eastAsia="仿宋_GB2312" w:cs="仿宋_GB2312"/>
                <w:sz w:val="24"/>
              </w:rPr>
            </w:pPr>
          </w:p>
        </w:tc>
        <w:tc>
          <w:tcPr>
            <w:tcW w:w="1817" w:type="dxa"/>
            <w:gridSpan w:val="4"/>
            <w:vMerge w:val="continue"/>
            <w:vAlign w:val="center"/>
          </w:tcPr>
          <w:p>
            <w:pPr>
              <w:autoSpaceDN w:val="0"/>
              <w:spacing w:line="320" w:lineRule="exact"/>
              <w:jc w:val="center"/>
              <w:rPr>
                <w:rFonts w:hint="eastAsia" w:ascii="仿宋_GB2312" w:hAnsi="仿宋_GB2312" w:eastAsia="仿宋_GB2312" w:cs="仿宋_GB2312"/>
                <w:sz w:val="24"/>
              </w:rPr>
            </w:pPr>
          </w:p>
        </w:tc>
        <w:tc>
          <w:tcPr>
            <w:tcW w:w="1138"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900"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提高企业对园区服务工作、物业工作的满意度</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方学龙</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党工委书记、主任</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蔡</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涛</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党工委副书记、</w:t>
            </w:r>
            <w:r>
              <w:rPr>
                <w:rFonts w:hint="eastAsia" w:ascii="仿宋_GB2312" w:hAnsi="仿宋_GB2312" w:eastAsia="仿宋_GB2312" w:cs="仿宋_GB2312"/>
                <w:color w:val="000000"/>
                <w:sz w:val="24"/>
              </w:rPr>
              <w:t>副主任</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周</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旭</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亮</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纪工委书记</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宋祖雄</w:t>
            </w:r>
          </w:p>
        </w:tc>
        <w:tc>
          <w:tcPr>
            <w:tcW w:w="2474" w:type="dxa"/>
            <w:gridSpan w:val="4"/>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区投促</w:t>
            </w:r>
            <w:r>
              <w:rPr>
                <w:rFonts w:hint="eastAsia" w:ascii="仿宋_GB2312" w:hAnsi="仿宋_GB2312" w:eastAsia="仿宋_GB2312" w:cs="仿宋_GB2312"/>
                <w:color w:val="000000"/>
                <w:sz w:val="24"/>
                <w:lang w:eastAsia="zh-CN"/>
              </w:rPr>
              <w:t>中心主任</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袁</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凯</w:t>
            </w:r>
          </w:p>
        </w:tc>
        <w:tc>
          <w:tcPr>
            <w:tcW w:w="2474" w:type="dxa"/>
            <w:gridSpan w:val="4"/>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规划建设部部长</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陈菊华</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企业服务部部长</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陈  荣</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办公室主任</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胡文忠</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项目服务部部长</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黄晓林</w:t>
            </w:r>
          </w:p>
        </w:tc>
        <w:tc>
          <w:tcPr>
            <w:tcW w:w="2474"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招商部部长</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张诗饴</w:t>
            </w:r>
          </w:p>
        </w:tc>
        <w:tc>
          <w:tcPr>
            <w:tcW w:w="2474" w:type="dxa"/>
            <w:gridSpan w:val="4"/>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财务部部长</w:t>
            </w:r>
          </w:p>
        </w:tc>
        <w:tc>
          <w:tcPr>
            <w:tcW w:w="3900"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17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jc w:val="center"/>
              <w:rPr>
                <w:rFonts w:hint="eastAsia" w:eastAsia="仿宋_GB2312"/>
                <w:sz w:val="24"/>
              </w:rPr>
            </w:pPr>
            <w:r>
              <w:rPr>
                <w:rFonts w:hint="eastAsia" w:eastAsia="仿宋_GB2312"/>
                <w:sz w:val="24"/>
              </w:rPr>
              <w:t>财政部门归口业务科室意见：</w:t>
            </w:r>
          </w:p>
          <w:p>
            <w:pPr>
              <w:spacing w:line="320" w:lineRule="exact"/>
              <w:jc w:val="center"/>
              <w:rPr>
                <w:rFonts w:hint="eastAsia" w:eastAsia="仿宋_GB2312"/>
                <w:sz w:val="24"/>
              </w:rPr>
            </w:pPr>
          </w:p>
          <w:p>
            <w:pPr>
              <w:spacing w:line="320" w:lineRule="exact"/>
              <w:jc w:val="center"/>
              <w:rPr>
                <w:rFonts w:hint="eastAsia" w:eastAsia="仿宋_GB2312"/>
                <w:sz w:val="24"/>
              </w:rPr>
            </w:pPr>
          </w:p>
          <w:p>
            <w:pPr>
              <w:spacing w:line="320" w:lineRule="exact"/>
              <w:jc w:val="center"/>
              <w:rPr>
                <w:rFonts w:hint="eastAsia" w:eastAsia="仿宋_GB2312"/>
                <w:sz w:val="24"/>
              </w:rPr>
            </w:pPr>
          </w:p>
          <w:p>
            <w:pPr>
              <w:spacing w:line="320" w:lineRule="exact"/>
              <w:jc w:val="center"/>
              <w:rPr>
                <w:rFonts w:hint="eastAsia" w:eastAsia="仿宋_GB2312"/>
                <w:sz w:val="24"/>
              </w:rPr>
            </w:pPr>
          </w:p>
          <w:p>
            <w:pPr>
              <w:spacing w:line="320" w:lineRule="exact"/>
              <w:jc w:val="center"/>
              <w:rPr>
                <w:rFonts w:hint="eastAsia" w:eastAsia="仿宋_GB2312"/>
                <w:sz w:val="24"/>
              </w:rPr>
            </w:pPr>
            <w:r>
              <w:rPr>
                <w:rFonts w:hint="eastAsia" w:eastAsia="仿宋_GB2312"/>
                <w:sz w:val="24"/>
              </w:rPr>
              <w:t>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eastAsia="仿宋_GB2312"/>
                <w:sz w:val="24"/>
              </w:rPr>
              <w:t>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张诗饴</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07308170818</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工业园管委会是区财政全额预算拨款单位。20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年区编办核实人员编制数为19人，实有人数为1</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人。内设有部室有办公室、规划建设部、招商联络部、企业服务部、财务审计部等。主要工作职责如下：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1.贯彻执行国家有关对工业园区开发的方针、政策，落实省、市、区有关对工业园区开发的文件精神，并结合实际拟订具体的实施和管理办法。</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2.根据区城市总体规划和园区产业发展，负责编制并组织实施工业园区总体发展规划以及控制性详细规划。</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3.负责优化工业园区投资环境，开展和落实全区的招商引资工作。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4.负责园区融资工作和归口管理君山区工业园投资开发有限公司。</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5.负责工业园区基础设施建设，协调企业的各种行政性审批事项，根据投资项目的规划、定点和施工，负责企业用地的放样和企业厂房规划与设计的审核。</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6.负责工业园区精神文明建设，协助有关部门做好企业用工和社会劳动保障等工作。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7.负责工业园区经济运行及有关涉外事物，协调和沟通工业园区企业间、企业与各方面之间的关系。</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8.协助工业园区企业搞好安全生产、环境保护、绿化美化亮化、计划生育和综合治理等工作。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9.承办区委、区人民政府交办的其他工作。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部门整体支出</w:t>
            </w:r>
            <w:r>
              <w:rPr>
                <w:rFonts w:hint="eastAsia" w:ascii="仿宋_GB2312" w:hAnsi="仿宋_GB2312" w:eastAsia="仿宋_GB2312" w:cs="仿宋_GB2312"/>
                <w:bCs/>
                <w:sz w:val="28"/>
                <w:szCs w:val="28"/>
                <w:lang w:val="en-US" w:eastAsia="zh-CN"/>
              </w:rPr>
              <w:t>2357.44</w:t>
            </w:r>
            <w:r>
              <w:rPr>
                <w:rFonts w:hint="eastAsia" w:ascii="仿宋_GB2312" w:hAnsi="仿宋_GB2312" w:eastAsia="仿宋_GB2312" w:cs="仿宋_GB2312"/>
                <w:bCs/>
                <w:sz w:val="28"/>
                <w:szCs w:val="28"/>
              </w:rPr>
              <w:t>万元，主要用于单位日常基本支出、招商引资工作、基础设施配套建设、企业服务工作</w:t>
            </w:r>
            <w:r>
              <w:rPr>
                <w:rFonts w:hint="eastAsia" w:ascii="仿宋_GB2312" w:hAnsi="仿宋_GB2312" w:eastAsia="仿宋_GB2312" w:cs="仿宋_GB2312"/>
                <w:bCs/>
                <w:sz w:val="28"/>
                <w:szCs w:val="28"/>
                <w:lang w:eastAsia="zh-CN"/>
              </w:rPr>
              <w:t>和对企业的补助资金</w:t>
            </w:r>
            <w:r>
              <w:rPr>
                <w:rFonts w:hint="eastAsia" w:ascii="仿宋_GB2312" w:hAnsi="仿宋_GB2312" w:eastAsia="仿宋_GB2312" w:cs="仿宋_GB2312"/>
                <w:bCs/>
                <w:sz w:val="28"/>
                <w:szCs w:val="28"/>
              </w:rPr>
              <w:t>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我单位基本支出主要用于维护机关正常工作的开展和运行所产生的费用，“三公”经费严格按照年初预算支出。20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年基本支出</w:t>
            </w:r>
            <w:r>
              <w:rPr>
                <w:rFonts w:hint="eastAsia" w:ascii="仿宋_GB2312" w:hAnsi="仿宋_GB2312" w:eastAsia="仿宋_GB2312" w:cs="仿宋_GB2312"/>
                <w:bCs/>
                <w:sz w:val="28"/>
                <w:szCs w:val="28"/>
                <w:lang w:val="en-US" w:eastAsia="zh-CN"/>
              </w:rPr>
              <w:t>167.57</w:t>
            </w:r>
            <w:r>
              <w:rPr>
                <w:rFonts w:hint="eastAsia" w:ascii="仿宋_GB2312" w:hAnsi="仿宋_GB2312" w:eastAsia="仿宋_GB2312" w:cs="仿宋_GB2312"/>
                <w:bCs/>
                <w:sz w:val="28"/>
                <w:szCs w:val="28"/>
              </w:rPr>
              <w:t>万元，其中人员支出</w:t>
            </w:r>
            <w:r>
              <w:rPr>
                <w:rFonts w:hint="eastAsia" w:ascii="仿宋_GB2312" w:hAnsi="仿宋_GB2312" w:eastAsia="仿宋_GB2312" w:cs="仿宋_GB2312"/>
                <w:bCs/>
                <w:sz w:val="28"/>
                <w:szCs w:val="28"/>
                <w:lang w:val="en-US" w:eastAsia="zh-CN"/>
              </w:rPr>
              <w:t>144.58</w:t>
            </w:r>
            <w:r>
              <w:rPr>
                <w:rFonts w:hint="eastAsia" w:ascii="仿宋_GB2312" w:hAnsi="仿宋_GB2312" w:eastAsia="仿宋_GB2312" w:cs="仿宋_GB2312"/>
                <w:bCs/>
                <w:sz w:val="28"/>
                <w:szCs w:val="28"/>
              </w:rPr>
              <w:t>万元，日常公用支出</w:t>
            </w:r>
            <w:r>
              <w:rPr>
                <w:rFonts w:hint="eastAsia" w:ascii="仿宋_GB2312" w:hAnsi="仿宋_GB2312" w:eastAsia="仿宋_GB2312" w:cs="仿宋_GB2312"/>
                <w:bCs/>
                <w:sz w:val="28"/>
                <w:szCs w:val="28"/>
                <w:lang w:val="en-US" w:eastAsia="zh-CN"/>
              </w:rPr>
              <w:t>22.99</w:t>
            </w:r>
            <w:r>
              <w:rPr>
                <w:rFonts w:hint="eastAsia" w:ascii="仿宋_GB2312" w:hAnsi="仿宋_GB2312" w:eastAsia="仿宋_GB2312" w:cs="仿宋_GB2312"/>
                <w:bCs/>
                <w:sz w:val="28"/>
                <w:szCs w:val="28"/>
              </w:rPr>
              <w:t>万元。</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专项支出总计</w:t>
            </w:r>
            <w:r>
              <w:rPr>
                <w:rFonts w:hint="eastAsia" w:ascii="仿宋_GB2312" w:hAnsi="仿宋_GB2312" w:eastAsia="仿宋_GB2312" w:cs="仿宋_GB2312"/>
                <w:bCs/>
                <w:sz w:val="28"/>
                <w:szCs w:val="28"/>
                <w:lang w:val="en-US" w:eastAsia="zh-CN"/>
              </w:rPr>
              <w:t>2189.86</w:t>
            </w:r>
            <w:r>
              <w:rPr>
                <w:rFonts w:hint="eastAsia" w:ascii="仿宋_GB2312" w:hAnsi="仿宋_GB2312" w:eastAsia="仿宋_GB2312" w:cs="仿宋_GB2312"/>
                <w:bCs/>
                <w:sz w:val="28"/>
                <w:szCs w:val="28"/>
              </w:rPr>
              <w:t>万元。项目资金由财政统一拨付。</w:t>
            </w:r>
          </w:p>
          <w:p>
            <w:pPr>
              <w:numPr>
                <w:ilvl w:val="0"/>
                <w:numId w:val="2"/>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专项资金实际使用情况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专项支出总计</w:t>
            </w:r>
            <w:r>
              <w:rPr>
                <w:rFonts w:hint="eastAsia" w:ascii="仿宋_GB2312" w:hAnsi="仿宋_GB2312" w:eastAsia="仿宋_GB2312" w:cs="仿宋_GB2312"/>
                <w:bCs/>
                <w:sz w:val="28"/>
                <w:szCs w:val="28"/>
                <w:lang w:val="en-US" w:eastAsia="zh-CN"/>
              </w:rPr>
              <w:t>2189.86</w:t>
            </w:r>
            <w:r>
              <w:rPr>
                <w:rFonts w:hint="eastAsia" w:ascii="仿宋_GB2312" w:hAnsi="仿宋_GB2312" w:eastAsia="仿宋_GB2312" w:cs="仿宋_GB2312"/>
                <w:bCs/>
                <w:sz w:val="28"/>
                <w:szCs w:val="28"/>
              </w:rPr>
              <w:t>万元。其中，招商引资专项资金</w:t>
            </w:r>
            <w:r>
              <w:rPr>
                <w:rFonts w:hint="eastAsia" w:ascii="仿宋_GB2312" w:hAnsi="仿宋_GB2312" w:eastAsia="仿宋_GB2312" w:cs="仿宋_GB2312"/>
                <w:bCs/>
                <w:sz w:val="28"/>
                <w:szCs w:val="28"/>
                <w:lang w:val="en-US" w:eastAsia="zh-CN"/>
              </w:rPr>
              <w:t>137.97</w:t>
            </w:r>
            <w:r>
              <w:rPr>
                <w:rFonts w:hint="eastAsia" w:ascii="仿宋_GB2312" w:hAnsi="仿宋_GB2312" w:eastAsia="仿宋_GB2312" w:cs="仿宋_GB2312"/>
                <w:bCs/>
                <w:sz w:val="28"/>
                <w:szCs w:val="28"/>
              </w:rPr>
              <w:t>万元；企业服务项目资金</w:t>
            </w:r>
            <w:r>
              <w:rPr>
                <w:rFonts w:hint="eastAsia" w:ascii="仿宋_GB2312" w:hAnsi="仿宋_GB2312" w:eastAsia="仿宋_GB2312" w:cs="仿宋_GB2312"/>
                <w:bCs/>
                <w:sz w:val="28"/>
                <w:szCs w:val="28"/>
                <w:lang w:val="en-US" w:eastAsia="zh-CN"/>
              </w:rPr>
              <w:t>108.36</w:t>
            </w:r>
            <w:r>
              <w:rPr>
                <w:rFonts w:hint="eastAsia" w:ascii="仿宋_GB2312" w:hAnsi="仿宋_GB2312" w:eastAsia="仿宋_GB2312" w:cs="仿宋_GB2312"/>
                <w:bCs/>
                <w:sz w:val="28"/>
                <w:szCs w:val="28"/>
              </w:rPr>
              <w:t>万元；基础设施建设项目资金</w:t>
            </w:r>
            <w:r>
              <w:rPr>
                <w:rFonts w:hint="eastAsia" w:ascii="仿宋_GB2312" w:hAnsi="仿宋_GB2312" w:eastAsia="仿宋_GB2312" w:cs="仿宋_GB2312"/>
                <w:bCs/>
                <w:sz w:val="28"/>
                <w:szCs w:val="28"/>
                <w:lang w:val="en-US" w:eastAsia="zh-CN"/>
              </w:rPr>
              <w:t>824.5</w:t>
            </w:r>
            <w:r>
              <w:rPr>
                <w:rFonts w:hint="eastAsia" w:ascii="仿宋_GB2312" w:hAnsi="仿宋_GB2312" w:eastAsia="仿宋_GB2312" w:cs="仿宋_GB2312"/>
                <w:bCs/>
                <w:sz w:val="28"/>
                <w:szCs w:val="28"/>
              </w:rPr>
              <w:t>万元；对企业的补助资金</w:t>
            </w:r>
            <w:r>
              <w:rPr>
                <w:rFonts w:hint="eastAsia" w:ascii="仿宋_GB2312" w:hAnsi="仿宋_GB2312" w:eastAsia="仿宋_GB2312" w:cs="仿宋_GB2312"/>
                <w:bCs/>
                <w:sz w:val="28"/>
                <w:szCs w:val="28"/>
                <w:lang w:val="en-US" w:eastAsia="zh-CN"/>
              </w:rPr>
              <w:t>985.84</w:t>
            </w:r>
            <w:r>
              <w:rPr>
                <w:rFonts w:hint="eastAsia" w:ascii="仿宋_GB2312" w:hAnsi="仿宋_GB2312" w:eastAsia="仿宋_GB2312" w:cs="仿宋_GB2312"/>
                <w:bCs/>
                <w:sz w:val="28"/>
                <w:szCs w:val="28"/>
              </w:rPr>
              <w:t>；绩效考核工资及招聘人员工资</w:t>
            </w:r>
            <w:r>
              <w:rPr>
                <w:rFonts w:hint="eastAsia" w:ascii="仿宋_GB2312" w:hAnsi="仿宋_GB2312" w:eastAsia="仿宋_GB2312" w:cs="仿宋_GB2312"/>
                <w:bCs/>
                <w:sz w:val="28"/>
                <w:szCs w:val="28"/>
                <w:lang w:val="en-US" w:eastAsia="zh-CN"/>
              </w:rPr>
              <w:t>133.2</w:t>
            </w:r>
            <w:r>
              <w:rPr>
                <w:rFonts w:hint="eastAsia" w:ascii="仿宋_GB2312" w:hAnsi="仿宋_GB2312" w:eastAsia="仿宋_GB2312" w:cs="仿宋_GB2312"/>
                <w:bCs/>
                <w:sz w:val="28"/>
                <w:szCs w:val="28"/>
              </w:rPr>
              <w:t>万元。</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我单位根据区财政局专项资金管理政策，细化制定了适用于园区的专项资金财务管理办法，资金拨付时严格按照专项资金审批程序组织实行，保障各款项实现专款专用。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numPr>
                <w:ilvl w:val="0"/>
                <w:numId w:val="0"/>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今年专项资金财政拨入</w:t>
            </w:r>
            <w:r>
              <w:rPr>
                <w:rFonts w:hint="eastAsia" w:ascii="仿宋_GB2312" w:hAnsi="仿宋_GB2312" w:eastAsia="仿宋_GB2312" w:cs="仿宋_GB2312"/>
                <w:bCs/>
                <w:sz w:val="28"/>
                <w:szCs w:val="28"/>
                <w:lang w:val="en-US" w:eastAsia="zh-CN"/>
              </w:rPr>
              <w:t>2325.13</w:t>
            </w:r>
            <w:r>
              <w:rPr>
                <w:rFonts w:hint="eastAsia" w:ascii="仿宋_GB2312" w:hAnsi="仿宋_GB2312" w:eastAsia="仿宋_GB2312" w:cs="仿宋_GB2312"/>
                <w:bCs/>
                <w:sz w:val="28"/>
                <w:szCs w:val="28"/>
              </w:rPr>
              <w:t>万元，主要用于招商引资、标准化厂房建设、基础设施建设</w:t>
            </w:r>
            <w:r>
              <w:rPr>
                <w:rFonts w:hint="eastAsia" w:ascii="仿宋_GB2312" w:hAnsi="仿宋_GB2312" w:eastAsia="仿宋_GB2312" w:cs="仿宋_GB2312"/>
                <w:bCs/>
                <w:sz w:val="28"/>
                <w:szCs w:val="28"/>
                <w:lang w:eastAsia="zh-CN"/>
              </w:rPr>
              <w:t>及区内总部经济项目补助等</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年专项支出总计</w:t>
            </w:r>
            <w:r>
              <w:rPr>
                <w:rFonts w:hint="eastAsia" w:ascii="仿宋_GB2312" w:hAnsi="仿宋_GB2312" w:eastAsia="仿宋_GB2312" w:cs="仿宋_GB2312"/>
                <w:bCs/>
                <w:sz w:val="28"/>
                <w:szCs w:val="28"/>
                <w:lang w:val="en-US" w:eastAsia="zh-CN"/>
              </w:rPr>
              <w:t>2189.86</w:t>
            </w:r>
            <w:r>
              <w:rPr>
                <w:rFonts w:hint="eastAsia" w:ascii="仿宋_GB2312" w:hAnsi="仿宋_GB2312" w:eastAsia="仿宋_GB2312" w:cs="仿宋_GB2312"/>
                <w:bCs/>
                <w:sz w:val="28"/>
                <w:szCs w:val="28"/>
              </w:rPr>
              <w:t>万元。其中，招商引资专项资金</w:t>
            </w:r>
            <w:r>
              <w:rPr>
                <w:rFonts w:hint="eastAsia" w:ascii="仿宋_GB2312" w:hAnsi="仿宋_GB2312" w:eastAsia="仿宋_GB2312" w:cs="仿宋_GB2312"/>
                <w:bCs/>
                <w:sz w:val="28"/>
                <w:szCs w:val="28"/>
                <w:lang w:val="en-US" w:eastAsia="zh-CN"/>
              </w:rPr>
              <w:t>137.97</w:t>
            </w:r>
            <w:r>
              <w:rPr>
                <w:rFonts w:hint="eastAsia" w:ascii="仿宋_GB2312" w:hAnsi="仿宋_GB2312" w:eastAsia="仿宋_GB2312" w:cs="仿宋_GB2312"/>
                <w:bCs/>
                <w:sz w:val="28"/>
                <w:szCs w:val="28"/>
              </w:rPr>
              <w:t>万元；企业服务项目资金</w:t>
            </w:r>
            <w:r>
              <w:rPr>
                <w:rFonts w:hint="eastAsia" w:ascii="仿宋_GB2312" w:hAnsi="仿宋_GB2312" w:eastAsia="仿宋_GB2312" w:cs="仿宋_GB2312"/>
                <w:bCs/>
                <w:sz w:val="28"/>
                <w:szCs w:val="28"/>
                <w:lang w:val="en-US" w:eastAsia="zh-CN"/>
              </w:rPr>
              <w:t>108.36</w:t>
            </w:r>
            <w:r>
              <w:rPr>
                <w:rFonts w:hint="eastAsia" w:ascii="仿宋_GB2312" w:hAnsi="仿宋_GB2312" w:eastAsia="仿宋_GB2312" w:cs="仿宋_GB2312"/>
                <w:bCs/>
                <w:sz w:val="28"/>
                <w:szCs w:val="28"/>
              </w:rPr>
              <w:t>万元；基础设施建设项目资金</w:t>
            </w:r>
            <w:r>
              <w:rPr>
                <w:rFonts w:hint="eastAsia" w:ascii="仿宋_GB2312" w:hAnsi="仿宋_GB2312" w:eastAsia="仿宋_GB2312" w:cs="仿宋_GB2312"/>
                <w:bCs/>
                <w:sz w:val="28"/>
                <w:szCs w:val="28"/>
                <w:lang w:val="en-US" w:eastAsia="zh-CN"/>
              </w:rPr>
              <w:t>824.5</w:t>
            </w:r>
            <w:r>
              <w:rPr>
                <w:rFonts w:hint="eastAsia" w:ascii="仿宋_GB2312" w:hAnsi="仿宋_GB2312" w:eastAsia="仿宋_GB2312" w:cs="仿宋_GB2312"/>
                <w:bCs/>
                <w:sz w:val="28"/>
                <w:szCs w:val="28"/>
              </w:rPr>
              <w:t>万元；对企业的补助资金</w:t>
            </w:r>
            <w:r>
              <w:rPr>
                <w:rFonts w:hint="eastAsia" w:ascii="仿宋_GB2312" w:hAnsi="仿宋_GB2312" w:eastAsia="仿宋_GB2312" w:cs="仿宋_GB2312"/>
                <w:bCs/>
                <w:sz w:val="28"/>
                <w:szCs w:val="28"/>
                <w:lang w:val="en-US" w:eastAsia="zh-CN"/>
              </w:rPr>
              <w:t>985.84</w:t>
            </w:r>
            <w:r>
              <w:rPr>
                <w:rFonts w:hint="eastAsia" w:ascii="仿宋_GB2312" w:hAnsi="仿宋_GB2312" w:eastAsia="仿宋_GB2312" w:cs="仿宋_GB2312"/>
                <w:bCs/>
                <w:sz w:val="28"/>
                <w:szCs w:val="28"/>
              </w:rPr>
              <w:t>；绩效考核工资及招聘人员工资</w:t>
            </w:r>
            <w:r>
              <w:rPr>
                <w:rFonts w:hint="eastAsia" w:ascii="仿宋_GB2312" w:hAnsi="仿宋_GB2312" w:eastAsia="仿宋_GB2312" w:cs="仿宋_GB2312"/>
                <w:bCs/>
                <w:sz w:val="28"/>
                <w:szCs w:val="28"/>
                <w:lang w:val="en-US" w:eastAsia="zh-CN"/>
              </w:rPr>
              <w:t>133.2</w:t>
            </w:r>
            <w:r>
              <w:rPr>
                <w:rFonts w:hint="eastAsia" w:ascii="仿宋_GB2312" w:hAnsi="仿宋_GB2312" w:eastAsia="仿宋_GB2312" w:cs="仿宋_GB2312"/>
                <w:bCs/>
                <w:sz w:val="28"/>
                <w:szCs w:val="28"/>
              </w:rPr>
              <w:t>万元。</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我单位对于专项资金的使用制定了相应的财务审批手续，做到项目建设管理资金专款到户。按职责分工、资金申报和分配、项目实施管理、资金监管等落实到位；基础设施建设资金，按照建设项目内控制度管理。</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 xml:space="preserve"> 1、2020年底园区技工贸总收入、规模工业增加值、固定资产投资总量、税收总额均完成市定年度任务。2、①用地报批。完成230亩李记“退二进三”新厂区用地(已完成报批工作)、国鸿驾考中心300亩土地报批(正在报批）；②项目设计。完成杨树路、建业路、三家店路道路设计（已完成设计），会展、商务中心大楼项目设计（已完成初步方案设计）；③项目建设。一是完成标准化厂房7.3万平方米建设（标五续建7.3万平方米）；二是重点抓好国鸿驾考中心、李记食品新厂区等重点项目建设（李记已经开工，驾考项目已完成土地报批）；3、完成23亿元招商引资额；4、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单位运行内控管理水平有待提高。内部控制是财务及机关运行的重要环节，通过内部控制实现预算管理、收支管理、资产管理、合同管理、基础设施管理等工作环节的有效运行，且保障专项资金的专款专用。</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56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财务政策宣传力度不够。对于上级下发的有关财务的制度及文件宣传较少，导致一些财务政策及信息更新不及时。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加强内部控制工作的建设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根据上级下发的内部控制制度及相关文件，细化和规范制度，加强单位内部关于内控工作的动员和培训，严格落实制度，在内控管理小组的监督下，确保整体支出的可控化、合法化。</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加强财务制度的宣讲和培训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定期组织对区内财务制度相关文件和单位内部财务制度进行培训和宣讲，让干部更好的理解费用报销的审批流程，使其他部门与财务工作衔接的更加高效、合理。</w:t>
            </w:r>
          </w:p>
          <w:p>
            <w:pPr>
              <w:rPr>
                <w:rFonts w:eastAsia="楷体_GB2312"/>
                <w:bCs/>
                <w:sz w:val="28"/>
                <w:szCs w:val="28"/>
              </w:rPr>
            </w:pPr>
          </w:p>
        </w:tc>
      </w:tr>
    </w:tbl>
    <w:p>
      <w:pPr>
        <w:sectPr>
          <w:pgSz w:w="11906" w:h="16838"/>
          <w:pgMar w:top="1440" w:right="1800" w:bottom="1440" w:left="1800"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3"/>
        <w:tblW w:w="9894" w:type="dxa"/>
        <w:jc w:val="center"/>
        <w:tblLayout w:type="fixed"/>
        <w:tblCellMar>
          <w:top w:w="0" w:type="dxa"/>
          <w:left w:w="108" w:type="dxa"/>
          <w:bottom w:w="0" w:type="dxa"/>
          <w:right w:w="108" w:type="dxa"/>
        </w:tblCellMar>
      </w:tblPr>
      <w:tblGrid>
        <w:gridCol w:w="753"/>
        <w:gridCol w:w="889"/>
        <w:gridCol w:w="1430"/>
        <w:gridCol w:w="3900"/>
        <w:gridCol w:w="647"/>
        <w:gridCol w:w="669"/>
        <w:gridCol w:w="1606"/>
      </w:tblGrid>
      <w:tr>
        <w:tblPrEx>
          <w:tblCellMar>
            <w:top w:w="0" w:type="dxa"/>
            <w:left w:w="108" w:type="dxa"/>
            <w:bottom w:w="0" w:type="dxa"/>
            <w:right w:w="108" w:type="dxa"/>
          </w:tblCellMar>
        </w:tblPrEx>
        <w:trPr>
          <w:trHeight w:val="525" w:hRule="atLeast"/>
          <w:jc w:val="center"/>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8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39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6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6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75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88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69"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60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69"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60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69"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60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75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88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60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因财政预算有限分配，预算数小于决算数</w:t>
            </w:r>
          </w:p>
        </w:tc>
      </w:tr>
      <w:tr>
        <w:tblPrEx>
          <w:tblCellMar>
            <w:top w:w="0" w:type="dxa"/>
            <w:left w:w="108" w:type="dxa"/>
            <w:bottom w:w="0" w:type="dxa"/>
            <w:right w:w="108" w:type="dxa"/>
          </w:tblCellMar>
        </w:tblPrEx>
        <w:trPr>
          <w:trHeight w:val="1039"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60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60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本年结余存有项目指标，因手续问题，暂未拨付。</w:t>
            </w:r>
          </w:p>
        </w:tc>
      </w:tr>
      <w:tr>
        <w:tblPrEx>
          <w:tblCellMar>
            <w:top w:w="0" w:type="dxa"/>
            <w:left w:w="108" w:type="dxa"/>
            <w:bottom w:w="0" w:type="dxa"/>
            <w:right w:w="108" w:type="dxa"/>
          </w:tblCellMar>
        </w:tblPrEx>
        <w:trPr>
          <w:trHeight w:val="495"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66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60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88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60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39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60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7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3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60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7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3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60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7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8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3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60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7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4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60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3"/>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156" w:beforeLines="50"/>
        <w:rPr>
          <w:rFonts w:hint="eastAsia" w:ascii="仿宋_GB2312" w:hAnsi="宋体" w:eastAsia="仿宋_GB2312" w:cs="宋体"/>
          <w:kern w:val="0"/>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Style w:val="5"/>
                              <w:rFonts w:hint="eastAsia"/>
                              <w:lang w:eastAsia="zh-CN"/>
                            </w:rPr>
                            <w:t xml:space="preserve">— </w:t>
                          </w:r>
                          <w:r>
                            <w:fldChar w:fldCharType="begin"/>
                          </w:r>
                          <w:r>
                            <w:rPr>
                              <w:rStyle w:val="5"/>
                            </w:rPr>
                            <w:instrText xml:space="preserve">PAGE  </w:instrText>
                          </w:r>
                          <w:r>
                            <w:fldChar w:fldCharType="separate"/>
                          </w:r>
                          <w:r>
                            <w:rPr>
                              <w:rStyle w:val="5"/>
                              <w:sz w:val="24"/>
                              <w:szCs w:val="24"/>
                            </w:rPr>
                            <w:t>1</w:t>
                          </w:r>
                          <w:r>
                            <w:fldChar w:fldCharType="end"/>
                          </w:r>
                          <w:r>
                            <w:rPr>
                              <w:rStyle w:val="5"/>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5"/>
                      </w:rPr>
                    </w:pPr>
                    <w:r>
                      <w:rPr>
                        <w:rStyle w:val="5"/>
                        <w:rFonts w:hint="eastAsia"/>
                        <w:lang w:eastAsia="zh-CN"/>
                      </w:rPr>
                      <w:t xml:space="preserve">— </w:t>
                    </w:r>
                    <w:r>
                      <w:fldChar w:fldCharType="begin"/>
                    </w:r>
                    <w:r>
                      <w:rPr>
                        <w:rStyle w:val="5"/>
                      </w:rPr>
                      <w:instrText xml:space="preserve">PAGE  </w:instrText>
                    </w:r>
                    <w:r>
                      <w:fldChar w:fldCharType="separate"/>
                    </w:r>
                    <w:r>
                      <w:rPr>
                        <w:rStyle w:val="5"/>
                        <w:sz w:val="24"/>
                        <w:szCs w:val="24"/>
                      </w:rPr>
                      <w:t>1</w:t>
                    </w:r>
                    <w:r>
                      <w:fldChar w:fldCharType="end"/>
                    </w:r>
                    <w:r>
                      <w:rPr>
                        <w:rStyle w:val="5"/>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2642E"/>
    <w:multiLevelType w:val="singleLevel"/>
    <w:tmpl w:val="A8B2642E"/>
    <w:lvl w:ilvl="0" w:tentative="0">
      <w:start w:val="3"/>
      <w:numFmt w:val="decimal"/>
      <w:suff w:val="nothing"/>
      <w:lvlText w:val="%1、"/>
      <w:lvlJc w:val="left"/>
    </w:lvl>
  </w:abstractNum>
  <w:abstractNum w:abstractNumId="1">
    <w:nsid w:val="B8081184"/>
    <w:multiLevelType w:val="singleLevel"/>
    <w:tmpl w:val="B8081184"/>
    <w:lvl w:ilvl="0" w:tentative="0">
      <w:start w:val="1"/>
      <w:numFmt w:val="decimal"/>
      <w:lvlText w:val="%1."/>
      <w:lvlJc w:val="left"/>
      <w:pPr>
        <w:tabs>
          <w:tab w:val="left" w:pos="312"/>
        </w:tabs>
      </w:pPr>
    </w:lvl>
  </w:abstractNum>
  <w:abstractNum w:abstractNumId="2">
    <w:nsid w:val="F5949EB1"/>
    <w:multiLevelType w:val="singleLevel"/>
    <w:tmpl w:val="F5949EB1"/>
    <w:lvl w:ilvl="0" w:tentative="0">
      <w:start w:val="1"/>
      <w:numFmt w:val="chineseCounting"/>
      <w:suff w:val="nothing"/>
      <w:lvlText w:val="（%1）"/>
      <w:lvlJc w:val="left"/>
      <w:rPr>
        <w:rFonts w:hint="eastAsia"/>
      </w:rPr>
    </w:lvl>
  </w:abstractNum>
  <w:abstractNum w:abstractNumId="3">
    <w:nsid w:val="211CBB2B"/>
    <w:multiLevelType w:val="singleLevel"/>
    <w:tmpl w:val="211CBB2B"/>
    <w:lvl w:ilvl="0" w:tentative="0">
      <w:start w:val="1"/>
      <w:numFmt w:val="chineseCounting"/>
      <w:suff w:val="nothing"/>
      <w:lvlText w:val="（%1）"/>
      <w:lvlJc w:val="left"/>
      <w:rPr>
        <w:rFonts w:hint="eastAsia"/>
      </w:rPr>
    </w:lvl>
  </w:abstractNum>
  <w:abstractNum w:abstractNumId="4">
    <w:nsid w:val="52BC3D46"/>
    <w:multiLevelType w:val="singleLevel"/>
    <w:tmpl w:val="52BC3D46"/>
    <w:lvl w:ilvl="0" w:tentative="0">
      <w:start w:val="4"/>
      <w:numFmt w:val="chineseCounting"/>
      <w:suff w:val="nothing"/>
      <w:lvlText w:val="%1、"/>
      <w:lvlJc w:val="left"/>
      <w:rPr>
        <w:rFonts w:hint="eastAsia"/>
      </w:rPr>
    </w:lvl>
  </w:abstractNum>
  <w:abstractNum w:abstractNumId="5">
    <w:nsid w:val="5FD104AE"/>
    <w:multiLevelType w:val="singleLevel"/>
    <w:tmpl w:val="5FD104AE"/>
    <w:lvl w:ilvl="0" w:tentative="0">
      <w:start w:val="2"/>
      <w:numFmt w:val="chineseCounting"/>
      <w:suff w:val="nothing"/>
      <w:lvlText w:val="（%1）"/>
      <w:lvlJc w:val="left"/>
      <w:rPr>
        <w:rFonts w:hint="eastAsia"/>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B25E5"/>
    <w:rsid w:val="0297397B"/>
    <w:rsid w:val="10C11BFC"/>
    <w:rsid w:val="20D54C5A"/>
    <w:rsid w:val="2192045B"/>
    <w:rsid w:val="273C0651"/>
    <w:rsid w:val="2B107742"/>
    <w:rsid w:val="2BD34F8B"/>
    <w:rsid w:val="2BF50DA0"/>
    <w:rsid w:val="3CD75A0D"/>
    <w:rsid w:val="3EF600A7"/>
    <w:rsid w:val="40AC24D5"/>
    <w:rsid w:val="40C50118"/>
    <w:rsid w:val="41B33FB5"/>
    <w:rsid w:val="45454FD8"/>
    <w:rsid w:val="457855A0"/>
    <w:rsid w:val="4F07018D"/>
    <w:rsid w:val="4F6B25E5"/>
    <w:rsid w:val="58573489"/>
    <w:rsid w:val="5EB329ED"/>
    <w:rsid w:val="743B3618"/>
    <w:rsid w:val="7E57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2021-06-22T03:03:00Z</dcterms:created>
  <dc:creator>偶尔能力者！</dc:creator>
  <cp:lastModifiedBy>偶尔能力者！</cp:lastModifiedBy>
  <dcterms:modified xsi:type="dcterms:W3CDTF">2021-07-14T08:31:03Z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01F25A720C3D41F2888AABB9D73DF7FF</vt:lpwstr>
  </property>
</Properties>
</file>