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12477" w:hRule="atLeast"/>
        </w:trPr>
        <w:tc>
          <w:tcPr>
            <w:tcW w:w="9360" w:type="dxa"/>
          </w:tcPr>
          <w:p>
            <w:pPr>
              <w:widowControl/>
              <w:spacing w:line="520" w:lineRule="exact"/>
              <w:rPr>
                <w:rFonts w:ascii="Times New Roman" w:hAnsi="Times New Roman" w:eastAsia="仿宋_GB2312" w:cs="仿宋"/>
                <w:color w:val="FF0000"/>
                <w:sz w:val="28"/>
                <w:szCs w:val="28"/>
              </w:rPr>
            </w:pPr>
            <w:r>
              <w:rPr>
                <w:rFonts w:ascii="Times New Roman" w:hAnsi="Times New Roman" w:eastAsia="仿宋_GB2312" w:cs="仿宋"/>
                <w:b/>
                <w:bCs/>
                <w:sz w:val="28"/>
                <w:szCs w:val="28"/>
              </w:rPr>
              <w:t xml:space="preserve"> </w:t>
            </w:r>
            <w:r>
              <w:rPr>
                <w:rFonts w:hint="eastAsia" w:ascii="Times New Roman" w:hAnsi="Times New Roman" w:eastAsia="仿宋_GB2312" w:cs="仿宋"/>
                <w:b/>
                <w:bCs/>
                <w:sz w:val="30"/>
                <w:szCs w:val="28"/>
              </w:rPr>
              <w:t>审批意见：</w:t>
            </w:r>
            <w:r>
              <w:rPr>
                <w:rFonts w:ascii="Times New Roman" w:hAnsi="Times New Roman" w:eastAsia="仿宋_GB2312" w:cs="仿宋"/>
                <w:sz w:val="30"/>
                <w:szCs w:val="28"/>
              </w:rPr>
              <w:t xml:space="preserve"> </w:t>
            </w:r>
            <w:r>
              <w:rPr>
                <w:rFonts w:ascii="Times New Roman" w:hAnsi="Times New Roman" w:eastAsia="仿宋_GB2312" w:cs="仿宋"/>
                <w:sz w:val="28"/>
                <w:szCs w:val="28"/>
              </w:rPr>
              <w:t xml:space="preserve">                          </w:t>
            </w:r>
            <w:r>
              <w:rPr>
                <w:rFonts w:hint="eastAsia" w:ascii="Times New Roman" w:hAnsi="仿宋" w:eastAsia="仿宋_GB2312" w:cs="仿宋"/>
                <w:b/>
                <w:sz w:val="28"/>
                <w:szCs w:val="28"/>
              </w:rPr>
              <w:t>岳环君分环评</w:t>
            </w:r>
            <w:r>
              <w:rPr>
                <w:rFonts w:hint="eastAsia" w:ascii="Times New Roman" w:hAnsi="仿宋" w:eastAsia="仿宋_GB2312" w:cs="仿宋"/>
                <w:b/>
                <w:sz w:val="28"/>
                <w:szCs w:val="28"/>
                <w:lang w:eastAsia="zh-CN"/>
              </w:rPr>
              <w:t>批</w:t>
            </w:r>
            <w:r>
              <w:rPr>
                <w:rFonts w:hint="eastAsia" w:ascii="Times New Roman" w:hAnsi="仿宋" w:eastAsia="仿宋_GB2312" w:cs="仿宋"/>
                <w:b/>
                <w:sz w:val="28"/>
                <w:szCs w:val="28"/>
              </w:rPr>
              <w:t>［</w:t>
            </w:r>
            <w:r>
              <w:rPr>
                <w:rFonts w:ascii="Times New Roman" w:hAnsi="Times New Roman" w:eastAsia="仿宋_GB2312" w:cs="仿宋"/>
                <w:b/>
                <w:sz w:val="28"/>
                <w:szCs w:val="28"/>
              </w:rPr>
              <w:t>201</w:t>
            </w:r>
            <w:r>
              <w:rPr>
                <w:rFonts w:hint="eastAsia" w:ascii="Times New Roman" w:hAnsi="Times New Roman" w:eastAsia="仿宋_GB2312" w:cs="仿宋"/>
                <w:b/>
                <w:sz w:val="28"/>
                <w:szCs w:val="28"/>
                <w:lang w:val="en-US" w:eastAsia="zh-CN"/>
              </w:rPr>
              <w:t>9</w:t>
            </w:r>
            <w:r>
              <w:rPr>
                <w:rFonts w:hint="eastAsia" w:ascii="Times New Roman" w:hAnsi="仿宋" w:eastAsia="仿宋_GB2312" w:cs="仿宋"/>
                <w:b/>
                <w:sz w:val="28"/>
                <w:szCs w:val="28"/>
              </w:rPr>
              <w:t>］</w:t>
            </w:r>
            <w:r>
              <w:rPr>
                <w:rFonts w:hint="eastAsia" w:ascii="Times New Roman" w:hAnsi="仿宋" w:eastAsia="仿宋_GB2312" w:cs="仿宋"/>
                <w:b/>
                <w:sz w:val="28"/>
                <w:szCs w:val="28"/>
                <w:lang w:val="en-US" w:eastAsia="zh-CN"/>
              </w:rPr>
              <w:t>4</w:t>
            </w:r>
            <w:r>
              <w:rPr>
                <w:rFonts w:hint="eastAsia" w:ascii="Times New Roman" w:hAnsi="仿宋" w:eastAsia="仿宋_GB2312" w:cs="仿宋"/>
                <w:b/>
                <w:sz w:val="28"/>
                <w:szCs w:val="28"/>
              </w:rPr>
              <w:t>号</w:t>
            </w:r>
          </w:p>
          <w:p>
            <w:pPr>
              <w:snapToGrid w:val="0"/>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中国石化销售股份有限公司湖南岳阳分公司在岳阳市君山区挂口村黄岸组大岳高速君山服务区</w:t>
            </w:r>
            <w:r>
              <w:rPr>
                <w:rFonts w:hint="eastAsia" w:ascii="仿宋_GB2312" w:hAnsi="仿宋_GB2312" w:eastAsia="仿宋_GB2312" w:cs="仿宋_GB2312"/>
                <w:sz w:val="28"/>
                <w:lang w:val="en-US" w:eastAsia="zh-CN"/>
              </w:rPr>
              <w:t>东</w:t>
            </w:r>
            <w:r>
              <w:rPr>
                <w:rFonts w:hint="eastAsia" w:ascii="仿宋_GB2312" w:hAnsi="仿宋_GB2312" w:eastAsia="仿宋_GB2312" w:cs="仿宋_GB2312"/>
                <w:sz w:val="28"/>
              </w:rPr>
              <w:t>往</w:t>
            </w:r>
            <w:r>
              <w:rPr>
                <w:rFonts w:hint="eastAsia" w:ascii="仿宋_GB2312" w:hAnsi="仿宋_GB2312" w:eastAsia="仿宋_GB2312" w:cs="仿宋_GB2312"/>
                <w:sz w:val="28"/>
                <w:lang w:val="en-US" w:eastAsia="zh-CN"/>
              </w:rPr>
              <w:t>西</w:t>
            </w:r>
            <w:r>
              <w:rPr>
                <w:rFonts w:hint="eastAsia" w:ascii="仿宋_GB2312" w:hAnsi="仿宋_GB2312" w:eastAsia="仿宋_GB2312" w:cs="仿宋_GB2312"/>
                <w:sz w:val="28"/>
              </w:rPr>
              <w:t>方向建设中国石化销售股份有限公司湖南岳阳大岳高速君山加油站（</w:t>
            </w:r>
            <w:r>
              <w:rPr>
                <w:rFonts w:hint="eastAsia" w:ascii="仿宋_GB2312" w:hAnsi="仿宋_GB2312" w:eastAsia="仿宋_GB2312" w:cs="仿宋_GB2312"/>
                <w:sz w:val="28"/>
                <w:lang w:val="en-US" w:eastAsia="zh-CN"/>
              </w:rPr>
              <w:t>二</w:t>
            </w:r>
            <w:r>
              <w:rPr>
                <w:rFonts w:hint="eastAsia" w:ascii="仿宋_GB2312" w:hAnsi="仿宋_GB2312" w:eastAsia="仿宋_GB2312" w:cs="仿宋_GB2312"/>
                <w:sz w:val="28"/>
              </w:rPr>
              <w:t>站），</w:t>
            </w:r>
            <w:r>
              <w:rPr>
                <w:rFonts w:hint="eastAsia" w:ascii="仿宋_GB2312" w:hAnsi="仿宋_GB2312" w:eastAsia="仿宋_GB2312" w:cs="仿宋_GB2312"/>
                <w:sz w:val="28"/>
                <w:lang w:val="en-US" w:eastAsia="zh-CN"/>
              </w:rPr>
              <w:t>项目属于新建补办环评。项目占地面积约8016m</w:t>
            </w:r>
            <w:r>
              <w:rPr>
                <w:rFonts w:hint="eastAsia" w:ascii="仿宋_GB2312" w:hAnsi="仿宋_GB2312" w:eastAsia="仿宋_GB2312" w:cs="仿宋_GB2312"/>
                <w:sz w:val="28"/>
                <w:vertAlign w:val="superscript"/>
                <w:lang w:val="en-US" w:eastAsia="zh-CN"/>
              </w:rPr>
              <w:t>2</w:t>
            </w:r>
            <w:r>
              <w:rPr>
                <w:rFonts w:hint="eastAsia" w:ascii="仿宋_GB2312" w:hAnsi="仿宋_GB2312" w:eastAsia="仿宋_GB2312" w:cs="仿宋_GB2312"/>
                <w:sz w:val="28"/>
                <w:lang w:val="en-US" w:eastAsia="zh-CN"/>
              </w:rPr>
              <w:t>，总投资600万元，其中环保投资40万元，该项目设有50m</w:t>
            </w:r>
            <w:r>
              <w:rPr>
                <w:rFonts w:hint="eastAsia" w:ascii="仿宋_GB2312" w:hAnsi="仿宋_GB2312" w:eastAsia="仿宋_GB2312" w:cs="仿宋_GB2312"/>
                <w:sz w:val="28"/>
                <w:vertAlign w:val="superscript"/>
                <w:lang w:val="en-US" w:eastAsia="zh-CN"/>
              </w:rPr>
              <w:t>3</w:t>
            </w:r>
            <w:r>
              <w:rPr>
                <w:rFonts w:hint="eastAsia" w:ascii="仿宋_GB2312" w:hAnsi="仿宋_GB2312" w:eastAsia="仿宋_GB2312" w:cs="仿宋_GB2312"/>
                <w:sz w:val="28"/>
                <w:lang w:val="en-US" w:eastAsia="zh-CN"/>
              </w:rPr>
              <w:t>埋地双层燃油卧式储罐4个，其中汽油储罐2个，柴油储罐2个，双枪加油机5台，以及其他站房、配套用房以及消防设施、供配电设施，年零售约0#柴油2400t、92#汽油1850t、95#汽油700t。根据《汽车加油加气站设计与施工规范》（GB50156-2012）规定，该加油</w:t>
            </w:r>
            <w:bookmarkStart w:id="0" w:name="_GoBack"/>
            <w:bookmarkEnd w:id="0"/>
            <w:r>
              <w:rPr>
                <w:rFonts w:hint="eastAsia" w:ascii="仿宋_GB2312" w:hAnsi="仿宋_GB2312" w:eastAsia="仿宋_GB2312" w:cs="仿宋_GB2312"/>
                <w:sz w:val="28"/>
                <w:lang w:val="en-US" w:eastAsia="zh-CN"/>
              </w:rPr>
              <w:t>站属于二级。</w:t>
            </w:r>
            <w:r>
              <w:rPr>
                <w:rFonts w:hint="eastAsia" w:ascii="仿宋_GB2312" w:hAnsi="仿宋_GB2312" w:eastAsia="仿宋_GB2312" w:cs="仿宋_GB2312"/>
                <w:sz w:val="28"/>
              </w:rPr>
              <w:t>根据江西景瑞祥环保科技有限公司编制的环境影响报告表基本内容、结论和专家审查意见，</w:t>
            </w:r>
            <w:r>
              <w:rPr>
                <w:rFonts w:hint="eastAsia" w:ascii="仿宋" w:hAnsi="仿宋" w:eastAsia="仿宋" w:cs="仿宋"/>
                <w:sz w:val="28"/>
                <w:szCs w:val="28"/>
              </w:rPr>
              <w:t>综合考虑，我局原则同意你公司环境影响报告表所列建设项目的性质、规模、工艺、地点和环境保护对策措施。</w:t>
            </w:r>
          </w:p>
          <w:p>
            <w:pPr>
              <w:snapToGrid w:val="0"/>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一、</w:t>
            </w:r>
            <w:r>
              <w:rPr>
                <w:rFonts w:hint="eastAsia" w:ascii="仿宋" w:hAnsi="仿宋" w:eastAsia="仿宋" w:cs="仿宋"/>
                <w:sz w:val="28"/>
                <w:szCs w:val="28"/>
              </w:rPr>
              <w:t>项目营运过程中，须全面落实环境影响报告表提出的各项环保措施，并着重做好以下环保工作：</w:t>
            </w:r>
          </w:p>
          <w:p>
            <w:pPr>
              <w:snapToGrid w:val="0"/>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1、坚持环境保护“三同时”制度，确保环保经费投入，认真落实专家及环评报告表中提出的各项污染防治、风险防范措施。</w:t>
            </w:r>
          </w:p>
          <w:p>
            <w:pPr>
              <w:snapToGrid w:val="0"/>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2、废水污染防治。本项目不单独设置卫生间和食堂，职工生活依托服务区已建生活设施，纳入服务区整体范围，地面冲洗废水经隔油沉淀池处理后进入服务区污水处理站处理后达到《污水综合排放标准》（GB8978-1996）表4中的一级标准后外排进入西环渠。加油站油罐按照分区防渗的原则，严格做好项目区域内防渗防漏处理。设置地下水监测井，加强日常管理，进行定期检测，严防地下水被污染。</w:t>
            </w:r>
          </w:p>
          <w:p>
            <w:pPr>
              <w:snapToGrid w:val="0"/>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3、废气污染防治。配置油气回收系统，完善员工的操作规范，减少油气挥发，确保满足《加油站大气污染物排放标准》（GB20952-2007）油气排放限值。</w:t>
            </w:r>
          </w:p>
          <w:p>
            <w:pPr>
              <w:snapToGrid w:val="0"/>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4、噪声污染防治。采用低噪声设备，采取减振、吸音、隔声等措施，确保</w:t>
            </w:r>
            <w:r>
              <w:rPr>
                <w:rFonts w:hint="eastAsia" w:ascii="仿宋_GB2312" w:hAnsi="仿宋_GB2312" w:eastAsia="仿宋_GB2312" w:cs="仿宋_GB2312"/>
                <w:sz w:val="28"/>
                <w:lang w:val="en-US" w:eastAsia="zh-CN"/>
              </w:rPr>
              <w:t>南</w:t>
            </w:r>
            <w:r>
              <w:rPr>
                <w:rFonts w:hint="eastAsia" w:ascii="仿宋_GB2312" w:hAnsi="仿宋_GB2312" w:eastAsia="仿宋_GB2312" w:cs="仿宋_GB2312"/>
                <w:sz w:val="28"/>
              </w:rPr>
              <w:t>侧厂界符合《工业企业厂界环境噪声排放标准》（GB12348-2008）4类标准，其余厂界符合2类标准。</w:t>
            </w:r>
          </w:p>
          <w:p>
            <w:pPr>
              <w:snapToGrid w:val="0"/>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5、固体废物污染防治。严格按照《危险废物贮存污染控制标准》(GB18597-2001)的要求，设置危险固废暂存室，完善地面的防渗防漏建设。废过滤器芯、油罐底渣、隔油沉淀池油泥属危废，采用专用容器进行收集后按危废处置要求暂存、转移和处理。生活垃圾、含油抹布和手套集中收集后交由养护中心统一收集运往环卫部门指定地点，集中进行处理。</w:t>
            </w:r>
          </w:p>
          <w:p>
            <w:pPr>
              <w:snapToGrid w:val="0"/>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6、加强环境风险防范工作。严格落实消防安全要求，加强员工安全教育，提高安全防范意识</w:t>
            </w:r>
            <w:r>
              <w:rPr>
                <w:rFonts w:hint="eastAsia" w:ascii="仿宋_GB2312" w:hAnsi="仿宋_GB2312" w:eastAsia="仿宋_GB2312" w:cs="仿宋_GB2312"/>
                <w:sz w:val="28"/>
                <w:lang w:eastAsia="zh-CN"/>
              </w:rPr>
              <w:t>，</w:t>
            </w:r>
            <w:r>
              <w:rPr>
                <w:rFonts w:hint="eastAsia" w:ascii="仿宋_GB2312" w:hAnsi="仿宋_GB2312" w:eastAsia="仿宋_GB2312" w:cs="仿宋_GB2312"/>
                <w:sz w:val="28"/>
                <w:lang w:val="en-US" w:eastAsia="zh-CN"/>
              </w:rPr>
              <w:t>作好相应的应急预案</w:t>
            </w:r>
            <w:r>
              <w:rPr>
                <w:rFonts w:hint="eastAsia" w:ascii="仿宋_GB2312" w:hAnsi="仿宋_GB2312" w:eastAsia="仿宋_GB2312" w:cs="仿宋_GB2312"/>
                <w:sz w:val="28"/>
              </w:rPr>
              <w:t>；严格按照《危险化学品安全管理条例》及《汽车加油加气站设计与施工规范》（GB50156-2012）要求，加强对充装设备以及阀门、泄压保护装置、回收装置等设备的维护管理，建立健全操作规程，做好防火、防爆、防毒等安全工作并规范设置标示牌，确保不造成次生环境污染；制定环境风险应急预案，储备应急救援物质并组织演练，确保周边环境安全；项目储罐周边防火距离内不得新建住宅区、学校、医院等环境敏感建筑。</w:t>
            </w:r>
          </w:p>
          <w:p>
            <w:pPr>
              <w:snapToGrid w:val="0"/>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二、你单位应在收到本批复后</w:t>
            </w:r>
            <w:r>
              <w:rPr>
                <w:rFonts w:ascii="仿宋_GB2312" w:hAnsi="仿宋_GB2312" w:eastAsia="仿宋_GB2312" w:cs="仿宋_GB2312"/>
                <w:sz w:val="28"/>
              </w:rPr>
              <w:t>15</w:t>
            </w:r>
            <w:r>
              <w:rPr>
                <w:rFonts w:hint="eastAsia" w:ascii="仿宋_GB2312" w:hAnsi="仿宋_GB2312" w:eastAsia="仿宋_GB2312" w:cs="仿宋_GB2312"/>
                <w:sz w:val="28"/>
              </w:rPr>
              <w:t>个工作日内，将批复及</w:t>
            </w:r>
            <w:r>
              <w:rPr>
                <w:rFonts w:hint="eastAsia" w:ascii="仿宋_GB2312" w:hAnsi="仿宋_GB2312" w:eastAsia="仿宋_GB2312" w:cs="仿宋_GB2312"/>
                <w:sz w:val="28"/>
                <w:lang w:eastAsia="zh-CN"/>
              </w:rPr>
              <w:t>被</w:t>
            </w:r>
            <w:r>
              <w:rPr>
                <w:rFonts w:hint="eastAsia" w:ascii="仿宋_GB2312" w:hAnsi="仿宋_GB2312" w:eastAsia="仿宋_GB2312" w:cs="仿宋_GB2312"/>
                <w:sz w:val="28"/>
              </w:rPr>
              <w:t>批准的环评报告文本送至岳阳市环境保护局</w:t>
            </w:r>
            <w:r>
              <w:rPr>
                <w:rFonts w:hint="eastAsia" w:ascii="仿宋_GB2312" w:hAnsi="仿宋_GB2312" w:eastAsia="仿宋_GB2312" w:cs="仿宋_GB2312"/>
                <w:sz w:val="28"/>
                <w:lang w:eastAsia="zh-CN"/>
              </w:rPr>
              <w:t>君山</w:t>
            </w:r>
            <w:r>
              <w:rPr>
                <w:rFonts w:hint="eastAsia" w:ascii="仿宋_GB2312" w:hAnsi="仿宋_GB2312" w:eastAsia="仿宋_GB2312" w:cs="仿宋_GB2312"/>
                <w:sz w:val="28"/>
              </w:rPr>
              <w:t>区分局</w:t>
            </w:r>
            <w:r>
              <w:rPr>
                <w:rFonts w:hint="eastAsia" w:ascii="仿宋_GB2312" w:hAnsi="仿宋_GB2312" w:eastAsia="仿宋_GB2312" w:cs="仿宋_GB2312"/>
                <w:sz w:val="28"/>
                <w:lang w:eastAsia="zh-CN"/>
              </w:rPr>
              <w:t>监察大队</w:t>
            </w:r>
            <w:r>
              <w:rPr>
                <w:rFonts w:hint="eastAsia" w:ascii="仿宋_GB2312" w:hAnsi="仿宋_GB2312" w:eastAsia="仿宋_GB2312" w:cs="仿宋_GB2312"/>
                <w:sz w:val="28"/>
              </w:rPr>
              <w:t>、江西景瑞祥环保科技有限公司。</w:t>
            </w:r>
            <w:r>
              <w:rPr>
                <w:rFonts w:ascii="仿宋_GB2312" w:hAnsi="仿宋_GB2312" w:eastAsia="仿宋_GB2312" w:cs="仿宋_GB2312"/>
                <w:sz w:val="28"/>
              </w:rPr>
              <w:t xml:space="preserve"> </w:t>
            </w:r>
          </w:p>
          <w:p>
            <w:pPr>
              <w:snapToGrid w:val="0"/>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三、岳阳市环境保护局</w:t>
            </w:r>
            <w:r>
              <w:rPr>
                <w:rFonts w:hint="eastAsia" w:ascii="仿宋_GB2312" w:hAnsi="仿宋_GB2312" w:eastAsia="仿宋_GB2312" w:cs="仿宋_GB2312"/>
                <w:sz w:val="28"/>
                <w:lang w:eastAsia="zh-CN"/>
              </w:rPr>
              <w:t>君山</w:t>
            </w:r>
            <w:r>
              <w:rPr>
                <w:rFonts w:hint="eastAsia" w:ascii="仿宋_GB2312" w:hAnsi="仿宋_GB2312" w:eastAsia="仿宋_GB2312" w:cs="仿宋_GB2312"/>
                <w:sz w:val="28"/>
              </w:rPr>
              <w:t>区分局</w:t>
            </w:r>
            <w:r>
              <w:rPr>
                <w:rFonts w:hint="eastAsia" w:ascii="仿宋_GB2312" w:hAnsi="仿宋_GB2312" w:eastAsia="仿宋_GB2312" w:cs="仿宋_GB2312"/>
                <w:sz w:val="28"/>
                <w:lang w:eastAsia="zh-CN"/>
              </w:rPr>
              <w:t>环境监察大队</w:t>
            </w:r>
            <w:r>
              <w:rPr>
                <w:rFonts w:hint="eastAsia" w:ascii="仿宋_GB2312" w:hAnsi="仿宋_GB2312" w:eastAsia="仿宋_GB2312" w:cs="仿宋_GB2312"/>
                <w:sz w:val="28"/>
              </w:rPr>
              <w:t>负责项目建设期和营运期的日常环境监管。</w:t>
            </w:r>
          </w:p>
          <w:p>
            <w:pPr>
              <w:snapToGrid w:val="0"/>
              <w:rPr>
                <w:rFonts w:ascii="仿宋_GB2312" w:hAnsi="Times New Roman" w:eastAsia="仿宋_GB2312"/>
                <w:sz w:val="28"/>
              </w:rPr>
            </w:pPr>
          </w:p>
          <w:p>
            <w:pPr>
              <w:snapToGrid w:val="0"/>
              <w:rPr>
                <w:rFonts w:ascii="仿宋_GB2312" w:hAnsi="Times New Roman" w:eastAsia="仿宋_GB2312"/>
                <w:sz w:val="28"/>
              </w:rPr>
            </w:pPr>
          </w:p>
          <w:p>
            <w:pPr>
              <w:snapToGrid w:val="0"/>
              <w:rPr>
                <w:rFonts w:ascii="仿宋_GB2312" w:hAnsi="Times New Roman" w:eastAsia="仿宋_GB2312"/>
                <w:sz w:val="28"/>
              </w:rPr>
            </w:pPr>
          </w:p>
          <w:p>
            <w:pPr>
              <w:snapToGrid w:val="0"/>
              <w:rPr>
                <w:rFonts w:ascii="仿宋_GB2312" w:hAnsi="Times New Roman" w:eastAsia="仿宋_GB2312"/>
                <w:sz w:val="28"/>
              </w:rPr>
            </w:pPr>
          </w:p>
          <w:p>
            <w:pPr>
              <w:snapToGrid w:val="0"/>
              <w:rPr>
                <w:rFonts w:hint="eastAsia" w:ascii="仿宋_GB2312" w:eastAsia="仿宋_GB2312"/>
                <w:w w:val="90"/>
                <w:sz w:val="28"/>
                <w:lang w:eastAsia="zh-CN"/>
              </w:rPr>
            </w:pPr>
            <w:r>
              <w:rPr>
                <w:rFonts w:hint="eastAsia" w:ascii="仿宋_GB2312" w:eastAsia="仿宋_GB2312"/>
                <w:w w:val="90"/>
                <w:sz w:val="28"/>
              </w:rPr>
              <w:t>经办人：</w:t>
            </w:r>
            <w:r>
              <w:rPr>
                <w:rFonts w:hint="eastAsia" w:ascii="仿宋_GB2312" w:eastAsia="仿宋_GB2312"/>
                <w:w w:val="90"/>
                <w:sz w:val="28"/>
                <w:lang w:eastAsia="zh-CN"/>
              </w:rPr>
              <w:t>章鹏</w:t>
            </w:r>
          </w:p>
          <w:p>
            <w:pPr>
              <w:snapToGrid w:val="0"/>
              <w:rPr>
                <w:rFonts w:hint="eastAsia" w:ascii="仿宋_GB2312" w:eastAsia="仿宋_GB2312"/>
                <w:w w:val="90"/>
                <w:sz w:val="28"/>
              </w:rPr>
            </w:pPr>
          </w:p>
          <w:p>
            <w:pPr>
              <w:snapToGrid w:val="0"/>
              <w:rPr>
                <w:rFonts w:hint="eastAsia" w:ascii="仿宋_GB2312" w:eastAsia="仿宋_GB2312"/>
                <w:w w:val="90"/>
                <w:sz w:val="28"/>
              </w:rPr>
            </w:pPr>
          </w:p>
          <w:p>
            <w:pPr>
              <w:snapToGrid w:val="0"/>
              <w:rPr>
                <w:rFonts w:hint="eastAsia" w:ascii="仿宋_GB2312" w:hAnsi="Times New Roman" w:eastAsia="仿宋_GB2312"/>
                <w:sz w:val="28"/>
                <w:lang w:val="en-US" w:eastAsia="zh-CN"/>
              </w:rPr>
            </w:pPr>
            <w:r>
              <w:rPr>
                <w:rFonts w:hint="eastAsia" w:ascii="仿宋_GB2312" w:eastAsia="仿宋_GB2312"/>
                <w:w w:val="90"/>
                <w:sz w:val="28"/>
              </w:rPr>
              <w:t>审批人：</w:t>
            </w:r>
            <w:r>
              <w:rPr>
                <w:rFonts w:hint="eastAsia" w:ascii="仿宋_GB2312" w:eastAsia="仿宋_GB2312"/>
                <w:w w:val="90"/>
                <w:sz w:val="28"/>
                <w:lang w:eastAsia="zh-CN"/>
              </w:rPr>
              <w:t>龚卿</w:t>
            </w:r>
            <w:r>
              <w:rPr>
                <w:rFonts w:ascii="仿宋_GB2312" w:hAnsi="Times New Roman" w:eastAsia="仿宋_GB2312"/>
                <w:sz w:val="28"/>
              </w:rPr>
              <w:t xml:space="preserve">                                </w:t>
            </w:r>
            <w:r>
              <w:rPr>
                <w:rFonts w:hint="eastAsia" w:ascii="仿宋_GB2312" w:hAnsi="Times New Roman" w:eastAsia="仿宋_GB2312"/>
                <w:sz w:val="28"/>
                <w:lang w:val="en-US" w:eastAsia="zh-CN"/>
              </w:rPr>
              <w:t xml:space="preserve"> </w:t>
            </w:r>
          </w:p>
          <w:p>
            <w:pPr>
              <w:snapToGrid w:val="0"/>
              <w:rPr>
                <w:rFonts w:hint="eastAsia" w:ascii="仿宋_GB2312" w:hAnsi="Times New Roman" w:eastAsia="仿宋_GB2312"/>
                <w:sz w:val="28"/>
                <w:lang w:val="en-US" w:eastAsia="zh-CN"/>
              </w:rPr>
            </w:pPr>
          </w:p>
          <w:p>
            <w:pPr>
              <w:snapToGrid w:val="0"/>
              <w:ind w:firstLine="5600" w:firstLineChars="2000"/>
              <w:rPr>
                <w:rFonts w:ascii="仿宋_GB2312" w:hAnsi="Times New Roman" w:eastAsia="仿宋_GB2312"/>
                <w:sz w:val="28"/>
              </w:rPr>
            </w:pPr>
            <w:r>
              <w:rPr>
                <w:rFonts w:hint="eastAsia" w:ascii="仿宋_GB2312" w:hAnsi="Times New Roman" w:eastAsia="仿宋_GB2312"/>
                <w:sz w:val="28"/>
                <w:lang w:val="en-US" w:eastAsia="zh-CN"/>
              </w:rPr>
              <w:t xml:space="preserve">      </w:t>
            </w:r>
            <w:r>
              <w:rPr>
                <w:rFonts w:ascii="仿宋_GB2312" w:hAnsi="Times New Roman" w:eastAsia="仿宋_GB2312"/>
                <w:sz w:val="28"/>
              </w:rPr>
              <w:t xml:space="preserve"> </w:t>
            </w:r>
            <w:r>
              <w:rPr>
                <w:rFonts w:hint="eastAsia" w:ascii="仿宋_GB2312" w:eastAsia="仿宋_GB2312"/>
                <w:sz w:val="28"/>
              </w:rPr>
              <w:t>公</w:t>
            </w:r>
            <w:r>
              <w:rPr>
                <w:rFonts w:ascii="仿宋_GB2312" w:hAnsi="Times New Roman" w:eastAsia="仿宋_GB2312"/>
                <w:sz w:val="28"/>
              </w:rPr>
              <w:t xml:space="preserve">     </w:t>
            </w:r>
            <w:r>
              <w:rPr>
                <w:rFonts w:hint="eastAsia" w:ascii="仿宋_GB2312" w:eastAsia="仿宋_GB2312"/>
                <w:sz w:val="28"/>
              </w:rPr>
              <w:t>章</w:t>
            </w:r>
          </w:p>
          <w:p>
            <w:pPr>
              <w:snapToGrid w:val="0"/>
              <w:rPr>
                <w:rFonts w:ascii="仿宋_GB2312" w:eastAsia="仿宋_GB2312"/>
                <w:sz w:val="28"/>
              </w:rPr>
            </w:pPr>
            <w:r>
              <w:rPr>
                <w:rFonts w:ascii="仿宋_GB2312" w:hAnsi="Times New Roman" w:eastAsia="仿宋_GB2312"/>
                <w:sz w:val="28"/>
              </w:rPr>
              <w:t xml:space="preserve">                                            </w:t>
            </w:r>
            <w:r>
              <w:rPr>
                <w:rFonts w:hint="eastAsia" w:ascii="仿宋_GB2312" w:hAnsi="Times New Roman" w:eastAsia="仿宋_GB2312"/>
                <w:sz w:val="28"/>
                <w:lang w:val="en-US" w:eastAsia="zh-CN"/>
              </w:rPr>
              <w:t>2019</w:t>
            </w:r>
            <w:r>
              <w:rPr>
                <w:rFonts w:hint="eastAsia" w:ascii="仿宋_GB2312" w:eastAsia="仿宋_GB2312"/>
                <w:sz w:val="28"/>
              </w:rPr>
              <w:t>年</w:t>
            </w:r>
            <w:r>
              <w:rPr>
                <w:rFonts w:hint="eastAsia" w:ascii="仿宋_GB2312" w:hAnsi="Times New Roman" w:eastAsia="仿宋_GB2312"/>
                <w:sz w:val="28"/>
                <w:lang w:val="en-US" w:eastAsia="zh-CN"/>
              </w:rPr>
              <w:t>5</w:t>
            </w:r>
            <w:r>
              <w:rPr>
                <w:rFonts w:hint="eastAsia" w:ascii="仿宋_GB2312" w:eastAsia="仿宋_GB2312"/>
                <w:sz w:val="28"/>
              </w:rPr>
              <w:t>月</w:t>
            </w:r>
            <w:r>
              <w:rPr>
                <w:rFonts w:hint="eastAsia" w:ascii="仿宋_GB2312" w:hAnsi="Times New Roman" w:eastAsia="仿宋_GB2312"/>
                <w:sz w:val="28"/>
                <w:lang w:val="en-US" w:eastAsia="zh-CN"/>
              </w:rPr>
              <w:t>20</w:t>
            </w:r>
            <w:r>
              <w:rPr>
                <w:rFonts w:hint="eastAsia" w:ascii="仿宋_GB2312" w:eastAsia="仿宋_GB2312"/>
                <w:sz w:val="28"/>
              </w:rPr>
              <w:t>日</w:t>
            </w:r>
          </w:p>
          <w:p>
            <w:pPr>
              <w:snapToGrid w:val="0"/>
              <w:rPr>
                <w:rFonts w:ascii="仿宋_GB2312" w:eastAsia="仿宋_GB2312"/>
                <w:sz w:val="28"/>
              </w:rPr>
            </w:pPr>
          </w:p>
        </w:tc>
      </w:tr>
    </w:tbl>
    <w:p>
      <w:pPr>
        <w:spacing w:line="480" w:lineRule="exact"/>
        <w:rPr>
          <w:rFonts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6A"/>
    <w:rsid w:val="0012026D"/>
    <w:rsid w:val="002A2489"/>
    <w:rsid w:val="005A017E"/>
    <w:rsid w:val="00610954"/>
    <w:rsid w:val="00A06C6A"/>
    <w:rsid w:val="00A80E69"/>
    <w:rsid w:val="00EE55F9"/>
    <w:rsid w:val="00F5106F"/>
    <w:rsid w:val="06CD030B"/>
    <w:rsid w:val="08197F1E"/>
    <w:rsid w:val="09B61525"/>
    <w:rsid w:val="09BA7346"/>
    <w:rsid w:val="0A6A008F"/>
    <w:rsid w:val="0CC05552"/>
    <w:rsid w:val="0F785FFA"/>
    <w:rsid w:val="10C80F9C"/>
    <w:rsid w:val="1A9501CB"/>
    <w:rsid w:val="1A9E5951"/>
    <w:rsid w:val="1AFB290C"/>
    <w:rsid w:val="1E265FEE"/>
    <w:rsid w:val="20715C02"/>
    <w:rsid w:val="20884185"/>
    <w:rsid w:val="223E6D13"/>
    <w:rsid w:val="224B3D9F"/>
    <w:rsid w:val="23613310"/>
    <w:rsid w:val="3415150E"/>
    <w:rsid w:val="36FE4208"/>
    <w:rsid w:val="38386F3F"/>
    <w:rsid w:val="3A7B06D5"/>
    <w:rsid w:val="3DE63CF7"/>
    <w:rsid w:val="3E1210F4"/>
    <w:rsid w:val="3FF917FF"/>
    <w:rsid w:val="40A06FA9"/>
    <w:rsid w:val="41FD68FE"/>
    <w:rsid w:val="45BB05A9"/>
    <w:rsid w:val="462D6297"/>
    <w:rsid w:val="4AA57F8A"/>
    <w:rsid w:val="4F8C03E6"/>
    <w:rsid w:val="50A91980"/>
    <w:rsid w:val="516C13F1"/>
    <w:rsid w:val="583017FF"/>
    <w:rsid w:val="5C14264A"/>
    <w:rsid w:val="5EE308E7"/>
    <w:rsid w:val="61980384"/>
    <w:rsid w:val="694A38A1"/>
    <w:rsid w:val="6F4018E2"/>
    <w:rsid w:val="70A37142"/>
    <w:rsid w:val="71007ECC"/>
    <w:rsid w:val="76947924"/>
    <w:rsid w:val="76C560FE"/>
    <w:rsid w:val="7CE31B5D"/>
    <w:rsid w:val="7DEC61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locked/>
    <w:uiPriority w:val="0"/>
    <w:pPr>
      <w:keepNext/>
      <w:keepLines/>
      <w:spacing w:before="260" w:beforeLines="0" w:after="260" w:afterLines="0" w:line="416" w:lineRule="auto"/>
      <w:outlineLvl w:val="1"/>
    </w:pPr>
    <w:rPr>
      <w:rFonts w:ascii="Arial" w:hAnsi="Arial" w:eastAsia="黑体"/>
      <w:b/>
      <w:bCs/>
      <w:sz w:val="32"/>
      <w:szCs w:val="32"/>
    </w:rPr>
  </w:style>
  <w:style w:type="paragraph" w:styleId="2">
    <w:name w:val="heading 3"/>
    <w:basedOn w:val="3"/>
    <w:next w:val="1"/>
    <w:unhideWhenUsed/>
    <w:qFormat/>
    <w:locked/>
    <w:uiPriority w:val="0"/>
    <w:pPr>
      <w:keepNext/>
      <w:keepLines/>
      <w:spacing w:before="260" w:beforeLines="0" w:after="260" w:afterLines="0" w:line="416" w:lineRule="auto"/>
      <w:outlineLvl w:val="2"/>
    </w:pPr>
    <w:rPr>
      <w:b w:val="0"/>
      <w:bCs w:val="0"/>
      <w:sz w:val="32"/>
      <w:szCs w:val="32"/>
    </w:rPr>
  </w:style>
  <w:style w:type="character" w:default="1" w:styleId="6">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jc w:val="left"/>
    </w:pPr>
    <w:rPr>
      <w:kern w:val="0"/>
      <w:sz w:val="24"/>
    </w:rPr>
  </w:style>
  <w:style w:type="paragraph" w:customStyle="1" w:styleId="7">
    <w:name w:val="WPS Plain"/>
    <w:qFormat/>
    <w:uiPriority w:val="99"/>
    <w:rPr>
      <w:rFonts w:ascii="Calibri" w:hAnsi="Calibri" w:eastAsia="宋体" w:cs="Times New Roman"/>
      <w:kern w:val="0"/>
      <w:sz w:val="21"/>
      <w:szCs w:val="22"/>
      <w:lang w:val="en-US" w:eastAsia="zh-CN" w:bidi="ar-SA"/>
    </w:rPr>
  </w:style>
  <w:style w:type="paragraph" w:customStyle="1" w:styleId="8">
    <w:name w:val="0"/>
    <w:basedOn w:val="1"/>
    <w:qFormat/>
    <w:uiPriority w:val="99"/>
    <w:pPr>
      <w:widowControl/>
      <w:snapToGrid w:val="0"/>
      <w:spacing w:line="365" w:lineRule="atLeast"/>
      <w:ind w:left="1"/>
      <w:textAlignment w:val="bottom"/>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235</Words>
  <Characters>1345</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Lenovo</cp:lastModifiedBy>
  <cp:lastPrinted>2018-07-10T02:54:00Z</cp:lastPrinted>
  <dcterms:modified xsi:type="dcterms:W3CDTF">2019-05-20T07:04:39Z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