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2477" w:hRule="atLeast"/>
        </w:trPr>
        <w:tc>
          <w:tcPr>
            <w:tcW w:w="9360" w:type="dxa"/>
          </w:tcPr>
          <w:p>
            <w:pPr>
              <w:widowControl/>
              <w:spacing w:line="520" w:lineRule="exact"/>
              <w:rPr>
                <w:rFonts w:ascii="Times New Roman" w:hAnsi="Times New Roman" w:eastAsia="仿宋_GB2312" w:cs="仿宋"/>
                <w:color w:val="FF0000"/>
                <w:sz w:val="28"/>
                <w:szCs w:val="28"/>
              </w:rPr>
            </w:pPr>
            <w:r>
              <w:rPr>
                <w:rFonts w:ascii="Times New Roman" w:hAnsi="Times New Roman" w:eastAsia="仿宋_GB2312" w:cs="仿宋"/>
                <w:b/>
                <w:bCs/>
                <w:sz w:val="28"/>
                <w:szCs w:val="28"/>
              </w:rPr>
              <w:t xml:space="preserve"> </w:t>
            </w:r>
            <w:r>
              <w:rPr>
                <w:rFonts w:hint="eastAsia" w:ascii="Times New Roman" w:hAnsi="Times New Roman" w:eastAsia="仿宋_GB2312" w:cs="仿宋"/>
                <w:b/>
                <w:bCs/>
                <w:sz w:val="30"/>
                <w:szCs w:val="28"/>
              </w:rPr>
              <w:t>审批意见：</w:t>
            </w:r>
            <w:r>
              <w:rPr>
                <w:rFonts w:ascii="Times New Roman" w:hAnsi="Times New Roman" w:eastAsia="仿宋_GB2312" w:cs="仿宋"/>
                <w:sz w:val="30"/>
                <w:szCs w:val="28"/>
              </w:rPr>
              <w:t xml:space="preserve"> </w:t>
            </w:r>
            <w:r>
              <w:rPr>
                <w:rFonts w:ascii="Times New Roman" w:hAnsi="Times New Roman" w:eastAsia="仿宋_GB2312" w:cs="仿宋"/>
                <w:sz w:val="28"/>
                <w:szCs w:val="28"/>
              </w:rPr>
              <w:t xml:space="preserve">                          </w:t>
            </w:r>
            <w:r>
              <w:rPr>
                <w:rFonts w:hint="eastAsia" w:ascii="Times New Roman" w:hAnsi="仿宋" w:eastAsia="仿宋_GB2312" w:cs="仿宋"/>
                <w:b/>
                <w:sz w:val="28"/>
                <w:szCs w:val="28"/>
              </w:rPr>
              <w:t>岳环君分环评</w:t>
            </w:r>
            <w:r>
              <w:rPr>
                <w:rFonts w:hint="eastAsia" w:ascii="Times New Roman" w:hAnsi="仿宋" w:eastAsia="仿宋_GB2312" w:cs="仿宋"/>
                <w:b/>
                <w:sz w:val="28"/>
                <w:szCs w:val="28"/>
                <w:lang w:eastAsia="zh-CN"/>
              </w:rPr>
              <w:t>批</w:t>
            </w:r>
            <w:r>
              <w:rPr>
                <w:rFonts w:hint="eastAsia" w:ascii="Times New Roman" w:hAnsi="仿宋" w:eastAsia="仿宋_GB2312" w:cs="仿宋"/>
                <w:b/>
                <w:sz w:val="28"/>
                <w:szCs w:val="28"/>
              </w:rPr>
              <w:t>［</w:t>
            </w:r>
            <w:r>
              <w:rPr>
                <w:rFonts w:ascii="Times New Roman" w:hAnsi="Times New Roman" w:eastAsia="仿宋_GB2312" w:cs="仿宋"/>
                <w:b/>
                <w:sz w:val="28"/>
                <w:szCs w:val="28"/>
              </w:rPr>
              <w:t>201</w:t>
            </w:r>
            <w:r>
              <w:rPr>
                <w:rFonts w:hint="eastAsia" w:ascii="Times New Roman" w:hAnsi="Times New Roman" w:eastAsia="仿宋_GB2312" w:cs="仿宋"/>
                <w:b/>
                <w:sz w:val="28"/>
                <w:szCs w:val="28"/>
                <w:lang w:val="en-US" w:eastAsia="zh-CN"/>
              </w:rPr>
              <w:t>9</w:t>
            </w:r>
            <w:r>
              <w:rPr>
                <w:rFonts w:hint="eastAsia" w:ascii="Times New Roman" w:hAnsi="仿宋" w:eastAsia="仿宋_GB2312" w:cs="仿宋"/>
                <w:b/>
                <w:sz w:val="28"/>
                <w:szCs w:val="28"/>
              </w:rPr>
              <w:t>］</w:t>
            </w:r>
            <w:r>
              <w:rPr>
                <w:rFonts w:hint="eastAsia" w:ascii="Times New Roman" w:hAnsi="仿宋" w:eastAsia="仿宋_GB2312" w:cs="仿宋"/>
                <w:b/>
                <w:sz w:val="28"/>
                <w:szCs w:val="28"/>
                <w:lang w:val="en-US" w:eastAsia="zh-CN"/>
              </w:rPr>
              <w:t>1</w:t>
            </w:r>
            <w:r>
              <w:rPr>
                <w:rFonts w:hint="eastAsia" w:ascii="Times New Roman" w:hAnsi="仿宋" w:eastAsia="仿宋_GB2312" w:cs="仿宋"/>
                <w:b/>
                <w:sz w:val="28"/>
                <w:szCs w:val="28"/>
              </w:rPr>
              <w:t>号</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湖南庆胜新能源科技有限公司拟在岳阳市君山区柳林洲镇自成垸居委会建设聚合物锂电池生产线和高安全动力型倍率锂电池生产线</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主厂区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另租用岳阳市君山区绿色食品产业园第五期第四栋的标准化厂房建设锂电池用极耳生产线</w:t>
            </w:r>
            <w:r>
              <w:rPr>
                <w:rFonts w:hint="eastAsia" w:ascii="仿宋" w:hAnsi="仿宋" w:eastAsia="仿宋" w:cs="仿宋"/>
                <w:sz w:val="28"/>
                <w:szCs w:val="28"/>
              </w:rPr>
              <w:t>。项目总用地面积12019.5m</w:t>
            </w:r>
            <w:r>
              <w:rPr>
                <w:rFonts w:hint="eastAsia" w:ascii="仿宋" w:hAnsi="仿宋" w:eastAsia="仿宋" w:cs="仿宋"/>
                <w:sz w:val="28"/>
                <w:szCs w:val="28"/>
                <w:vertAlign w:val="superscript"/>
              </w:rPr>
              <w:t>2</w:t>
            </w:r>
            <w:r>
              <w:rPr>
                <w:rFonts w:hint="eastAsia" w:ascii="仿宋" w:hAnsi="仿宋" w:eastAsia="仿宋" w:cs="仿宋"/>
                <w:sz w:val="28"/>
                <w:szCs w:val="28"/>
              </w:rPr>
              <w:t>，总建筑面积46200 m</w:t>
            </w:r>
            <w:r>
              <w:rPr>
                <w:rFonts w:hint="eastAsia" w:ascii="仿宋" w:hAnsi="仿宋" w:eastAsia="仿宋" w:cs="仿宋"/>
                <w:sz w:val="28"/>
                <w:szCs w:val="28"/>
                <w:vertAlign w:val="superscript"/>
              </w:rPr>
              <w:t>2</w:t>
            </w:r>
            <w:r>
              <w:rPr>
                <w:rFonts w:hint="eastAsia" w:ascii="仿宋" w:hAnsi="仿宋" w:eastAsia="仿宋" w:cs="仿宋"/>
                <w:sz w:val="28"/>
                <w:szCs w:val="28"/>
              </w:rPr>
              <w:t>，总投资61900万元，其中环保投资320万元。项目的主要建设内容包括中小型聚合物锂电池生产线</w:t>
            </w:r>
            <w:r>
              <w:rPr>
                <w:rFonts w:hint="eastAsia" w:ascii="仿宋" w:hAnsi="仿宋" w:eastAsia="仿宋" w:cs="仿宋"/>
                <w:sz w:val="28"/>
                <w:szCs w:val="28"/>
                <w:lang w:eastAsia="zh-CN"/>
              </w:rPr>
              <w:t>（制造厂房4500多㎡，原材料及成品仓库2200多㎡，生产及实验设备429台，</w:t>
            </w:r>
            <w:r>
              <w:rPr>
                <w:rFonts w:hint="eastAsia" w:ascii="仿宋" w:hAnsi="仿宋" w:eastAsia="仿宋" w:cs="仿宋"/>
                <w:sz w:val="28"/>
                <w:szCs w:val="28"/>
                <w:vertAlign w:val="baseline"/>
                <w:lang w:val="en-US" w:eastAsia="zh-CN"/>
              </w:rPr>
              <w:t>位于主厂区</w:t>
            </w:r>
            <w:r>
              <w:rPr>
                <w:rFonts w:hint="eastAsia" w:ascii="仿宋" w:hAnsi="仿宋" w:eastAsia="仿宋" w:cs="仿宋"/>
                <w:sz w:val="28"/>
                <w:szCs w:val="28"/>
                <w:lang w:eastAsia="zh-CN"/>
              </w:rPr>
              <w:t>）</w:t>
            </w:r>
            <w:r>
              <w:rPr>
                <w:rFonts w:hint="eastAsia" w:ascii="仿宋" w:hAnsi="仿宋" w:eastAsia="仿宋" w:cs="仿宋"/>
                <w:sz w:val="28"/>
                <w:szCs w:val="28"/>
              </w:rPr>
              <w:t>、大中型聚合物锂电池生产线</w:t>
            </w:r>
            <w:r>
              <w:rPr>
                <w:rFonts w:hint="eastAsia" w:ascii="仿宋" w:hAnsi="仿宋" w:eastAsia="仿宋" w:cs="仿宋"/>
                <w:sz w:val="28"/>
                <w:szCs w:val="28"/>
                <w:lang w:eastAsia="zh-CN"/>
              </w:rPr>
              <w:t>（制造厂房3000多㎡，原材料仓库600多㎡，成品仓库及高温老化房200多㎡，生产及实验设备150台，两条电池组PACK线，</w:t>
            </w:r>
            <w:r>
              <w:rPr>
                <w:rFonts w:hint="eastAsia" w:ascii="仿宋" w:hAnsi="仿宋" w:eastAsia="仿宋" w:cs="仿宋"/>
                <w:sz w:val="28"/>
                <w:szCs w:val="28"/>
                <w:vertAlign w:val="baseline"/>
                <w:lang w:val="en-US" w:eastAsia="zh-CN"/>
              </w:rPr>
              <w:t>位于主厂区</w:t>
            </w:r>
            <w:r>
              <w:rPr>
                <w:rFonts w:hint="eastAsia" w:ascii="仿宋" w:hAnsi="仿宋" w:eastAsia="仿宋" w:cs="仿宋"/>
                <w:sz w:val="28"/>
                <w:szCs w:val="28"/>
                <w:lang w:eastAsia="zh-CN"/>
              </w:rPr>
              <w:t>）</w:t>
            </w:r>
            <w:r>
              <w:rPr>
                <w:rFonts w:hint="eastAsia" w:ascii="仿宋" w:hAnsi="仿宋" w:eastAsia="仿宋" w:cs="仿宋"/>
                <w:sz w:val="28"/>
                <w:szCs w:val="28"/>
              </w:rPr>
              <w:t>、聚合物锂电池日产能20万支扩产线</w:t>
            </w:r>
            <w:r>
              <w:rPr>
                <w:rFonts w:hint="eastAsia" w:ascii="仿宋" w:hAnsi="仿宋" w:eastAsia="仿宋" w:cs="仿宋"/>
                <w:sz w:val="28"/>
                <w:szCs w:val="28"/>
                <w:lang w:eastAsia="zh-CN"/>
              </w:rPr>
              <w:t>（制造厂房4000㎡，试验检测设备20多台，生产设备200台，员工食堂及文化活动中心400㎡，</w:t>
            </w:r>
            <w:r>
              <w:rPr>
                <w:rFonts w:hint="eastAsia" w:ascii="仿宋" w:hAnsi="仿宋" w:eastAsia="仿宋" w:cs="仿宋"/>
                <w:sz w:val="28"/>
                <w:szCs w:val="28"/>
                <w:vertAlign w:val="baseline"/>
                <w:lang w:val="en-US" w:eastAsia="zh-CN"/>
              </w:rPr>
              <w:t>位于主厂区</w:t>
            </w:r>
            <w:r>
              <w:rPr>
                <w:rFonts w:hint="eastAsia" w:ascii="仿宋" w:hAnsi="仿宋" w:eastAsia="仿宋" w:cs="仿宋"/>
                <w:sz w:val="28"/>
                <w:szCs w:val="28"/>
                <w:lang w:eastAsia="zh-CN"/>
              </w:rPr>
              <w:t>）</w:t>
            </w:r>
            <w:r>
              <w:rPr>
                <w:rFonts w:hint="eastAsia" w:ascii="仿宋" w:hAnsi="仿宋" w:eastAsia="仿宋" w:cs="仿宋"/>
                <w:sz w:val="28"/>
                <w:szCs w:val="28"/>
              </w:rPr>
              <w:t>、高安全动力型倍率锂电池生产线</w:t>
            </w:r>
            <w:r>
              <w:rPr>
                <w:rFonts w:hint="eastAsia" w:ascii="仿宋" w:hAnsi="仿宋" w:eastAsia="仿宋" w:cs="仿宋"/>
                <w:sz w:val="28"/>
                <w:szCs w:val="28"/>
                <w:lang w:eastAsia="zh-CN"/>
              </w:rPr>
              <w:t>（制造厂房10000㎡，科研楼及测试中心3000㎡，原材料仓库2500多㎡，成品仓库1500㎡，实验检测设备80台，动力电芯生产设备300台，动力电池组装10条PACK线，</w:t>
            </w:r>
            <w:r>
              <w:rPr>
                <w:rFonts w:hint="eastAsia" w:ascii="仿宋" w:hAnsi="仿宋" w:eastAsia="仿宋" w:cs="仿宋"/>
                <w:sz w:val="28"/>
                <w:szCs w:val="28"/>
                <w:vertAlign w:val="baseline"/>
                <w:lang w:val="en-US" w:eastAsia="zh-CN"/>
              </w:rPr>
              <w:t>位于主厂区</w:t>
            </w:r>
            <w:r>
              <w:rPr>
                <w:rFonts w:hint="eastAsia" w:ascii="仿宋" w:hAnsi="仿宋" w:eastAsia="仿宋" w:cs="仿宋"/>
                <w:sz w:val="28"/>
                <w:szCs w:val="28"/>
                <w:lang w:eastAsia="zh-CN"/>
              </w:rPr>
              <w:t>）</w:t>
            </w:r>
            <w:r>
              <w:rPr>
                <w:rFonts w:hint="eastAsia" w:ascii="仿宋" w:hAnsi="仿宋" w:eastAsia="仿宋" w:cs="仿宋"/>
                <w:sz w:val="28"/>
                <w:szCs w:val="28"/>
              </w:rPr>
              <w:t>、年产2亿对锂电池用极耳与5000万Ah锂电池组装建设项目</w:t>
            </w:r>
            <w:r>
              <w:rPr>
                <w:rFonts w:hint="eastAsia" w:ascii="仿宋" w:hAnsi="仿宋" w:eastAsia="仿宋" w:cs="仿宋"/>
                <w:sz w:val="28"/>
                <w:szCs w:val="28"/>
                <w:lang w:eastAsia="zh-CN"/>
              </w:rPr>
              <w:t>（车间及仓库5000㎡，生产及实验设备100台，</w:t>
            </w:r>
            <w:r>
              <w:rPr>
                <w:rFonts w:hint="eastAsia" w:ascii="仿宋" w:hAnsi="仿宋" w:eastAsia="仿宋" w:cs="仿宋"/>
                <w:sz w:val="28"/>
                <w:szCs w:val="28"/>
                <w:lang w:val="en-US" w:eastAsia="zh-CN"/>
              </w:rPr>
              <w:t>位于工业园</w:t>
            </w:r>
            <w:r>
              <w:rPr>
                <w:rFonts w:hint="eastAsia" w:ascii="仿宋" w:hAnsi="仿宋" w:eastAsia="仿宋" w:cs="仿宋"/>
                <w:sz w:val="28"/>
                <w:szCs w:val="28"/>
                <w:lang w:eastAsia="zh-CN"/>
              </w:rPr>
              <w:t>），办公楼及食堂700多㎡，员工配套住宿楼70间4200㎡，员工食堂及文化活动中心400㎡</w:t>
            </w:r>
            <w:r>
              <w:rPr>
                <w:rFonts w:hint="eastAsia" w:ascii="仿宋" w:hAnsi="仿宋" w:eastAsia="仿宋" w:cs="仿宋"/>
                <w:sz w:val="28"/>
                <w:szCs w:val="28"/>
              </w:rPr>
              <w:t>。项目建成投产后年产各类锂电池6000万支、锂电池用极耳2亿对、年组装锂电池组5000万Ah。根据湖南志远环境咨询服务有限公司编制的环境影响报告表基本内容、结论和专家审查意见，从环境保护角度考虑，同意本项目的建设。</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建设单位须逐项落实环评报告表提出的各项环保措施，严格执行环保“三同时”制度，配套建设污染防治设施，加强环境管理，确保外排污染物长期稳定达标排放。在工程设计、建设和管理中，应着重注意以下问题：</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1、切实做好施工期环境保护工作。落实环境影响评价文件提出的各项施工期污防措施，尽量缩短施工期，合理布局施工机械，对施工场地采取围挡、加盖篷布、洒水降尘等抑尘措施，禁止在大风天作业，渣土物料运输采用密闭或其他遮覆方式，有效减轻施工及运输的扬尘污染影响；选用低噪声施工设备，合理安排施工时间，尽量避免在22：00~次日6：00的敏感时段施工</w:t>
            </w:r>
            <w:r>
              <w:rPr>
                <w:rFonts w:hint="eastAsia" w:ascii="仿宋" w:hAnsi="仿宋" w:eastAsia="仿宋" w:cs="仿宋"/>
                <w:sz w:val="28"/>
                <w:szCs w:val="28"/>
                <w:lang w:eastAsia="zh-CN"/>
              </w:rPr>
              <w:t>，</w:t>
            </w:r>
            <w:r>
              <w:rPr>
                <w:rFonts w:hint="eastAsia" w:ascii="仿宋" w:hAnsi="仿宋" w:eastAsia="仿宋" w:cs="仿宋"/>
                <w:sz w:val="28"/>
                <w:szCs w:val="28"/>
              </w:rPr>
              <w:t>减少噪声对周边环境的影响；施工期</w:t>
            </w:r>
            <w:r>
              <w:rPr>
                <w:rFonts w:hint="eastAsia" w:ascii="仿宋" w:hAnsi="仿宋" w:eastAsia="仿宋" w:cs="仿宋"/>
                <w:sz w:val="28"/>
                <w:szCs w:val="28"/>
                <w:lang w:val="en-US" w:eastAsia="zh-CN"/>
              </w:rPr>
              <w:t>废水经沉淀后回用</w:t>
            </w:r>
            <w:r>
              <w:rPr>
                <w:rFonts w:hint="eastAsia" w:ascii="仿宋" w:hAnsi="仿宋" w:eastAsia="仿宋" w:cs="仿宋"/>
                <w:sz w:val="28"/>
                <w:szCs w:val="28"/>
              </w:rPr>
              <w:t>；建设期</w:t>
            </w:r>
            <w:r>
              <w:rPr>
                <w:rFonts w:hint="eastAsia" w:ascii="仿宋" w:hAnsi="仿宋" w:eastAsia="仿宋" w:cs="仿宋"/>
                <w:sz w:val="28"/>
                <w:szCs w:val="28"/>
                <w:lang w:val="en-US" w:eastAsia="zh-CN"/>
              </w:rPr>
              <w:t>施工废料按要求分类收集，综合利用，</w:t>
            </w:r>
            <w:r>
              <w:rPr>
                <w:rFonts w:hint="eastAsia" w:ascii="仿宋" w:hAnsi="仿宋" w:eastAsia="仿宋" w:cs="仿宋"/>
                <w:sz w:val="28"/>
                <w:szCs w:val="28"/>
              </w:rPr>
              <w:t>生活垃圾经收集后由环卫部门统一及时处理。</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废水污染防治。项目实行雨、污分流，主厂区雨水经项目雨水管网排入市政雨水管网，极耳生产线雨水排入岳阳市君山区绿色食品产业园的雨水管网。项目主厂区内生活污水经隔油池、化粪池预处理，达君山区城区污水净化中心接管标准后排入君山区污水净化中心，项目极耳生产线经化粪池处理达《污水综合排放标准》(GB8978-1996)表4中三级标准的要求后排入岳阳市君山区城区第二污水处理厂。项目主厂区生产废水（设备清洗废水）经自建的小型三级沉淀池处理后，沉淀后的沉渣集中收集后回用于生产（配膏），上清液回用于设备清洗，不外排。</w:t>
            </w:r>
          </w:p>
          <w:p>
            <w:pPr>
              <w:snapToGrid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3、废气污染防治。项目生产过程中产生的NMP废气经回收处理系统回收后尾气无组织排放，项目注液操作要求在真空密闭的操作条件下进行，减少VOC废气的挥发，使生产废气的排放达到《电池工业污染物排放标准》（GB 30484-2013 ）中表6中非甲烷总烃的最高允许排放浓度限值要求。加强生产过程中无组织粉尘的处理，使车间外的粉尘浓度达到《电池工业污染物排放标准》（GB 30484-2013 ）中表6中颗粒物的最高允许排放浓度限值0.3mg/m</w:t>
            </w:r>
            <w:r>
              <w:rPr>
                <w:rFonts w:hint="eastAsia" w:ascii="仿宋" w:hAnsi="仿宋" w:eastAsia="仿宋" w:cs="仿宋"/>
                <w:sz w:val="28"/>
                <w:szCs w:val="28"/>
                <w:vertAlign w:val="superscript"/>
              </w:rPr>
              <w:t>3</w:t>
            </w:r>
            <w:r>
              <w:rPr>
                <w:rFonts w:hint="eastAsia" w:ascii="仿宋" w:hAnsi="仿宋" w:eastAsia="仿宋" w:cs="仿宋"/>
                <w:sz w:val="28"/>
                <w:szCs w:val="28"/>
              </w:rPr>
              <w:t>的要求。食堂油烟经油烟净化器处理达到《饮食业油烟排放标准》（试行）（GB18483-2001）的排放标准要求后高于楼顶并避开受影响的建筑物排放。</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4、噪声污染防治。选用低噪声设备、合理平面布局，确保厂界噪声达到《工业企业厂界环境噪声排放标准》（GB 12348-2008）2类标准（主厂区）和3类标准（极耳生产线厂区）要求。</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5、固体废物污染防治。认真落实固废分类收集、处置和综合利用措施。生活垃圾由环卫部门定期清运。一般固废集中收集后</w:t>
            </w:r>
            <w:r>
              <w:rPr>
                <w:rFonts w:hint="eastAsia" w:ascii="仿宋" w:hAnsi="仿宋" w:eastAsia="仿宋" w:cs="仿宋"/>
                <w:sz w:val="28"/>
                <w:szCs w:val="28"/>
                <w:lang w:val="en-US" w:eastAsia="zh-CN"/>
              </w:rPr>
              <w:t>综合处理</w:t>
            </w:r>
            <w:r>
              <w:rPr>
                <w:rFonts w:hint="eastAsia" w:ascii="仿宋" w:hAnsi="仿宋" w:eastAsia="仿宋" w:cs="仿宋"/>
                <w:sz w:val="28"/>
                <w:szCs w:val="28"/>
              </w:rPr>
              <w:t>；NMP、电解液盛装桶等危废交由有资质的单位无害化处理。</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6、环境和安全管理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加强管理，</w:t>
            </w:r>
            <w:r>
              <w:rPr>
                <w:rFonts w:hint="eastAsia" w:ascii="仿宋" w:hAnsi="仿宋" w:eastAsia="仿宋" w:cs="仿宋"/>
                <w:sz w:val="28"/>
                <w:szCs w:val="28"/>
              </w:rPr>
              <w:t>做好每日的巡检工作和记录。做好各项环境风险防范措施的，</w:t>
            </w:r>
            <w:r>
              <w:rPr>
                <w:rFonts w:hint="eastAsia" w:ascii="仿宋" w:hAnsi="仿宋" w:eastAsia="仿宋" w:cs="仿宋"/>
                <w:sz w:val="28"/>
                <w:szCs w:val="28"/>
                <w:lang w:val="en-US" w:eastAsia="zh-CN"/>
              </w:rPr>
              <w:t>降低</w:t>
            </w:r>
            <w:r>
              <w:rPr>
                <w:rFonts w:hint="eastAsia" w:ascii="仿宋" w:hAnsi="仿宋" w:eastAsia="仿宋" w:cs="仿宋"/>
                <w:sz w:val="28"/>
                <w:szCs w:val="28"/>
              </w:rPr>
              <w:t>项目的环境风险</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做好各项应急预案。</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二、你单位应在收到本批复后15个工作日内，将批复及</w:t>
            </w:r>
            <w:r>
              <w:rPr>
                <w:rFonts w:hint="eastAsia" w:ascii="仿宋" w:hAnsi="仿宋" w:eastAsia="仿宋" w:cs="仿宋"/>
                <w:sz w:val="28"/>
                <w:szCs w:val="28"/>
                <w:lang w:eastAsia="zh-CN"/>
              </w:rPr>
              <w:t>该项目环评报批稿</w:t>
            </w:r>
            <w:r>
              <w:rPr>
                <w:rFonts w:hint="eastAsia" w:ascii="仿宋" w:hAnsi="仿宋" w:eastAsia="仿宋" w:cs="仿宋"/>
                <w:sz w:val="28"/>
                <w:szCs w:val="28"/>
              </w:rPr>
              <w:t>送至岳阳市</w:t>
            </w:r>
            <w:r>
              <w:rPr>
                <w:rFonts w:hint="eastAsia" w:ascii="仿宋" w:hAnsi="仿宋" w:eastAsia="仿宋" w:cs="仿宋"/>
                <w:sz w:val="28"/>
                <w:szCs w:val="28"/>
                <w:lang w:eastAsia="zh-CN"/>
              </w:rPr>
              <w:t>君山</w:t>
            </w:r>
            <w:r>
              <w:rPr>
                <w:rFonts w:hint="eastAsia" w:ascii="仿宋" w:hAnsi="仿宋" w:eastAsia="仿宋" w:cs="仿宋"/>
                <w:sz w:val="28"/>
                <w:szCs w:val="28"/>
              </w:rPr>
              <w:t>区</w:t>
            </w:r>
            <w:r>
              <w:rPr>
                <w:rFonts w:hint="eastAsia" w:ascii="仿宋" w:hAnsi="仿宋" w:eastAsia="仿宋" w:cs="仿宋"/>
                <w:sz w:val="28"/>
                <w:szCs w:val="28"/>
                <w:lang w:eastAsia="zh-CN"/>
              </w:rPr>
              <w:t>环境监察大队</w:t>
            </w:r>
            <w:r>
              <w:rPr>
                <w:rFonts w:hint="eastAsia" w:ascii="仿宋" w:hAnsi="仿宋" w:eastAsia="仿宋" w:cs="仿宋"/>
                <w:sz w:val="28"/>
                <w:szCs w:val="28"/>
              </w:rPr>
              <w:t>、湖南志远环境咨询服务有限公司</w:t>
            </w:r>
            <w:bookmarkStart w:id="0" w:name="_GoBack"/>
            <w:bookmarkEnd w:id="0"/>
            <w:r>
              <w:rPr>
                <w:rFonts w:hint="eastAsia" w:ascii="仿宋" w:hAnsi="仿宋" w:eastAsia="仿宋" w:cs="仿宋"/>
                <w:sz w:val="28"/>
                <w:szCs w:val="28"/>
              </w:rPr>
              <w:t xml:space="preserve">。 </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三、岳阳市</w:t>
            </w:r>
            <w:r>
              <w:rPr>
                <w:rFonts w:hint="eastAsia" w:ascii="仿宋" w:hAnsi="仿宋" w:eastAsia="仿宋" w:cs="仿宋"/>
                <w:sz w:val="28"/>
                <w:szCs w:val="28"/>
                <w:lang w:eastAsia="zh-CN"/>
              </w:rPr>
              <w:t>君山</w:t>
            </w:r>
            <w:r>
              <w:rPr>
                <w:rFonts w:hint="eastAsia" w:ascii="仿宋" w:hAnsi="仿宋" w:eastAsia="仿宋" w:cs="仿宋"/>
                <w:sz w:val="28"/>
                <w:szCs w:val="28"/>
              </w:rPr>
              <w:t>区</w:t>
            </w:r>
            <w:r>
              <w:rPr>
                <w:rFonts w:hint="eastAsia" w:ascii="仿宋" w:hAnsi="仿宋" w:eastAsia="仿宋" w:cs="仿宋"/>
                <w:sz w:val="28"/>
                <w:szCs w:val="28"/>
                <w:lang w:eastAsia="zh-CN"/>
              </w:rPr>
              <w:t>环境监察大队</w:t>
            </w:r>
            <w:r>
              <w:rPr>
                <w:rFonts w:hint="eastAsia" w:ascii="仿宋" w:hAnsi="仿宋" w:eastAsia="仿宋" w:cs="仿宋"/>
                <w:sz w:val="28"/>
                <w:szCs w:val="28"/>
              </w:rPr>
              <w:t>负责项目建设期和营运期的日常环境监管。</w:t>
            </w:r>
          </w:p>
          <w:p>
            <w:pPr>
              <w:snapToGrid w:val="0"/>
              <w:rPr>
                <w:rFonts w:ascii="仿宋_GB2312" w:hAnsi="Times New Roman" w:eastAsia="仿宋_GB2312"/>
                <w:sz w:val="28"/>
                <w:szCs w:val="28"/>
              </w:rPr>
            </w:pPr>
          </w:p>
          <w:p>
            <w:pPr>
              <w:snapToGrid w:val="0"/>
              <w:rPr>
                <w:rFonts w:ascii="仿宋_GB2312" w:hAnsi="Times New Roman" w:eastAsia="仿宋_GB2312"/>
                <w:sz w:val="28"/>
                <w:szCs w:val="28"/>
              </w:rPr>
            </w:pPr>
          </w:p>
          <w:p>
            <w:pPr>
              <w:snapToGrid w:val="0"/>
              <w:rPr>
                <w:rFonts w:hint="eastAsia" w:ascii="仿宋_GB2312" w:eastAsia="仿宋_GB2312"/>
                <w:w w:val="90"/>
                <w:sz w:val="28"/>
                <w:szCs w:val="28"/>
              </w:rPr>
            </w:pPr>
            <w:r>
              <w:rPr>
                <w:rFonts w:hint="eastAsia" w:ascii="仿宋_GB2312" w:eastAsia="仿宋_GB2312"/>
                <w:w w:val="90"/>
                <w:sz w:val="28"/>
                <w:szCs w:val="28"/>
              </w:rPr>
              <w:t>经办人：</w:t>
            </w:r>
            <w:r>
              <w:rPr>
                <w:rFonts w:hint="eastAsia" w:ascii="仿宋_GB2312" w:eastAsia="仿宋_GB2312"/>
                <w:w w:val="90"/>
                <w:sz w:val="28"/>
                <w:szCs w:val="28"/>
                <w:lang w:eastAsia="zh-CN"/>
              </w:rPr>
              <w:t>章鹏</w:t>
            </w:r>
          </w:p>
          <w:p>
            <w:pPr>
              <w:snapToGrid w:val="0"/>
              <w:rPr>
                <w:rFonts w:ascii="仿宋_GB2312" w:hAnsi="Times New Roman" w:eastAsia="仿宋_GB2312"/>
                <w:sz w:val="28"/>
                <w:szCs w:val="28"/>
              </w:rPr>
            </w:pPr>
            <w:r>
              <w:rPr>
                <w:rFonts w:hint="eastAsia" w:ascii="仿宋_GB2312" w:eastAsia="仿宋_GB2312"/>
                <w:w w:val="90"/>
                <w:sz w:val="28"/>
                <w:szCs w:val="28"/>
              </w:rPr>
              <w:t>审批人：</w:t>
            </w:r>
            <w:r>
              <w:rPr>
                <w:rFonts w:hint="eastAsia" w:ascii="仿宋_GB2312" w:eastAsia="仿宋_GB2312"/>
                <w:w w:val="90"/>
                <w:sz w:val="28"/>
                <w:szCs w:val="28"/>
                <w:lang w:eastAsia="zh-CN"/>
              </w:rPr>
              <w:t>龚卿</w:t>
            </w:r>
            <w:r>
              <w:rPr>
                <w:rFonts w:ascii="仿宋_GB2312" w:hAnsi="Times New Roman" w:eastAsia="仿宋_GB2312"/>
                <w:sz w:val="28"/>
                <w:szCs w:val="28"/>
              </w:rPr>
              <w:t xml:space="preserve">                        </w:t>
            </w:r>
          </w:p>
          <w:p>
            <w:pPr>
              <w:snapToGrid w:val="0"/>
              <w:rPr>
                <w:rFonts w:ascii="仿宋_GB2312" w:hAnsi="Times New Roman" w:eastAsia="仿宋_GB2312"/>
                <w:sz w:val="28"/>
                <w:szCs w:val="28"/>
              </w:rPr>
            </w:pPr>
          </w:p>
          <w:p>
            <w:pPr>
              <w:snapToGrid w:val="0"/>
              <w:rPr>
                <w:rFonts w:hint="eastAsia" w:ascii="仿宋_GB2312" w:hAnsi="Times New Roman" w:eastAsia="仿宋_GB2312"/>
                <w:sz w:val="28"/>
                <w:szCs w:val="28"/>
                <w:lang w:val="en-US" w:eastAsia="zh-CN"/>
              </w:rPr>
            </w:pPr>
            <w:r>
              <w:rPr>
                <w:rFonts w:ascii="仿宋_GB2312" w:hAnsi="Times New Roman" w:eastAsia="仿宋_GB2312"/>
                <w:sz w:val="28"/>
                <w:szCs w:val="28"/>
              </w:rPr>
              <w:t xml:space="preserve">       </w:t>
            </w:r>
            <w:r>
              <w:rPr>
                <w:rFonts w:hint="eastAsia" w:ascii="仿宋_GB2312" w:hAnsi="Times New Roman" w:eastAsia="仿宋_GB2312"/>
                <w:sz w:val="28"/>
                <w:szCs w:val="28"/>
                <w:lang w:val="en-US" w:eastAsia="zh-CN"/>
              </w:rPr>
              <w:t xml:space="preserve"> </w:t>
            </w:r>
          </w:p>
          <w:p>
            <w:pPr>
              <w:snapToGrid w:val="0"/>
              <w:ind w:firstLine="5600" w:firstLineChars="2000"/>
              <w:rPr>
                <w:rFonts w:hint="eastAsia" w:ascii="仿宋_GB2312" w:hAnsi="Times New Roman" w:eastAsia="仿宋_GB2312"/>
                <w:sz w:val="28"/>
                <w:szCs w:val="28"/>
                <w:lang w:val="en-US" w:eastAsia="zh-CN"/>
              </w:rPr>
            </w:pPr>
          </w:p>
          <w:p>
            <w:pPr>
              <w:snapToGrid w:val="0"/>
              <w:ind w:firstLine="5600" w:firstLineChars="2000"/>
              <w:rPr>
                <w:rFonts w:ascii="仿宋_GB2312" w:hAnsi="Times New Roman" w:eastAsia="仿宋_GB2312"/>
                <w:sz w:val="28"/>
                <w:szCs w:val="28"/>
              </w:rPr>
            </w:pPr>
            <w:r>
              <w:rPr>
                <w:rFonts w:hint="eastAsia" w:ascii="仿宋_GB2312" w:hAnsi="Times New Roman" w:eastAsia="仿宋_GB2312"/>
                <w:sz w:val="28"/>
                <w:szCs w:val="28"/>
                <w:lang w:val="en-US" w:eastAsia="zh-CN"/>
              </w:rPr>
              <w:t xml:space="preserve">      </w:t>
            </w:r>
            <w:r>
              <w:rPr>
                <w:rFonts w:ascii="仿宋_GB2312" w:hAnsi="Times New Roman" w:eastAsia="仿宋_GB2312"/>
                <w:sz w:val="28"/>
                <w:szCs w:val="28"/>
              </w:rPr>
              <w:t xml:space="preserve"> </w:t>
            </w:r>
            <w:r>
              <w:rPr>
                <w:rFonts w:hint="eastAsia" w:ascii="仿宋_GB2312" w:eastAsia="仿宋_GB2312"/>
                <w:sz w:val="28"/>
                <w:szCs w:val="28"/>
              </w:rPr>
              <w:t>公</w:t>
            </w:r>
            <w:r>
              <w:rPr>
                <w:rFonts w:ascii="仿宋_GB2312" w:hAnsi="Times New Roman" w:eastAsia="仿宋_GB2312"/>
                <w:sz w:val="28"/>
                <w:szCs w:val="28"/>
              </w:rPr>
              <w:t xml:space="preserve">     </w:t>
            </w:r>
            <w:r>
              <w:rPr>
                <w:rFonts w:hint="eastAsia" w:ascii="仿宋_GB2312" w:eastAsia="仿宋_GB2312"/>
                <w:sz w:val="28"/>
                <w:szCs w:val="28"/>
              </w:rPr>
              <w:t>章</w:t>
            </w:r>
          </w:p>
          <w:p>
            <w:pPr>
              <w:snapToGrid w:val="0"/>
              <w:rPr>
                <w:rFonts w:ascii="仿宋_GB2312" w:eastAsia="仿宋_GB2312"/>
                <w:sz w:val="28"/>
              </w:rPr>
            </w:pPr>
            <w:r>
              <w:rPr>
                <w:rFonts w:ascii="仿宋_GB2312" w:hAnsi="Times New Roman" w:eastAsia="仿宋_GB2312"/>
                <w:sz w:val="28"/>
                <w:szCs w:val="28"/>
              </w:rPr>
              <w:t xml:space="preserve">                                            201</w:t>
            </w:r>
            <w:r>
              <w:rPr>
                <w:rFonts w:hint="eastAsia" w:ascii="仿宋_GB2312" w:hAnsi="Times New Roman" w:eastAsia="仿宋_GB2312"/>
                <w:sz w:val="28"/>
                <w:szCs w:val="28"/>
                <w:lang w:val="en-US" w:eastAsia="zh-CN"/>
              </w:rPr>
              <w:t>9</w:t>
            </w:r>
            <w:r>
              <w:rPr>
                <w:rFonts w:hint="eastAsia" w:ascii="仿宋_GB2312" w:eastAsia="仿宋_GB2312"/>
                <w:sz w:val="28"/>
                <w:szCs w:val="28"/>
              </w:rPr>
              <w:t>年</w:t>
            </w:r>
            <w:r>
              <w:rPr>
                <w:rFonts w:hint="eastAsia" w:ascii="仿宋_GB2312" w:hAnsi="Times New Roman"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14</w:t>
            </w:r>
            <w:r>
              <w:rPr>
                <w:rFonts w:hint="eastAsia" w:ascii="仿宋_GB2312" w:eastAsia="仿宋_GB2312"/>
                <w:sz w:val="28"/>
                <w:szCs w:val="28"/>
              </w:rPr>
              <w:t>日</w:t>
            </w:r>
          </w:p>
        </w:tc>
      </w:tr>
    </w:tbl>
    <w:p>
      <w:pPr>
        <w:spacing w:line="480" w:lineRule="exact"/>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6A"/>
    <w:rsid w:val="0012026D"/>
    <w:rsid w:val="002A2489"/>
    <w:rsid w:val="005A017E"/>
    <w:rsid w:val="00610954"/>
    <w:rsid w:val="00A06C6A"/>
    <w:rsid w:val="00A80E69"/>
    <w:rsid w:val="00EE55F9"/>
    <w:rsid w:val="00F5106F"/>
    <w:rsid w:val="014258C7"/>
    <w:rsid w:val="077715CF"/>
    <w:rsid w:val="09B61525"/>
    <w:rsid w:val="09BA7346"/>
    <w:rsid w:val="0F785FFA"/>
    <w:rsid w:val="1A9501CB"/>
    <w:rsid w:val="1AFB290C"/>
    <w:rsid w:val="1E265FEE"/>
    <w:rsid w:val="20715C02"/>
    <w:rsid w:val="20884185"/>
    <w:rsid w:val="223E6D13"/>
    <w:rsid w:val="224B3D9F"/>
    <w:rsid w:val="2D4611E7"/>
    <w:rsid w:val="34B8139F"/>
    <w:rsid w:val="35196134"/>
    <w:rsid w:val="3A7B06D5"/>
    <w:rsid w:val="3E1210F4"/>
    <w:rsid w:val="41FD68FE"/>
    <w:rsid w:val="443C5C42"/>
    <w:rsid w:val="449E76AC"/>
    <w:rsid w:val="45BB05A9"/>
    <w:rsid w:val="45C85957"/>
    <w:rsid w:val="462D6297"/>
    <w:rsid w:val="49167A9E"/>
    <w:rsid w:val="49466586"/>
    <w:rsid w:val="4D801EDF"/>
    <w:rsid w:val="4E9C292F"/>
    <w:rsid w:val="4F8C03E6"/>
    <w:rsid w:val="50A91980"/>
    <w:rsid w:val="54953C37"/>
    <w:rsid w:val="56FD4676"/>
    <w:rsid w:val="583017FF"/>
    <w:rsid w:val="59976D04"/>
    <w:rsid w:val="5AD31360"/>
    <w:rsid w:val="5E7006D7"/>
    <w:rsid w:val="5EE308E7"/>
    <w:rsid w:val="61980384"/>
    <w:rsid w:val="637A53EA"/>
    <w:rsid w:val="6B46174B"/>
    <w:rsid w:val="6CBB131B"/>
    <w:rsid w:val="70A37142"/>
    <w:rsid w:val="71007ECC"/>
    <w:rsid w:val="76C560FE"/>
    <w:rsid w:val="7B455CA6"/>
    <w:rsid w:val="7CE31B5D"/>
    <w:rsid w:val="7DBA6479"/>
    <w:rsid w:val="7DEC61BF"/>
    <w:rsid w:val="7FB86B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locked/>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3"/>
    <w:next w:val="1"/>
    <w:semiHidden/>
    <w:unhideWhenUsed/>
    <w:qFormat/>
    <w:locked/>
    <w:uiPriority w:val="0"/>
    <w:pPr>
      <w:keepNext/>
      <w:keepLines/>
      <w:spacing w:before="260" w:beforeLines="0" w:after="260" w:afterLines="0" w:line="416" w:lineRule="auto"/>
      <w:outlineLvl w:val="2"/>
    </w:pPr>
    <w:rPr>
      <w:b w:val="0"/>
      <w:bCs w:val="0"/>
      <w:sz w:val="32"/>
      <w:szCs w:val="32"/>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jc w:val="left"/>
    </w:pPr>
    <w:rPr>
      <w:kern w:val="0"/>
      <w:sz w:val="24"/>
    </w:rPr>
  </w:style>
  <w:style w:type="paragraph" w:customStyle="1" w:styleId="7">
    <w:name w:val="WPS Plain"/>
    <w:qFormat/>
    <w:uiPriority w:val="99"/>
    <w:rPr>
      <w:rFonts w:ascii="Calibri" w:hAnsi="Calibri" w:eastAsia="宋体" w:cs="Times New Roman"/>
      <w:kern w:val="0"/>
      <w:sz w:val="21"/>
      <w:szCs w:val="22"/>
      <w:lang w:val="en-US" w:eastAsia="zh-CN" w:bidi="ar-SA"/>
    </w:rPr>
  </w:style>
  <w:style w:type="paragraph" w:customStyle="1" w:styleId="8">
    <w:name w:val="0"/>
    <w:basedOn w:val="1"/>
    <w:qFormat/>
    <w:uiPriority w:val="99"/>
    <w:pPr>
      <w:widowControl/>
      <w:snapToGrid w:val="0"/>
      <w:spacing w:line="365" w:lineRule="atLeast"/>
      <w:ind w:left="1"/>
      <w:textAlignment w:val="bottom"/>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235</Words>
  <Characters>1345</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Lenovo</cp:lastModifiedBy>
  <cp:lastPrinted>2018-12-24T06:37:00Z</cp:lastPrinted>
  <dcterms:modified xsi:type="dcterms:W3CDTF">2019-03-14T04:40:32Z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